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3C28F8" w:rsidRDefault="003C28F8" w:rsidP="003C28F8">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3C28F8" w:rsidRDefault="003C28F8" w:rsidP="003C28F8">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w:t>
      </w:r>
      <w:r>
        <w:rPr>
          <w:rFonts w:ascii="IRANSans" w:hAnsi="IRANSans" w:cs="IRANSans" w:hint="cs"/>
          <w:b/>
          <w:bCs/>
          <w:color w:val="C00000"/>
          <w:sz w:val="28"/>
          <w:shd w:val="clear" w:color="auto" w:fill="FFFFFF"/>
          <w:rtl/>
          <w:lang w:val="x-none"/>
        </w:rPr>
        <w:t>15</w:t>
      </w:r>
    </w:p>
    <w:p w:rsidR="00C91EB6" w:rsidRPr="003C28F8" w:rsidRDefault="003C28F8" w:rsidP="003C28F8">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noProof/>
          <w:rtl/>
        </w:rPr>
        <w:fldChar w:fldCharType="begin"/>
      </w:r>
      <w:r>
        <w:rPr>
          <w:rStyle w:val="Hyperlink"/>
          <w:noProof/>
          <w:rtl/>
        </w:rPr>
        <w:instrText xml:space="preserve"> </w:instrText>
      </w:r>
      <w:r>
        <w:rPr>
          <w:rStyle w:val="Hyperlink"/>
          <w:rFonts w:hint="cs"/>
          <w:noProof/>
        </w:rPr>
        <w:instrText>TOC</w:instrText>
      </w:r>
      <w:r>
        <w:rPr>
          <w:rStyle w:val="Hyperlink"/>
          <w:rFonts w:hint="cs"/>
          <w:noProof/>
          <w:rtl/>
        </w:rPr>
        <w:instrText xml:space="preserve"> \</w:instrText>
      </w:r>
      <w:r>
        <w:rPr>
          <w:rStyle w:val="Hyperlink"/>
          <w:rFonts w:hint="cs"/>
          <w:noProof/>
        </w:rPr>
        <w:instrText>o "1-9" \h \z \u</w:instrText>
      </w:r>
      <w:r>
        <w:rPr>
          <w:rStyle w:val="Hyperlink"/>
          <w:noProof/>
          <w:rtl/>
        </w:rPr>
        <w:instrText xml:space="preserve"> </w:instrText>
      </w:r>
      <w:r>
        <w:rPr>
          <w:rStyle w:val="Hyperlink"/>
          <w:noProof/>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r w:rsidR="00386C11" w:rsidRPr="00A6366F">
        <w:rPr>
          <w:rFonts w:hint="cs"/>
          <w:rtl/>
        </w:rPr>
        <w:t>/</w:t>
      </w:r>
      <w:bookmarkStart w:id="1" w:name="BokSabj_d"/>
      <w:bookmarkEnd w:id="1"/>
      <w:r w:rsidR="00170F0C">
        <w:rPr>
          <w:rFonts w:hint="cs"/>
          <w:rtl/>
        </w:rPr>
        <w:t>اجناس</w:t>
      </w:r>
      <w:r w:rsidR="00170F0C">
        <w:rPr>
          <w:rtl/>
        </w:rPr>
        <w:t xml:space="preserve"> </w:t>
      </w:r>
      <w:r w:rsidR="00170F0C">
        <w:rPr>
          <w:rFonts w:hint="cs"/>
          <w:rtl/>
        </w:rPr>
        <w:t>زکوی</w:t>
      </w:r>
      <w:r w:rsidR="00386C11" w:rsidRPr="00A6366F">
        <w:rPr>
          <w:rFonts w:hint="cs"/>
          <w:rtl/>
        </w:rPr>
        <w:t xml:space="preserve"> /</w:t>
      </w:r>
      <w:bookmarkStart w:id="2" w:name="Bokkolli"/>
      <w:bookmarkEnd w:id="2"/>
      <w:r w:rsidR="00170F0C">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bookmarkStart w:id="3" w:name="_GoBack"/>
      <w:bookmarkEnd w:id="3"/>
    </w:p>
    <w:p w:rsidR="008F5B4D" w:rsidRDefault="008F5B4D" w:rsidP="003A6148"/>
    <w:p w:rsidR="008A7DEB" w:rsidRDefault="00C15290" w:rsidP="008A7DEB">
      <w:pPr>
        <w:pStyle w:val="Heading1"/>
        <w:rPr>
          <w:rtl/>
        </w:rPr>
      </w:pPr>
      <w:bookmarkStart w:id="4" w:name="_Toc147737994"/>
      <w:bookmarkStart w:id="5" w:name="_Toc147738010"/>
      <w:r>
        <w:rPr>
          <w:rFonts w:hint="cs"/>
          <w:rtl/>
        </w:rPr>
        <w:t>صور</w:t>
      </w:r>
      <w:r w:rsidR="008A7DEB">
        <w:rPr>
          <w:rFonts w:hint="cs"/>
          <w:rtl/>
        </w:rPr>
        <w:t xml:space="preserve"> مختلف تاثیر قول عامه در فقه شیعه</w:t>
      </w:r>
      <w:bookmarkEnd w:id="4"/>
      <w:bookmarkEnd w:id="5"/>
    </w:p>
    <w:p w:rsidR="003E6650" w:rsidRDefault="00F010CE" w:rsidP="008A7DEB">
      <w:pPr>
        <w:ind w:firstLine="423"/>
        <w:rPr>
          <w:rFonts w:ascii="IRBadr" w:hAnsi="IRBadr" w:cs="IRBadr"/>
          <w:rtl/>
        </w:rPr>
      </w:pPr>
      <w:r>
        <w:rPr>
          <w:rFonts w:ascii="IRBadr" w:hAnsi="IRBadr" w:cs="IRBadr" w:hint="cs"/>
          <w:rtl/>
        </w:rPr>
        <w:t>بیان گردید ثبوت زکات در</w:t>
      </w:r>
      <w:r w:rsidR="008A7DEB">
        <w:rPr>
          <w:rFonts w:ascii="IRBadr" w:hAnsi="IRBadr" w:cs="IRBadr" w:hint="cs"/>
          <w:rtl/>
        </w:rPr>
        <w:t xml:space="preserve"> غلاتی</w:t>
      </w:r>
      <w:r>
        <w:rPr>
          <w:rFonts w:ascii="IRBadr" w:hAnsi="IRBadr" w:cs="IRBadr" w:hint="cs"/>
          <w:rtl/>
        </w:rPr>
        <w:t xml:space="preserve"> غیر </w:t>
      </w:r>
      <w:r w:rsidR="008A7DEB">
        <w:rPr>
          <w:rFonts w:ascii="IRBadr" w:hAnsi="IRBadr" w:cs="IRBadr" w:hint="cs"/>
          <w:rtl/>
        </w:rPr>
        <w:t>از غلات اربعه</w:t>
      </w:r>
      <w:r>
        <w:rPr>
          <w:rFonts w:ascii="IRBadr" w:hAnsi="IRBadr" w:cs="IRBadr" w:hint="cs"/>
          <w:rtl/>
        </w:rPr>
        <w:t>، مشکل است و حتّی به نحو استحباب هم چنین حکمی وجود ندارد، و روایات مثبته را بر تقیه حمل نمودیم، به این معنی که آن حکم مربوط به ظرف تقیّه و ظرف ضرورت است.</w:t>
      </w:r>
      <w:r w:rsidR="007A142E">
        <w:rPr>
          <w:rFonts w:ascii="IRBadr" w:hAnsi="IRBadr" w:cs="IRBadr" w:hint="cs"/>
          <w:rtl/>
        </w:rPr>
        <w:t xml:space="preserve"> </w:t>
      </w:r>
    </w:p>
    <w:p w:rsidR="007A142E" w:rsidRDefault="007A142E" w:rsidP="00ED678F">
      <w:pPr>
        <w:ind w:firstLine="423"/>
        <w:rPr>
          <w:rFonts w:ascii="IRBadr" w:hAnsi="IRBadr" w:cs="IRBadr"/>
          <w:rtl/>
        </w:rPr>
      </w:pPr>
      <w:r>
        <w:rPr>
          <w:rFonts w:ascii="IRBadr" w:hAnsi="IRBadr" w:cs="IRBadr" w:hint="cs"/>
          <w:rtl/>
        </w:rPr>
        <w:t xml:space="preserve">روایاتی که موافق عامه است، </w:t>
      </w:r>
      <w:r w:rsidR="00ED678F">
        <w:rPr>
          <w:rFonts w:ascii="IRBadr" w:hAnsi="IRBadr" w:cs="IRBadr" w:hint="cs"/>
          <w:rtl/>
        </w:rPr>
        <w:t>به چند صورت ممکن است لحاظ شود</w:t>
      </w:r>
      <w:r w:rsidR="00F124B1">
        <w:rPr>
          <w:rStyle w:val="FootnoteReference"/>
          <w:rFonts w:ascii="IRBadr" w:hAnsi="IRBadr" w:cs="IRBadr"/>
          <w:rtl/>
        </w:rPr>
        <w:footnoteReference w:id="1"/>
      </w:r>
      <w:r w:rsidR="00ED678F">
        <w:rPr>
          <w:rFonts w:ascii="IRBadr" w:hAnsi="IRBadr" w:cs="IRBadr" w:hint="cs"/>
          <w:rtl/>
        </w:rPr>
        <w:t>:</w:t>
      </w:r>
    </w:p>
    <w:p w:rsidR="007A142E" w:rsidRDefault="007A142E" w:rsidP="00484710">
      <w:pPr>
        <w:ind w:firstLine="423"/>
        <w:rPr>
          <w:rFonts w:ascii="IRBadr" w:hAnsi="IRBadr" w:cs="IRBadr"/>
          <w:rtl/>
        </w:rPr>
      </w:pPr>
      <w:r w:rsidRPr="007A142E">
        <w:rPr>
          <w:rFonts w:ascii="IRBadr" w:hAnsi="IRBadr" w:cs="IRBadr" w:hint="cs"/>
          <w:b/>
          <w:bCs/>
          <w:rtl/>
        </w:rPr>
        <w:t xml:space="preserve">صورت اول: </w:t>
      </w:r>
      <w:r>
        <w:rPr>
          <w:rFonts w:ascii="IRBadr" w:hAnsi="IRBadr" w:cs="IRBadr" w:hint="cs"/>
          <w:rtl/>
        </w:rPr>
        <w:t>آنکه در مقام تعارض، روایات موافق عامه</w:t>
      </w:r>
      <w:r w:rsidR="00636853">
        <w:rPr>
          <w:rFonts w:ascii="IRBadr" w:hAnsi="IRBadr" w:cs="IRBadr" w:hint="cs"/>
          <w:rtl/>
        </w:rPr>
        <w:t>،</w:t>
      </w:r>
      <w:r>
        <w:rPr>
          <w:rFonts w:ascii="IRBadr" w:hAnsi="IRBadr" w:cs="IRBadr" w:hint="cs"/>
          <w:rtl/>
        </w:rPr>
        <w:t xml:space="preserve"> به جهت اخبار علاجیه طرح شود. </w:t>
      </w:r>
    </w:p>
    <w:p w:rsidR="007A142E" w:rsidRDefault="007A142E" w:rsidP="00636853">
      <w:pPr>
        <w:ind w:firstLine="423"/>
        <w:rPr>
          <w:rFonts w:ascii="IRBadr" w:hAnsi="IRBadr" w:cs="IRBadr"/>
          <w:rtl/>
        </w:rPr>
      </w:pPr>
      <w:r w:rsidRPr="00636853">
        <w:rPr>
          <w:rFonts w:ascii="IRBadr" w:hAnsi="IRBadr" w:cs="IRBadr" w:hint="cs"/>
          <w:b/>
          <w:bCs/>
          <w:rtl/>
        </w:rPr>
        <w:t>صورت دوم:</w:t>
      </w:r>
      <w:r>
        <w:rPr>
          <w:rFonts w:ascii="IRBadr" w:hAnsi="IRBadr" w:cs="IRBadr" w:hint="cs"/>
          <w:rtl/>
        </w:rPr>
        <w:t xml:space="preserve"> آنکه </w:t>
      </w:r>
      <w:r w:rsidR="00636853">
        <w:rPr>
          <w:rFonts w:ascii="IRBadr" w:hAnsi="IRBadr" w:cs="IRBadr" w:hint="cs"/>
          <w:rtl/>
        </w:rPr>
        <w:t>به جهت ترجیح مرجّحات منصوصه نسبت به مرجّحات غیرمنصوصه، روایات موافق عامه طرح شود.</w:t>
      </w:r>
    </w:p>
    <w:p w:rsidR="00636853" w:rsidRDefault="00636853" w:rsidP="00636853">
      <w:pPr>
        <w:ind w:firstLine="423"/>
        <w:rPr>
          <w:rFonts w:ascii="IRBadr" w:hAnsi="IRBadr" w:cs="IRBadr"/>
          <w:rtl/>
        </w:rPr>
      </w:pPr>
      <w:r w:rsidRPr="00636853">
        <w:rPr>
          <w:rFonts w:ascii="IRBadr" w:hAnsi="IRBadr" w:cs="IRBadr" w:hint="cs"/>
          <w:b/>
          <w:bCs/>
          <w:rtl/>
        </w:rPr>
        <w:t>صورت سوم:</w:t>
      </w:r>
      <w:r>
        <w:rPr>
          <w:rFonts w:ascii="IRBadr" w:hAnsi="IRBadr" w:cs="IRBadr" w:hint="cs"/>
          <w:rtl/>
        </w:rPr>
        <w:t xml:space="preserve"> روایات موافق عامه حمل بر بیان حکم در ظرف تقیه شود. </w:t>
      </w:r>
    </w:p>
    <w:p w:rsidR="00636853" w:rsidRDefault="00304577" w:rsidP="0090710E">
      <w:pPr>
        <w:ind w:firstLine="423"/>
        <w:rPr>
          <w:rFonts w:ascii="IRBadr" w:hAnsi="IRBadr" w:cs="IRBadr"/>
          <w:rtl/>
        </w:rPr>
      </w:pPr>
      <w:r>
        <w:rPr>
          <w:rFonts w:ascii="IRBadr" w:hAnsi="IRBadr" w:cs="IRBadr" w:hint="cs"/>
          <w:rtl/>
        </w:rPr>
        <w:t xml:space="preserve">باید بررسی شود که معیار، موافقت با چه فتوایی از عامه است. </w:t>
      </w:r>
      <w:r w:rsidR="0090710E">
        <w:rPr>
          <w:rFonts w:ascii="IRBadr" w:hAnsi="IRBadr" w:cs="IRBadr" w:hint="cs"/>
          <w:rtl/>
        </w:rPr>
        <w:t xml:space="preserve">روشن است که </w:t>
      </w:r>
      <w:r>
        <w:rPr>
          <w:rFonts w:ascii="IRBadr" w:hAnsi="IRBadr" w:cs="IRBadr" w:hint="cs"/>
          <w:rtl/>
        </w:rPr>
        <w:t>موافقت با عامه‌ای که معاصر معصوم است، اهمیّت دارد نه هر فتوایی از عامه. نکته دیگر</w:t>
      </w:r>
      <w:r w:rsidR="0090710E">
        <w:rPr>
          <w:rFonts w:ascii="IRBadr" w:hAnsi="IRBadr" w:cs="IRBadr" w:hint="cs"/>
          <w:rtl/>
        </w:rPr>
        <w:t>ی که جای بحث ندارد</w:t>
      </w:r>
      <w:r>
        <w:rPr>
          <w:rFonts w:ascii="IRBadr" w:hAnsi="IRBadr" w:cs="IRBadr" w:hint="cs"/>
          <w:rtl/>
        </w:rPr>
        <w:t xml:space="preserve"> آنکه فقیهی که قولش در بین عموم مردم و جامعه مطرح بوده است باید در نظر گرفته شود نه هر فقیهی. </w:t>
      </w:r>
    </w:p>
    <w:p w:rsidR="0090710E" w:rsidRDefault="0090710E" w:rsidP="0090710E">
      <w:pPr>
        <w:ind w:firstLine="423"/>
        <w:rPr>
          <w:rFonts w:ascii="IRBadr" w:hAnsi="IRBadr" w:cs="IRBadr"/>
          <w:rtl/>
        </w:rPr>
      </w:pPr>
      <w:r>
        <w:rPr>
          <w:rFonts w:ascii="IRBadr" w:hAnsi="IRBadr" w:cs="IRBadr" w:hint="cs"/>
          <w:rtl/>
        </w:rPr>
        <w:t xml:space="preserve">آنچه جای بحث دارد، </w:t>
      </w:r>
      <w:r w:rsidR="00D034D8">
        <w:rPr>
          <w:rFonts w:ascii="IRBadr" w:hAnsi="IRBadr" w:cs="IRBadr" w:hint="cs"/>
          <w:rtl/>
        </w:rPr>
        <w:t xml:space="preserve">یک بحث کبروی </w:t>
      </w:r>
      <w:r>
        <w:rPr>
          <w:rFonts w:ascii="IRBadr" w:hAnsi="IRBadr" w:cs="IRBadr" w:hint="cs"/>
          <w:rtl/>
        </w:rPr>
        <w:t xml:space="preserve">است </w:t>
      </w:r>
      <w:r w:rsidR="00D034D8">
        <w:rPr>
          <w:rFonts w:ascii="IRBadr" w:hAnsi="IRBadr" w:cs="IRBadr" w:hint="cs"/>
          <w:rtl/>
        </w:rPr>
        <w:t xml:space="preserve">که باید مدّ نظر قرار داد </w:t>
      </w:r>
      <w:r>
        <w:rPr>
          <w:rFonts w:ascii="IRBadr" w:hAnsi="IRBadr" w:cs="IRBadr" w:hint="cs"/>
          <w:rtl/>
        </w:rPr>
        <w:t xml:space="preserve">و </w:t>
      </w:r>
      <w:r w:rsidR="00D034D8">
        <w:rPr>
          <w:rFonts w:ascii="IRBadr" w:hAnsi="IRBadr" w:cs="IRBadr" w:hint="cs"/>
          <w:rtl/>
        </w:rPr>
        <w:t xml:space="preserve">آن </w:t>
      </w:r>
      <w:r>
        <w:rPr>
          <w:rFonts w:ascii="IRBadr" w:hAnsi="IRBadr" w:cs="IRBadr" w:hint="cs"/>
          <w:rtl/>
        </w:rPr>
        <w:t>این</w:t>
      </w:r>
      <w:r w:rsidR="00D034D8">
        <w:rPr>
          <w:rFonts w:ascii="IRBadr" w:hAnsi="IRBadr" w:cs="IRBadr" w:hint="cs"/>
          <w:rtl/>
        </w:rPr>
        <w:t xml:space="preserve">که مدار بحث در بررسی قول عامه، فقیه مردمی است یا فقیه حکومتی. یک بحث صغروی هم در مورد جایگاه ابوحنیفه در کوفه باید لحاظ گردد. </w:t>
      </w:r>
      <w:r>
        <w:rPr>
          <w:rFonts w:ascii="IRBadr" w:hAnsi="IRBadr" w:cs="IRBadr" w:hint="cs"/>
          <w:rtl/>
        </w:rPr>
        <w:t xml:space="preserve">بیان شد که در کوفه ابوحنیفه نفوذ زیادی داشته است، بنابرین نظرات او باید لحاظ شود و مورد بررسی قرار گیرد. ابوحنیفه در بین مردم کوفه نفوذ داشته ولی نفوذ حکومتی چندانی در زمان خود نداشته است، هرچند که پس از او، دو شاگرد معروفش قاضی ابویوسف و محمد بن حسن شیبانی نفوذ حکومتی هم پیدا کرده و فقه حنفی را گسترش دادند. </w:t>
      </w:r>
    </w:p>
    <w:p w:rsidR="00585393" w:rsidRDefault="00D034D8" w:rsidP="0090710E">
      <w:pPr>
        <w:ind w:firstLine="423"/>
        <w:rPr>
          <w:rFonts w:ascii="IRBadr" w:hAnsi="IRBadr" w:cs="IRBadr"/>
          <w:rtl/>
        </w:rPr>
      </w:pPr>
      <w:r>
        <w:rPr>
          <w:rFonts w:ascii="IRBadr" w:hAnsi="IRBadr" w:cs="IRBadr" w:hint="cs"/>
          <w:rtl/>
        </w:rPr>
        <w:t xml:space="preserve">هر یک از سه </w:t>
      </w:r>
      <w:r w:rsidR="00ED678F">
        <w:rPr>
          <w:rFonts w:ascii="IRBadr" w:hAnsi="IRBadr" w:cs="IRBadr" w:hint="cs"/>
          <w:rtl/>
        </w:rPr>
        <w:t>صورت</w:t>
      </w:r>
      <w:r>
        <w:rPr>
          <w:rFonts w:ascii="IRBadr" w:hAnsi="IRBadr" w:cs="IRBadr" w:hint="cs"/>
          <w:rtl/>
        </w:rPr>
        <w:t xml:space="preserve"> </w:t>
      </w:r>
      <w:r w:rsidR="0090710E">
        <w:rPr>
          <w:rFonts w:ascii="IRBadr" w:hAnsi="IRBadr" w:cs="IRBadr" w:hint="cs"/>
          <w:rtl/>
        </w:rPr>
        <w:t xml:space="preserve">مذکور، </w:t>
      </w:r>
      <w:r>
        <w:rPr>
          <w:rFonts w:ascii="IRBadr" w:hAnsi="IRBadr" w:cs="IRBadr" w:hint="cs"/>
          <w:rtl/>
        </w:rPr>
        <w:t xml:space="preserve">باید بررسی </w:t>
      </w:r>
      <w:r w:rsidR="0090710E">
        <w:rPr>
          <w:rFonts w:ascii="IRBadr" w:hAnsi="IRBadr" w:cs="IRBadr" w:hint="cs"/>
          <w:rtl/>
        </w:rPr>
        <w:t>گردد</w:t>
      </w:r>
      <w:r>
        <w:rPr>
          <w:rFonts w:ascii="IRBadr" w:hAnsi="IRBadr" w:cs="IRBadr" w:hint="cs"/>
          <w:rtl/>
        </w:rPr>
        <w:t xml:space="preserve"> </w:t>
      </w:r>
      <w:r w:rsidR="0090710E">
        <w:rPr>
          <w:rFonts w:ascii="IRBadr" w:hAnsi="IRBadr" w:cs="IRBadr" w:hint="cs"/>
          <w:rtl/>
        </w:rPr>
        <w:t>و به این سوالات پاسخ داده شود.</w:t>
      </w:r>
    </w:p>
    <w:p w:rsidR="00585393" w:rsidRDefault="00585393" w:rsidP="00585393">
      <w:pPr>
        <w:pStyle w:val="Heading2"/>
      </w:pPr>
      <w:bookmarkStart w:id="6" w:name="_Toc147737995"/>
      <w:bookmarkStart w:id="7" w:name="_Toc147738011"/>
      <w:r>
        <w:rPr>
          <w:rFonts w:hint="cs"/>
          <w:rtl/>
        </w:rPr>
        <w:lastRenderedPageBreak/>
        <w:t>بررسی صورت اول</w:t>
      </w:r>
      <w:r w:rsidR="00E9371A">
        <w:rPr>
          <w:rFonts w:hint="cs"/>
          <w:rtl/>
        </w:rPr>
        <w:t>؛ اخبار علاجیه</w:t>
      </w:r>
      <w:bookmarkEnd w:id="6"/>
      <w:bookmarkEnd w:id="7"/>
    </w:p>
    <w:p w:rsidR="00084B84" w:rsidRDefault="00084B84" w:rsidP="00585393">
      <w:pPr>
        <w:ind w:firstLine="423"/>
        <w:rPr>
          <w:rFonts w:ascii="IRBadr" w:hAnsi="IRBadr" w:cs="IRBadr"/>
          <w:rtl/>
        </w:rPr>
      </w:pPr>
      <w:r>
        <w:rPr>
          <w:rFonts w:ascii="IRBadr" w:hAnsi="IRBadr" w:cs="IRBadr" w:hint="cs"/>
          <w:rtl/>
        </w:rPr>
        <w:t xml:space="preserve">یکی از مرجّحات، ترجیح به مخالفت عامه است. </w:t>
      </w:r>
      <w:r w:rsidR="00585393">
        <w:rPr>
          <w:rFonts w:ascii="IRBadr" w:hAnsi="IRBadr" w:cs="IRBadr" w:hint="cs"/>
          <w:rtl/>
        </w:rPr>
        <w:t>در برخی روایات وارد شده است که «خذ بما خالف العامّة»</w:t>
      </w:r>
      <w:r w:rsidR="00462E08">
        <w:rPr>
          <w:rFonts w:ascii="IRBadr" w:hAnsi="IRBadr" w:cs="IRBadr"/>
        </w:rPr>
        <w:t>.</w:t>
      </w:r>
    </w:p>
    <w:p w:rsidR="008C54CB" w:rsidRDefault="00084B84" w:rsidP="001B761B">
      <w:pPr>
        <w:ind w:firstLine="423"/>
        <w:rPr>
          <w:rFonts w:ascii="IRBadr" w:hAnsi="IRBadr" w:cs="IRBadr"/>
          <w:rtl/>
        </w:rPr>
      </w:pPr>
      <w:r>
        <w:rPr>
          <w:rFonts w:ascii="IRBadr" w:hAnsi="IRBadr" w:cs="IRBadr" w:hint="cs"/>
          <w:rtl/>
        </w:rPr>
        <w:t xml:space="preserve">ظاهر </w:t>
      </w:r>
      <w:r w:rsidR="003E45B5">
        <w:rPr>
          <w:rFonts w:ascii="IRBadr" w:hAnsi="IRBadr" w:cs="IRBadr" w:hint="cs"/>
          <w:rtl/>
        </w:rPr>
        <w:t>این تعبیر آن است که</w:t>
      </w:r>
      <w:r>
        <w:rPr>
          <w:rFonts w:ascii="IRBadr" w:hAnsi="IRBadr" w:cs="IRBadr" w:hint="cs"/>
          <w:rtl/>
        </w:rPr>
        <w:t xml:space="preserve"> فتوایی</w:t>
      </w:r>
      <w:r w:rsidR="00462E08">
        <w:rPr>
          <w:rFonts w:ascii="IRBadr" w:hAnsi="IRBadr" w:cs="IRBadr" w:hint="cs"/>
          <w:rtl/>
        </w:rPr>
        <w:t xml:space="preserve"> </w:t>
      </w:r>
      <w:r>
        <w:rPr>
          <w:rFonts w:ascii="IRBadr" w:hAnsi="IRBadr" w:cs="IRBadr" w:hint="cs"/>
          <w:rtl/>
        </w:rPr>
        <w:t xml:space="preserve">که </w:t>
      </w:r>
      <w:r w:rsidR="00653222">
        <w:rPr>
          <w:rFonts w:ascii="IRBadr" w:hAnsi="IRBadr" w:cs="IRBadr" w:hint="cs"/>
          <w:rtl/>
        </w:rPr>
        <w:t>موافق اجماع عامه و</w:t>
      </w:r>
      <w:r w:rsidR="00462E08">
        <w:rPr>
          <w:rFonts w:ascii="IRBadr" w:hAnsi="IRBadr" w:cs="IRBadr" w:hint="cs"/>
          <w:rtl/>
        </w:rPr>
        <w:t xml:space="preserve"> </w:t>
      </w:r>
      <w:r w:rsidR="00653222">
        <w:rPr>
          <w:rFonts w:ascii="IRBadr" w:hAnsi="IRBadr" w:cs="IRBadr" w:hint="cs"/>
          <w:rtl/>
        </w:rPr>
        <w:t xml:space="preserve">یا </w:t>
      </w:r>
      <w:r>
        <w:rPr>
          <w:rFonts w:ascii="IRBadr" w:hAnsi="IRBadr" w:cs="IRBadr" w:hint="cs"/>
          <w:rtl/>
        </w:rPr>
        <w:t>حداقل موافق جمهور عامه باشد</w:t>
      </w:r>
      <w:r w:rsidR="003E45B5">
        <w:rPr>
          <w:rFonts w:ascii="IRBadr" w:hAnsi="IRBadr" w:cs="IRBadr" w:hint="cs"/>
          <w:rtl/>
        </w:rPr>
        <w:t>، مطروح است</w:t>
      </w:r>
      <w:r w:rsidR="00462E08">
        <w:rPr>
          <w:rFonts w:ascii="IRBadr" w:hAnsi="IRBadr" w:cs="IRBadr" w:hint="cs"/>
          <w:rtl/>
        </w:rPr>
        <w:t>،</w:t>
      </w:r>
      <w:r>
        <w:rPr>
          <w:rFonts w:ascii="IRBadr" w:hAnsi="IRBadr" w:cs="IRBadr" w:hint="cs"/>
          <w:rtl/>
        </w:rPr>
        <w:t xml:space="preserve"> </w:t>
      </w:r>
      <w:r w:rsidR="00462E08">
        <w:rPr>
          <w:rFonts w:ascii="IRBadr" w:hAnsi="IRBadr" w:cs="IRBadr" w:hint="cs"/>
          <w:rtl/>
        </w:rPr>
        <w:t>و</w:t>
      </w:r>
      <w:r>
        <w:rPr>
          <w:rFonts w:ascii="IRBadr" w:hAnsi="IRBadr" w:cs="IRBadr" w:hint="cs"/>
          <w:rtl/>
        </w:rPr>
        <w:t xml:space="preserve"> </w:t>
      </w:r>
      <w:r w:rsidR="00462E08">
        <w:rPr>
          <w:rFonts w:ascii="IRBadr" w:hAnsi="IRBadr" w:cs="IRBadr" w:hint="cs"/>
          <w:rtl/>
        </w:rPr>
        <w:t>روایتی راجح است که مخالف جمهور عامه باشد و در مقابل آن، قول شاذ و نادری باشد؛ بنابرین،</w:t>
      </w:r>
      <w:r>
        <w:rPr>
          <w:rFonts w:ascii="IRBadr" w:hAnsi="IRBadr" w:cs="IRBadr" w:hint="cs"/>
          <w:rtl/>
        </w:rPr>
        <w:t xml:space="preserve"> در جایی که عامه دو فتوای مشهور داشته باشند، داخل در اخبار علاجیه نمی‌شود.</w:t>
      </w:r>
      <w:r w:rsidR="003E6AB3">
        <w:rPr>
          <w:rFonts w:ascii="IRBadr" w:hAnsi="IRBadr" w:cs="IRBadr" w:hint="cs"/>
          <w:rtl/>
        </w:rPr>
        <w:t xml:space="preserve"> </w:t>
      </w:r>
      <w:r w:rsidR="008C54CB">
        <w:rPr>
          <w:rFonts w:ascii="IRBadr" w:hAnsi="IRBadr" w:cs="IRBadr" w:hint="cs"/>
          <w:rtl/>
        </w:rPr>
        <w:t>نتیجه آنکه اگر روایتی موافق جمهور عامه نبود و فقط موافق با فتوای</w:t>
      </w:r>
      <w:r w:rsidR="00585393">
        <w:rPr>
          <w:rFonts w:ascii="IRBadr" w:hAnsi="IRBadr" w:cs="IRBadr" w:hint="cs"/>
          <w:rtl/>
        </w:rPr>
        <w:t xml:space="preserve"> </w:t>
      </w:r>
      <w:r w:rsidR="001B761B">
        <w:rPr>
          <w:rFonts w:ascii="IRBadr" w:hAnsi="IRBadr" w:cs="IRBadr" w:hint="cs"/>
          <w:rtl/>
        </w:rPr>
        <w:t xml:space="preserve">مثلا </w:t>
      </w:r>
      <w:r w:rsidR="00585393">
        <w:rPr>
          <w:rFonts w:ascii="IRBadr" w:hAnsi="IRBadr" w:cs="IRBadr" w:hint="cs"/>
          <w:rtl/>
        </w:rPr>
        <w:t>فقط</w:t>
      </w:r>
      <w:r w:rsidR="008C54CB">
        <w:rPr>
          <w:rFonts w:ascii="IRBadr" w:hAnsi="IRBadr" w:cs="IRBadr" w:hint="cs"/>
          <w:rtl/>
        </w:rPr>
        <w:t xml:space="preserve"> یک فقیه از عامه بود</w:t>
      </w:r>
      <w:r w:rsidR="006F7C9A">
        <w:rPr>
          <w:rFonts w:ascii="IRBadr" w:hAnsi="IRBadr" w:cs="IRBadr" w:hint="cs"/>
          <w:rtl/>
        </w:rPr>
        <w:t xml:space="preserve"> </w:t>
      </w:r>
      <w:r w:rsidR="00585393">
        <w:rPr>
          <w:rFonts w:ascii="IRBadr" w:hAnsi="IRBadr" w:cs="IRBadr" w:hint="cs"/>
          <w:rtl/>
        </w:rPr>
        <w:t>(</w:t>
      </w:r>
      <w:r w:rsidR="006F7C9A">
        <w:rPr>
          <w:rFonts w:ascii="IRBadr" w:hAnsi="IRBadr" w:cs="IRBadr" w:hint="cs"/>
          <w:rtl/>
        </w:rPr>
        <w:t>و لو آن یک فقیه</w:t>
      </w:r>
      <w:r w:rsidR="001B761B">
        <w:rPr>
          <w:rFonts w:ascii="IRBadr" w:hAnsi="IRBadr" w:cs="IRBadr" w:hint="cs"/>
          <w:rtl/>
        </w:rPr>
        <w:t>،</w:t>
      </w:r>
      <w:r w:rsidR="006F7C9A">
        <w:rPr>
          <w:rFonts w:ascii="IRBadr" w:hAnsi="IRBadr" w:cs="IRBadr" w:hint="cs"/>
          <w:rtl/>
        </w:rPr>
        <w:t xml:space="preserve"> در </w:t>
      </w:r>
      <w:r w:rsidR="001B761B">
        <w:rPr>
          <w:rFonts w:ascii="IRBadr" w:hAnsi="IRBadr" w:cs="IRBadr" w:hint="cs"/>
          <w:rtl/>
        </w:rPr>
        <w:t>محلّ زندگی</w:t>
      </w:r>
      <w:r w:rsidR="006F7C9A">
        <w:rPr>
          <w:rFonts w:ascii="IRBadr" w:hAnsi="IRBadr" w:cs="IRBadr" w:hint="cs"/>
          <w:rtl/>
        </w:rPr>
        <w:t xml:space="preserve"> امام صادق (ع) در مدینه باشد یا در منطقه کوفه باشد که غالب</w:t>
      </w:r>
      <w:r w:rsidR="00585393">
        <w:rPr>
          <w:rFonts w:ascii="IRBadr" w:hAnsi="IRBadr" w:cs="IRBadr" w:hint="cs"/>
          <w:rtl/>
        </w:rPr>
        <w:t xml:space="preserve"> روات</w:t>
      </w:r>
      <w:r w:rsidR="006F7C9A">
        <w:rPr>
          <w:rFonts w:ascii="IRBadr" w:hAnsi="IRBadr" w:cs="IRBadr" w:hint="cs"/>
          <w:rtl/>
        </w:rPr>
        <w:t xml:space="preserve"> در آن منطقه هستند</w:t>
      </w:r>
      <w:r w:rsidR="00585393">
        <w:rPr>
          <w:rFonts w:ascii="IRBadr" w:hAnsi="IRBadr" w:cs="IRBadr" w:hint="cs"/>
          <w:rtl/>
        </w:rPr>
        <w:t>)</w:t>
      </w:r>
      <w:r w:rsidR="008C54CB">
        <w:rPr>
          <w:rFonts w:ascii="IRBadr" w:hAnsi="IRBadr" w:cs="IRBadr" w:hint="cs"/>
          <w:rtl/>
        </w:rPr>
        <w:t xml:space="preserve">، </w:t>
      </w:r>
      <w:r w:rsidR="006B7B44">
        <w:rPr>
          <w:rFonts w:ascii="IRBadr" w:hAnsi="IRBadr" w:cs="IRBadr" w:hint="cs"/>
          <w:rtl/>
        </w:rPr>
        <w:t>این روایت، طرح نمی‌گردد.</w:t>
      </w:r>
      <w:r w:rsidR="008C54CB">
        <w:rPr>
          <w:rFonts w:ascii="IRBadr" w:hAnsi="IRBadr" w:cs="IRBadr" w:hint="cs"/>
          <w:rtl/>
        </w:rPr>
        <w:t xml:space="preserve"> </w:t>
      </w:r>
    </w:p>
    <w:p w:rsidR="00084B84" w:rsidRDefault="003E6AB3" w:rsidP="00082D4D">
      <w:pPr>
        <w:ind w:firstLine="423"/>
        <w:rPr>
          <w:rFonts w:ascii="IRBadr" w:hAnsi="IRBadr" w:cs="IRBadr"/>
          <w:rtl/>
        </w:rPr>
      </w:pPr>
      <w:r>
        <w:rPr>
          <w:rFonts w:ascii="IRBadr" w:hAnsi="IRBadr" w:cs="IRBadr" w:hint="cs"/>
          <w:rtl/>
        </w:rPr>
        <w:t>در روایت عمر بن حنظله نکته‌ای وارد شده است غیر از آنچه در عمومات ترجیح به مخالفت عامه ذکر شده است. در این روا</w:t>
      </w:r>
      <w:r w:rsidR="00726840">
        <w:rPr>
          <w:rFonts w:ascii="IRBadr" w:hAnsi="IRBadr" w:cs="IRBadr" w:hint="cs"/>
          <w:rtl/>
        </w:rPr>
        <w:t>یت آمده است که آنچه حکّام و قضات</w:t>
      </w:r>
      <w:r>
        <w:rPr>
          <w:rFonts w:ascii="IRBadr" w:hAnsi="IRBadr" w:cs="IRBadr" w:hint="cs"/>
          <w:rtl/>
        </w:rPr>
        <w:t xml:space="preserve"> به آن امیل هستند را رها کن. از این روایت استفاده می‌شود که ملاک</w:t>
      </w:r>
      <w:r w:rsidR="0031576A">
        <w:rPr>
          <w:rFonts w:ascii="IRBadr" w:hAnsi="IRBadr" w:cs="IRBadr" w:hint="cs"/>
          <w:rtl/>
        </w:rPr>
        <w:t>،</w:t>
      </w:r>
      <w:r>
        <w:rPr>
          <w:rFonts w:ascii="IRBadr" w:hAnsi="IRBadr" w:cs="IRBadr" w:hint="cs"/>
          <w:rtl/>
        </w:rPr>
        <w:t xml:space="preserve"> ح</w:t>
      </w:r>
      <w:r w:rsidR="00462E08">
        <w:rPr>
          <w:rFonts w:ascii="IRBadr" w:hAnsi="IRBadr" w:cs="IRBadr" w:hint="cs"/>
          <w:rtl/>
        </w:rPr>
        <w:t>ُ</w:t>
      </w:r>
      <w:r>
        <w:rPr>
          <w:rFonts w:ascii="IRBadr" w:hAnsi="IRBadr" w:cs="IRBadr" w:hint="cs"/>
          <w:rtl/>
        </w:rPr>
        <w:t>کّا</w:t>
      </w:r>
      <w:r w:rsidR="00462E08">
        <w:rPr>
          <w:rFonts w:ascii="IRBadr" w:hAnsi="IRBadr" w:cs="IRBadr" w:hint="cs"/>
          <w:rtl/>
        </w:rPr>
        <w:t>م و قضات</w:t>
      </w:r>
      <w:r>
        <w:rPr>
          <w:rFonts w:ascii="IRBadr" w:hAnsi="IRBadr" w:cs="IRBadr" w:hint="cs"/>
          <w:rtl/>
        </w:rPr>
        <w:t xml:space="preserve"> هستند، و نفوذ مردمی در این مرجّح</w:t>
      </w:r>
      <w:r w:rsidR="00462E08">
        <w:rPr>
          <w:rFonts w:ascii="IRBadr" w:hAnsi="IRBadr" w:cs="IRBadr" w:hint="cs"/>
          <w:rtl/>
        </w:rPr>
        <w:t>،</w:t>
      </w:r>
      <w:r>
        <w:rPr>
          <w:rFonts w:ascii="IRBadr" w:hAnsi="IRBadr" w:cs="IRBadr" w:hint="cs"/>
          <w:rtl/>
        </w:rPr>
        <w:t xml:space="preserve"> دخالتی ندارد. </w:t>
      </w:r>
      <w:r w:rsidR="00462E08">
        <w:rPr>
          <w:rFonts w:ascii="IRBadr" w:hAnsi="IRBadr" w:cs="IRBadr" w:hint="cs"/>
          <w:rtl/>
        </w:rPr>
        <w:t>نتیجه آنکه در ترجیح به سبب اخبار علاجیه، آنچه مهم است</w:t>
      </w:r>
      <w:r w:rsidR="0031576A">
        <w:rPr>
          <w:rFonts w:ascii="IRBadr" w:hAnsi="IRBadr" w:cs="IRBadr" w:hint="cs"/>
          <w:rtl/>
        </w:rPr>
        <w:t>،</w:t>
      </w:r>
      <w:r w:rsidR="00462E08">
        <w:rPr>
          <w:rFonts w:ascii="IRBadr" w:hAnsi="IRBadr" w:cs="IRBadr" w:hint="cs"/>
          <w:rtl/>
        </w:rPr>
        <w:t xml:space="preserve"> م</w:t>
      </w:r>
      <w:r w:rsidR="00082D4D">
        <w:rPr>
          <w:rFonts w:ascii="IRBadr" w:hAnsi="IRBadr" w:cs="IRBadr" w:hint="cs"/>
          <w:rtl/>
        </w:rPr>
        <w:t>وافقت اجماع عامه یا جمهور عامه است و اگر اجماع یا جمهور نبود،</w:t>
      </w:r>
      <w:r w:rsidR="00462E08">
        <w:rPr>
          <w:rFonts w:ascii="IRBadr" w:hAnsi="IRBadr" w:cs="IRBadr" w:hint="cs"/>
          <w:rtl/>
        </w:rPr>
        <w:t xml:space="preserve"> قولی </w:t>
      </w:r>
      <w:r w:rsidR="00082D4D">
        <w:rPr>
          <w:rFonts w:ascii="IRBadr" w:hAnsi="IRBadr" w:cs="IRBadr" w:hint="cs"/>
          <w:rtl/>
        </w:rPr>
        <w:t xml:space="preserve">مهمّ </w:t>
      </w:r>
      <w:r w:rsidR="00462E08">
        <w:rPr>
          <w:rFonts w:ascii="IRBadr" w:hAnsi="IRBadr" w:cs="IRBadr" w:hint="cs"/>
          <w:rtl/>
        </w:rPr>
        <w:t xml:space="preserve">است که حکّام و قضات به آن میل بیشتری دارند. </w:t>
      </w:r>
    </w:p>
    <w:p w:rsidR="00BD7E3C" w:rsidRDefault="00BD7E3C" w:rsidP="00BD7E3C">
      <w:pPr>
        <w:pStyle w:val="Heading2"/>
        <w:rPr>
          <w:rtl/>
        </w:rPr>
      </w:pPr>
      <w:bookmarkStart w:id="8" w:name="_Toc147737996"/>
      <w:bookmarkStart w:id="9" w:name="_Toc147738012"/>
      <w:r>
        <w:rPr>
          <w:rFonts w:hint="cs"/>
          <w:rtl/>
        </w:rPr>
        <w:t>بررسی صورت دوم</w:t>
      </w:r>
      <w:r w:rsidR="00726840">
        <w:rPr>
          <w:rFonts w:hint="cs"/>
          <w:rtl/>
        </w:rPr>
        <w:t>؛ ترجیح</w:t>
      </w:r>
      <w:r w:rsidR="00E9371A">
        <w:rPr>
          <w:rFonts w:hint="cs"/>
          <w:rtl/>
        </w:rPr>
        <w:t xml:space="preserve"> مرجّحات منصوصه </w:t>
      </w:r>
      <w:r w:rsidR="00726840">
        <w:rPr>
          <w:rFonts w:hint="cs"/>
          <w:rtl/>
        </w:rPr>
        <w:t xml:space="preserve">نسبت </w:t>
      </w:r>
      <w:r w:rsidR="00E9371A">
        <w:rPr>
          <w:rFonts w:hint="cs"/>
          <w:rtl/>
        </w:rPr>
        <w:t>به غیر منصوصه</w:t>
      </w:r>
      <w:bookmarkEnd w:id="8"/>
      <w:bookmarkEnd w:id="9"/>
    </w:p>
    <w:p w:rsidR="00BD7E3C" w:rsidRDefault="00BD7E3C" w:rsidP="009E6C76">
      <w:pPr>
        <w:rPr>
          <w:rFonts w:ascii="IRBadr" w:hAnsi="IRBadr" w:cs="IRBadr"/>
          <w:rtl/>
        </w:rPr>
      </w:pPr>
      <w:r>
        <w:rPr>
          <w:rFonts w:ascii="IRBadr" w:hAnsi="IRBadr" w:cs="IRBadr" w:hint="cs"/>
          <w:rtl/>
        </w:rPr>
        <w:t xml:space="preserve">روایتی که موافق عامه است، احتمال تقیه در آن وجود دارد ولی روایتی که مخالف عامه باشد، احتمال تقیه در آن راه ندارد. ولی اینکه مهم، فقیه مردمی </w:t>
      </w:r>
      <w:r w:rsidR="001B761B">
        <w:rPr>
          <w:rFonts w:ascii="IRBadr" w:hAnsi="IRBadr" w:cs="IRBadr" w:hint="cs"/>
          <w:rtl/>
        </w:rPr>
        <w:t xml:space="preserve">عامه </w:t>
      </w:r>
      <w:r>
        <w:rPr>
          <w:rFonts w:ascii="IRBadr" w:hAnsi="IRBadr" w:cs="IRBadr" w:hint="cs"/>
          <w:rtl/>
        </w:rPr>
        <w:t>است یا فقیه حکومتی</w:t>
      </w:r>
      <w:r w:rsidR="001B761B">
        <w:rPr>
          <w:rFonts w:ascii="IRBadr" w:hAnsi="IRBadr" w:cs="IRBadr" w:hint="cs"/>
          <w:rtl/>
        </w:rPr>
        <w:t xml:space="preserve"> عامه</w:t>
      </w:r>
      <w:r>
        <w:rPr>
          <w:rFonts w:ascii="IRBadr" w:hAnsi="IRBadr" w:cs="IRBadr" w:hint="cs"/>
          <w:rtl/>
        </w:rPr>
        <w:t>، باید گفت اگر تمام فقهای حکومتی دارای یک فتوا باشند و فتاوای دیگر، مورد نظر حکومت نباشد، در این صورت</w:t>
      </w:r>
      <w:r w:rsidR="009E6C76">
        <w:rPr>
          <w:rFonts w:ascii="IRBadr" w:hAnsi="IRBadr" w:cs="IRBadr" w:hint="cs"/>
          <w:rtl/>
        </w:rPr>
        <w:t>، احتمال تقیه مطرح است. یعنی در جایی که فتاوای فقهای عامه، مختلف است ولی یک فتوا به طوری است که هیچ کس نمی‌تواند بر خلاف آن، در امور اجتماعی فتوا دهد، احتمال تقیه مطرح می‌شود. ولی در نوع موارد این‌گونه نیست.</w:t>
      </w:r>
    </w:p>
    <w:p w:rsidR="001B5609" w:rsidRDefault="001B5609" w:rsidP="001B5609">
      <w:pPr>
        <w:pStyle w:val="Heading2"/>
        <w:rPr>
          <w:rtl/>
        </w:rPr>
      </w:pPr>
      <w:bookmarkStart w:id="10" w:name="_Toc147737997"/>
      <w:bookmarkStart w:id="11" w:name="_Toc147738013"/>
      <w:r>
        <w:rPr>
          <w:rFonts w:hint="cs"/>
          <w:rtl/>
        </w:rPr>
        <w:t>بیان دو نکته تاثیرگذار در صدور فتوای تقیه‌ای</w:t>
      </w:r>
      <w:bookmarkEnd w:id="10"/>
      <w:bookmarkEnd w:id="11"/>
    </w:p>
    <w:p w:rsidR="009E6C76" w:rsidRDefault="009E6C76" w:rsidP="009E6C76">
      <w:pPr>
        <w:rPr>
          <w:rFonts w:ascii="IRBadr" w:hAnsi="IRBadr" w:cs="IRBadr"/>
          <w:rtl/>
        </w:rPr>
      </w:pPr>
      <w:r>
        <w:rPr>
          <w:rFonts w:ascii="IRBadr" w:hAnsi="IRBadr" w:cs="IRBadr" w:hint="cs"/>
          <w:rtl/>
        </w:rPr>
        <w:t xml:space="preserve">در اینجا دو نکته باید مورد توجّه قرار گیرد. </w:t>
      </w:r>
    </w:p>
    <w:p w:rsidR="001B5609" w:rsidRDefault="009E6C76" w:rsidP="001B5609">
      <w:pPr>
        <w:pStyle w:val="Heading3"/>
        <w:rPr>
          <w:rtl/>
        </w:rPr>
      </w:pPr>
      <w:bookmarkStart w:id="12" w:name="_Toc147737998"/>
      <w:bookmarkStart w:id="13" w:name="_Toc147738014"/>
      <w:r w:rsidRPr="001B761B">
        <w:rPr>
          <w:rFonts w:hint="cs"/>
          <w:rtl/>
        </w:rPr>
        <w:t>نکته اول:</w:t>
      </w:r>
      <w:r w:rsidR="001B5609">
        <w:rPr>
          <w:rFonts w:hint="cs"/>
          <w:rtl/>
        </w:rPr>
        <w:t xml:space="preserve"> مراعات فتوای مورد عمل حکومت</w:t>
      </w:r>
      <w:bookmarkEnd w:id="12"/>
      <w:bookmarkEnd w:id="13"/>
    </w:p>
    <w:p w:rsidR="001B761B" w:rsidRDefault="009E6C76" w:rsidP="001B761B">
      <w:pPr>
        <w:rPr>
          <w:rFonts w:ascii="IRBadr" w:hAnsi="IRBadr" w:cs="IRBadr"/>
          <w:rtl/>
        </w:rPr>
      </w:pPr>
      <w:r w:rsidRPr="001B761B">
        <w:rPr>
          <w:rFonts w:ascii="IRBadr" w:hAnsi="IRBadr" w:cs="IRBadr" w:hint="cs"/>
          <w:color w:val="FF0000"/>
          <w:rtl/>
        </w:rPr>
        <w:t xml:space="preserve"> </w:t>
      </w:r>
      <w:r>
        <w:rPr>
          <w:rFonts w:ascii="IRBadr" w:hAnsi="IRBadr" w:cs="IRBadr" w:hint="cs"/>
          <w:rtl/>
        </w:rPr>
        <w:t>آنکه باید گفت: آنچه برای حکومت‌ها اهمیّت دارد، آن است که در مقام عمل، در امور مربوط به حکومت، کسی با فتوای مورد نظر حکومت، مخالفت نکند؛</w:t>
      </w:r>
      <w:r w:rsidR="001B761B">
        <w:rPr>
          <w:rFonts w:ascii="IRBadr" w:hAnsi="IRBadr" w:cs="IRBadr" w:hint="cs"/>
          <w:rtl/>
        </w:rPr>
        <w:t xml:space="preserve"> از این امر استفاده می‌شود که در دو مورد، حکومت، حساسیّتی نسبت به فتوای مخالف ندارد:</w:t>
      </w:r>
    </w:p>
    <w:p w:rsidR="009E6C76" w:rsidRDefault="001B761B" w:rsidP="001B761B">
      <w:pPr>
        <w:rPr>
          <w:rFonts w:ascii="IRBadr" w:hAnsi="IRBadr" w:cs="IRBadr"/>
          <w:rtl/>
        </w:rPr>
      </w:pPr>
      <w:r w:rsidRPr="001B761B">
        <w:rPr>
          <w:rFonts w:ascii="IRBadr" w:hAnsi="IRBadr" w:cs="IRBadr" w:hint="cs"/>
          <w:b/>
          <w:bCs/>
          <w:rtl/>
        </w:rPr>
        <w:t xml:space="preserve">مورد اول: </w:t>
      </w:r>
      <w:r>
        <w:rPr>
          <w:rFonts w:ascii="IRBadr" w:hAnsi="IRBadr" w:cs="IRBadr" w:hint="cs"/>
          <w:rtl/>
        </w:rPr>
        <w:t xml:space="preserve">جایی که یک امر از امور اجتماعی است ولی یک فقیه، هرچند در مقام فتوا، مخالف حکومت است ولی در عمل به فتوای حکومت ملتزم است. در این مورد، حکومت حسّاسیّتی ندارد. </w:t>
      </w:r>
      <w:r w:rsidR="009E6C76">
        <w:rPr>
          <w:rFonts w:ascii="IRBadr" w:hAnsi="IRBadr" w:cs="IRBadr" w:hint="cs"/>
          <w:rtl/>
        </w:rPr>
        <w:t>به عنوان مثال، زکات که محلّ بحث است، در گذشته به گونه‌ای بوده است که حکومت بر اساس یک فتوا، زکات</w:t>
      </w:r>
      <w:r>
        <w:rPr>
          <w:rFonts w:ascii="IRBadr" w:hAnsi="IRBadr" w:cs="IRBadr" w:hint="cs"/>
          <w:rtl/>
        </w:rPr>
        <w:t xml:space="preserve"> را</w:t>
      </w:r>
      <w:r w:rsidR="009E6C76">
        <w:rPr>
          <w:rFonts w:ascii="IRBadr" w:hAnsi="IRBadr" w:cs="IRBadr" w:hint="cs"/>
          <w:rtl/>
        </w:rPr>
        <w:t xml:space="preserve"> </w:t>
      </w:r>
      <w:r>
        <w:rPr>
          <w:rFonts w:ascii="IRBadr" w:hAnsi="IRBadr" w:cs="IRBadr" w:hint="cs"/>
          <w:rtl/>
        </w:rPr>
        <w:t>از مردم</w:t>
      </w:r>
      <w:r w:rsidR="009E6C76">
        <w:rPr>
          <w:rFonts w:ascii="IRBadr" w:hAnsi="IRBadr" w:cs="IRBadr" w:hint="cs"/>
          <w:rtl/>
        </w:rPr>
        <w:t xml:space="preserve"> اخذ می‌نموده است. کسی نمی‌توانسته مثلا به عامل حکومت بگوید که </w:t>
      </w:r>
      <w:r w:rsidR="00AE326B">
        <w:rPr>
          <w:rFonts w:ascii="IRBadr" w:hAnsi="IRBadr" w:cs="IRBadr" w:hint="cs"/>
          <w:rtl/>
        </w:rPr>
        <w:t>من مقلّد فلان فقیه هستم که</w:t>
      </w:r>
      <w:r w:rsidR="009E6C76">
        <w:rPr>
          <w:rFonts w:ascii="IRBadr" w:hAnsi="IRBadr" w:cs="IRBadr" w:hint="cs"/>
          <w:rtl/>
        </w:rPr>
        <w:t xml:space="preserve"> این جنس را متعلّق زکات نمی‌داند. فتوایی که مبنای عمل حکومت است، بر طبق آن فتوا باید زکات پرداخت گردد و کسی</w:t>
      </w:r>
      <w:r>
        <w:rPr>
          <w:rFonts w:ascii="IRBadr" w:hAnsi="IRBadr" w:cs="IRBadr" w:hint="cs"/>
          <w:rtl/>
        </w:rPr>
        <w:t xml:space="preserve"> در عمل،</w:t>
      </w:r>
      <w:r w:rsidR="009E6C76">
        <w:rPr>
          <w:rFonts w:ascii="IRBadr" w:hAnsi="IRBadr" w:cs="IRBadr" w:hint="cs"/>
          <w:rtl/>
        </w:rPr>
        <w:t xml:space="preserve"> توان مقابله با این فتوا را ندارد. </w:t>
      </w:r>
      <w:r w:rsidR="00AE326B">
        <w:rPr>
          <w:rFonts w:ascii="IRBadr" w:hAnsi="IRBadr" w:cs="IRBadr" w:hint="cs"/>
          <w:rtl/>
        </w:rPr>
        <w:t>ولی اگر کسی زکات را پرداخت کند و بگوید این مطابق فتوای من نیست ولی به حکم حکومت ملتزم هستم و هرچه بگویند زک</w:t>
      </w:r>
      <w:r w:rsidR="003000E7">
        <w:rPr>
          <w:rFonts w:ascii="IRBadr" w:hAnsi="IRBadr" w:cs="IRBadr" w:hint="cs"/>
          <w:rtl/>
        </w:rPr>
        <w:t>ات می‌دهم، در این حالت</w:t>
      </w:r>
      <w:r>
        <w:rPr>
          <w:rFonts w:ascii="IRBadr" w:hAnsi="IRBadr" w:cs="IRBadr" w:hint="cs"/>
          <w:rtl/>
        </w:rPr>
        <w:t>،</w:t>
      </w:r>
      <w:r w:rsidR="003000E7">
        <w:rPr>
          <w:rFonts w:ascii="IRBadr" w:hAnsi="IRBadr" w:cs="IRBadr" w:hint="cs"/>
          <w:rtl/>
        </w:rPr>
        <w:t xml:space="preserve"> حکومت، با فتوای مخالف خودش مشکلی ندارد. و لازم </w:t>
      </w:r>
      <w:r w:rsidR="00FB5C02">
        <w:rPr>
          <w:rFonts w:ascii="IRBadr" w:hAnsi="IRBadr" w:cs="IRBadr" w:hint="cs"/>
          <w:rtl/>
        </w:rPr>
        <w:t xml:space="preserve">هم </w:t>
      </w:r>
      <w:r w:rsidR="003000E7">
        <w:rPr>
          <w:rFonts w:ascii="IRBadr" w:hAnsi="IRBadr" w:cs="IRBadr" w:hint="cs"/>
          <w:rtl/>
        </w:rPr>
        <w:t>نیست در مقام افتا</w:t>
      </w:r>
      <w:r w:rsidR="00FB5C02">
        <w:rPr>
          <w:rFonts w:ascii="IRBadr" w:hAnsi="IRBadr" w:cs="IRBadr" w:hint="cs"/>
          <w:rtl/>
        </w:rPr>
        <w:t>، تقیه</w:t>
      </w:r>
      <w:r w:rsidR="003000E7">
        <w:rPr>
          <w:rFonts w:ascii="IRBadr" w:hAnsi="IRBadr" w:cs="IRBadr" w:hint="cs"/>
          <w:rtl/>
        </w:rPr>
        <w:t xml:space="preserve"> صورت گیرد.</w:t>
      </w:r>
    </w:p>
    <w:p w:rsidR="00FB5C02" w:rsidRDefault="001B761B" w:rsidP="00FB5C02">
      <w:pPr>
        <w:rPr>
          <w:rFonts w:ascii="IRBadr" w:hAnsi="IRBadr" w:cs="IRBadr"/>
          <w:rtl/>
        </w:rPr>
      </w:pPr>
      <w:r w:rsidRPr="001B761B">
        <w:rPr>
          <w:rFonts w:ascii="IRBadr" w:hAnsi="IRBadr" w:cs="IRBadr" w:hint="cs"/>
          <w:b/>
          <w:bCs/>
          <w:rtl/>
        </w:rPr>
        <w:t xml:space="preserve">مورد دوم: </w:t>
      </w:r>
      <w:r w:rsidR="00FB5C02">
        <w:rPr>
          <w:rFonts w:ascii="IRBadr" w:hAnsi="IRBadr" w:cs="IRBadr" w:hint="cs"/>
          <w:rtl/>
        </w:rPr>
        <w:t xml:space="preserve">همچنین است در امور فردی، که به حکومت ارتباطی ندارد. در این امور نیز عمل فرد و فتوای فرد می‌تواند مخالف با فتوای مورد حمایت حکومت باشد. به عنوان مثال در زمان امام کاظم علیه السلام، حکومت بر طبق فتوای ابوحنیفه عمل می‌نمود. ابوحنیفه تکتّف را </w:t>
      </w:r>
      <w:r w:rsidR="00FB5C02">
        <w:rPr>
          <w:rFonts w:ascii="IRBadr" w:hAnsi="IRBadr" w:cs="IRBadr" w:hint="cs"/>
          <w:rtl/>
        </w:rPr>
        <w:lastRenderedPageBreak/>
        <w:t>واجب می‌داند ولی همه فقها واجب نمی‌دانند. اگر کسی در مقام عمل، تکتّف نکند، این به معنای مقابله با حکومت نیست؛ چرا که برای حکومت، اهمیّتی ندارد که کسی تکتّف را ترک کرده باشد.</w:t>
      </w:r>
    </w:p>
    <w:p w:rsidR="00417CDC" w:rsidRDefault="00417CDC" w:rsidP="00417CDC">
      <w:pPr>
        <w:rPr>
          <w:rFonts w:ascii="IRBadr" w:hAnsi="IRBadr" w:cs="IRBadr"/>
          <w:rtl/>
        </w:rPr>
      </w:pPr>
      <w:r>
        <w:rPr>
          <w:rFonts w:ascii="IRBadr" w:hAnsi="IRBadr" w:cs="IRBadr" w:hint="cs"/>
          <w:rtl/>
        </w:rPr>
        <w:t xml:space="preserve">نتیجه آنکه بین افتاء و مخالفت عملی با حکومت، تفاوت وجود دارد. در جایی که فتاوای عامه مختلف است، امکان دارد که یک فقیه بر طبق یک مبنا فتوا دهد، و لو آن فتوا، مبنای عمل حکومت نباشد. </w:t>
      </w:r>
    </w:p>
    <w:p w:rsidR="001B5609" w:rsidRDefault="00417CDC" w:rsidP="001B5609">
      <w:pPr>
        <w:pStyle w:val="Heading3"/>
        <w:rPr>
          <w:rtl/>
        </w:rPr>
      </w:pPr>
      <w:bookmarkStart w:id="14" w:name="_Toc147737999"/>
      <w:bookmarkStart w:id="15" w:name="_Toc147738015"/>
      <w:r w:rsidRPr="001B761B">
        <w:rPr>
          <w:rFonts w:hint="cs"/>
          <w:rtl/>
        </w:rPr>
        <w:t xml:space="preserve">نکته دوم: </w:t>
      </w:r>
      <w:r w:rsidR="001B5609">
        <w:rPr>
          <w:rFonts w:hint="cs"/>
          <w:rtl/>
        </w:rPr>
        <w:t>مراعات بحث اتّهام به تشیّع و در معرض اتّهام قرار نگرفتن</w:t>
      </w:r>
      <w:bookmarkEnd w:id="14"/>
      <w:bookmarkEnd w:id="15"/>
    </w:p>
    <w:p w:rsidR="006772B2" w:rsidRDefault="00417CDC" w:rsidP="001B5609">
      <w:pPr>
        <w:rPr>
          <w:rFonts w:ascii="IRBadr" w:hAnsi="IRBadr" w:cs="IRBadr"/>
          <w:rtl/>
        </w:rPr>
      </w:pPr>
      <w:r>
        <w:rPr>
          <w:rFonts w:ascii="IRBadr" w:hAnsi="IRBadr" w:cs="IRBadr" w:hint="cs"/>
          <w:rtl/>
        </w:rPr>
        <w:t xml:space="preserve">یکی از نکاتی که حکومت‌ها با آن مشکل داشتند، مذهب شیعه است؛ چرا که درگیری شیعیان با حکومت‌ها </w:t>
      </w:r>
      <w:r w:rsidR="001B5609">
        <w:rPr>
          <w:rFonts w:ascii="IRBadr" w:hAnsi="IRBadr" w:cs="IRBadr" w:hint="cs"/>
          <w:rtl/>
        </w:rPr>
        <w:t xml:space="preserve">-به خصوص در دوره خلفای عباسی- </w:t>
      </w:r>
      <w:r>
        <w:rPr>
          <w:rFonts w:ascii="IRBadr" w:hAnsi="IRBadr" w:cs="IRBadr" w:hint="cs"/>
          <w:rtl/>
        </w:rPr>
        <w:t xml:space="preserve">زیاد بوده است. </w:t>
      </w:r>
      <w:r w:rsidR="0065583D">
        <w:rPr>
          <w:rFonts w:ascii="IRBadr" w:hAnsi="IRBadr" w:cs="IRBadr" w:hint="cs"/>
          <w:rtl/>
        </w:rPr>
        <w:t>در برخی مواقع، مخالفت با فتوای رایج، نشانگر شیعه بودن شخص، تلقّی می‌شده است.</w:t>
      </w:r>
      <w:r w:rsidR="00E6187B">
        <w:rPr>
          <w:rFonts w:ascii="IRBadr" w:hAnsi="IRBadr" w:cs="IRBadr" w:hint="cs"/>
          <w:rtl/>
        </w:rPr>
        <w:t xml:space="preserve"> به عنوان مثال، در کوفه که فتوای ابوحنیفه نافذ است، اگر یکی از روات کوفه در این شهر</w:t>
      </w:r>
      <w:r w:rsidR="006772B2">
        <w:rPr>
          <w:rFonts w:ascii="IRBadr" w:hAnsi="IRBadr" w:cs="IRBadr" w:hint="cs"/>
          <w:rtl/>
        </w:rPr>
        <w:t>،</w:t>
      </w:r>
      <w:r w:rsidR="00E6187B">
        <w:rPr>
          <w:rFonts w:ascii="IRBadr" w:hAnsi="IRBadr" w:cs="IRBadr" w:hint="cs"/>
          <w:rtl/>
        </w:rPr>
        <w:t xml:space="preserve"> فتوایی انتخاب کند که فتوای ابوحنیفه نباشد بلکه مطابق با یکی دیگر از فقهای عامه مثلا مالک باشد، صِرف مخالفت با ابوحنیفه، زمینه اتّهام او به تشیّع را فراهم می‌کرده است. </w:t>
      </w:r>
    </w:p>
    <w:p w:rsidR="00D87160" w:rsidRDefault="0086669E" w:rsidP="006772B2">
      <w:pPr>
        <w:rPr>
          <w:rFonts w:ascii="IRBadr" w:hAnsi="IRBadr" w:cs="IRBadr"/>
          <w:rtl/>
        </w:rPr>
      </w:pPr>
      <w:r>
        <w:rPr>
          <w:rFonts w:ascii="IRBadr" w:hAnsi="IRBadr" w:cs="IRBadr" w:hint="cs"/>
          <w:rtl/>
        </w:rPr>
        <w:t>اینکه بیان می‌شود مخالفت با فتوای ابوحنیفه مشکل بوده است، هم به جهت نکته اول است و هم به جهت نکته دوم. یعنی فتوای ابوحنیفه</w:t>
      </w:r>
      <w:r w:rsidR="006772B2">
        <w:rPr>
          <w:rFonts w:ascii="IRBadr" w:hAnsi="IRBadr" w:cs="IRBadr" w:hint="cs"/>
          <w:rtl/>
        </w:rPr>
        <w:t>،</w:t>
      </w:r>
      <w:r>
        <w:rPr>
          <w:rFonts w:ascii="IRBadr" w:hAnsi="IRBadr" w:cs="IRBadr" w:hint="cs"/>
          <w:rtl/>
        </w:rPr>
        <w:t xml:space="preserve"> پشتوانه عمل حکومت است و مخالفت با فتوای ابوحنیفه در عمل مشکل بوده است. به علاوه اینکه مخالفت با فتوای ابوحنیفه، زمینه اتّهام به تشیّع را فراهم می‌کرده است.</w:t>
      </w:r>
      <w:r w:rsidR="0002342E">
        <w:rPr>
          <w:rFonts w:ascii="IRBadr" w:hAnsi="IRBadr" w:cs="IRBadr" w:hint="cs"/>
          <w:rtl/>
        </w:rPr>
        <w:t xml:space="preserve"> در رابطه با نکته دوم، نفوذ مردمی اهمیّت </w:t>
      </w:r>
      <w:r w:rsidR="006772B2">
        <w:rPr>
          <w:rFonts w:ascii="IRBadr" w:hAnsi="IRBadr" w:cs="IRBadr" w:hint="cs"/>
          <w:rtl/>
        </w:rPr>
        <w:t>ویژه‌ای دارد</w:t>
      </w:r>
      <w:r w:rsidR="0002342E">
        <w:rPr>
          <w:rFonts w:ascii="IRBadr" w:hAnsi="IRBadr" w:cs="IRBadr" w:hint="cs"/>
          <w:rtl/>
        </w:rPr>
        <w:t>.</w:t>
      </w:r>
      <w:r w:rsidR="00D87160">
        <w:rPr>
          <w:rFonts w:ascii="IRBadr" w:hAnsi="IRBadr" w:cs="IRBadr" w:hint="cs"/>
          <w:rtl/>
        </w:rPr>
        <w:t xml:space="preserve"> البته اگر کسی در صدد ردّ حکم قاضی بر‌آید، به همان نکته اول رجوع می‌کند و به نوعی حرکتی ضد حکومت تلقّی می‌شود. در این مورد</w:t>
      </w:r>
      <w:r w:rsidR="006772B2">
        <w:rPr>
          <w:rFonts w:ascii="IRBadr" w:hAnsi="IRBadr" w:cs="IRBadr" w:hint="cs"/>
          <w:rtl/>
        </w:rPr>
        <w:t>،</w:t>
      </w:r>
      <w:r w:rsidR="00D87160">
        <w:rPr>
          <w:rFonts w:ascii="IRBadr" w:hAnsi="IRBadr" w:cs="IRBadr" w:hint="cs"/>
          <w:rtl/>
        </w:rPr>
        <w:t xml:space="preserve"> روایتی هم از امام صادق (ع) وارد شده است. شخصی نزد حضرت آمد و از قضاوت ابن ابی لیلی شکایت کرد. حضرت فرمود قضاوت او باطل است ولی من نمی‌توانم حکم او را ردّ کنم</w:t>
      </w:r>
      <w:r w:rsidR="006772B2">
        <w:rPr>
          <w:rStyle w:val="FootnoteReference"/>
          <w:rFonts w:ascii="IRBadr" w:hAnsi="IRBadr" w:cs="IRBadr"/>
          <w:rtl/>
        </w:rPr>
        <w:footnoteReference w:id="2"/>
      </w:r>
      <w:r w:rsidR="00D87160">
        <w:rPr>
          <w:rFonts w:ascii="IRBadr" w:hAnsi="IRBadr" w:cs="IRBadr" w:hint="cs"/>
          <w:rtl/>
        </w:rPr>
        <w:t xml:space="preserve">؛ </w:t>
      </w:r>
      <w:r w:rsidR="006772B2">
        <w:rPr>
          <w:rFonts w:ascii="IRBadr" w:hAnsi="IRBadr" w:cs="IRBadr" w:hint="cs"/>
          <w:rtl/>
        </w:rPr>
        <w:t>علت اینکه حضرت فرمود نمی‌توانم مخالفت کنم آن بود که ابن ابی لیلی</w:t>
      </w:r>
      <w:r w:rsidR="002F2836">
        <w:rPr>
          <w:rFonts w:ascii="IRBadr" w:hAnsi="IRBadr" w:cs="IRBadr" w:hint="cs"/>
          <w:rtl/>
        </w:rPr>
        <w:t>،س</w:t>
      </w:r>
      <w:r w:rsidR="006772B2">
        <w:rPr>
          <w:rFonts w:ascii="IRBadr" w:hAnsi="IRBadr" w:cs="IRBadr" w:hint="cs"/>
          <w:rtl/>
        </w:rPr>
        <w:t xml:space="preserve"> قاضی رسمی حکومت بود</w:t>
      </w:r>
      <w:r w:rsidR="00D87160">
        <w:rPr>
          <w:rFonts w:ascii="IRBadr" w:hAnsi="IRBadr" w:cs="IRBadr" w:hint="cs"/>
          <w:rtl/>
        </w:rPr>
        <w:t xml:space="preserve">. </w:t>
      </w:r>
    </w:p>
    <w:p w:rsidR="0002342E" w:rsidRDefault="00D87160" w:rsidP="00D87160">
      <w:pPr>
        <w:rPr>
          <w:rFonts w:ascii="IRBadr" w:hAnsi="IRBadr" w:cs="IRBadr"/>
          <w:rtl/>
        </w:rPr>
      </w:pPr>
      <w:r>
        <w:rPr>
          <w:rFonts w:ascii="IRBadr" w:hAnsi="IRBadr" w:cs="IRBadr" w:hint="cs"/>
          <w:rtl/>
        </w:rPr>
        <w:t>حاصل مطلب آنکه در رابطه با قول قضات دو نکته نباید با هم خلط شود. گاهی یک فقیه با فتوای قاضی مخالفت می‌کند و بیان می‌کند که فتوای او هرچند صحیح نیست ولی من در عمل با آن مخالفت نمی‌کنم. و گاهی یک شخص در صدد ردّ حکم قاضی برمی‌آید. در مورد اول، صرف مخالفت با فتوای قاضی، از دید حکومت، مانعی ندارد، و مخالفت با او خلاف تقیّه به حساب نمی‌آید ولی در مورد دوم که در صدد ردّ آن برآید، مخالف تقیه شمرده می‌شود.</w:t>
      </w:r>
    </w:p>
    <w:p w:rsidR="0031576A" w:rsidRDefault="00F7022D" w:rsidP="004E76BF">
      <w:pPr>
        <w:pStyle w:val="Heading1"/>
        <w:rPr>
          <w:rtl/>
        </w:rPr>
      </w:pPr>
      <w:bookmarkStart w:id="16" w:name="_Toc147738000"/>
      <w:bookmarkStart w:id="17" w:name="_Toc147738016"/>
      <w:r>
        <w:rPr>
          <w:rFonts w:hint="cs"/>
          <w:rtl/>
        </w:rPr>
        <w:t>نفوذ ابوحنیفه در کوفه</w:t>
      </w:r>
      <w:bookmarkEnd w:id="16"/>
      <w:bookmarkEnd w:id="17"/>
    </w:p>
    <w:p w:rsidR="004E76BF" w:rsidRDefault="000417F2" w:rsidP="009E7EB4">
      <w:pPr>
        <w:rPr>
          <w:rFonts w:ascii="IRBadr" w:hAnsi="IRBadr" w:cs="IRBadr"/>
          <w:rtl/>
        </w:rPr>
      </w:pPr>
      <w:r>
        <w:rPr>
          <w:rFonts w:ascii="IRBadr" w:hAnsi="IRBadr" w:cs="IRBadr" w:hint="cs"/>
          <w:rtl/>
        </w:rPr>
        <w:t>ما بیان کردیم که ابوحنیفه در کوفه نفوذ مردمی داشته است. و فقیه اول کوفه به شمار می‌آيد. برخی نقل کرده‌اند که ابن ابی لیلی جایگاهی برتر از ابوحنیفه داشته است</w:t>
      </w:r>
      <w:r>
        <w:rPr>
          <w:rStyle w:val="FootnoteReference"/>
          <w:rFonts w:ascii="IRBadr" w:hAnsi="IRBadr" w:cs="IRBadr"/>
          <w:rtl/>
        </w:rPr>
        <w:footnoteReference w:id="3"/>
      </w:r>
      <w:r>
        <w:rPr>
          <w:rFonts w:ascii="IRBadr" w:hAnsi="IRBadr" w:cs="IRBadr" w:hint="cs"/>
          <w:rtl/>
        </w:rPr>
        <w:t xml:space="preserve">. </w:t>
      </w:r>
    </w:p>
    <w:p w:rsidR="004E76BF" w:rsidRDefault="004E76BF" w:rsidP="004E76BF">
      <w:pPr>
        <w:pStyle w:val="Heading2"/>
        <w:rPr>
          <w:rtl/>
        </w:rPr>
      </w:pPr>
      <w:bookmarkStart w:id="18" w:name="_Toc147738001"/>
      <w:bookmarkStart w:id="19" w:name="_Toc147738017"/>
      <w:r>
        <w:rPr>
          <w:rFonts w:hint="cs"/>
          <w:rtl/>
        </w:rPr>
        <w:t>جایگاه بالاتر ابوحنیفه نسبت به ابن ابی ‌لیلی</w:t>
      </w:r>
      <w:bookmarkEnd w:id="18"/>
      <w:bookmarkEnd w:id="19"/>
    </w:p>
    <w:p w:rsidR="00F7022D" w:rsidRDefault="000417F2" w:rsidP="009E7EB4">
      <w:pPr>
        <w:rPr>
          <w:rFonts w:ascii="IRBadr" w:hAnsi="IRBadr" w:cs="IRBadr"/>
          <w:rtl/>
        </w:rPr>
      </w:pPr>
      <w:r>
        <w:rPr>
          <w:rFonts w:ascii="IRBadr" w:hAnsi="IRBadr" w:cs="IRBadr" w:hint="cs"/>
          <w:rtl/>
        </w:rPr>
        <w:t>جهت توضیح بیشتر بیان می‌گردد که مراد از آنچه ما ذکر نمودیم، جایگاه مردمی اب</w:t>
      </w:r>
      <w:r w:rsidR="009E7EB4">
        <w:rPr>
          <w:rFonts w:ascii="IRBadr" w:hAnsi="IRBadr" w:cs="IRBadr" w:hint="cs"/>
          <w:rtl/>
        </w:rPr>
        <w:t>وحنیفه بود، نه جایگاه حکومتی او،</w:t>
      </w:r>
      <w:r>
        <w:rPr>
          <w:rFonts w:ascii="IRBadr" w:hAnsi="IRBadr" w:cs="IRBadr" w:hint="cs"/>
          <w:rtl/>
        </w:rPr>
        <w:t xml:space="preserve"> و محلّ بحث ما در نفوذ مردمی او بود. ابن ابی لیلی نفوذ مردمی چندانی نداشته است و یک رجل</w:t>
      </w:r>
      <w:r w:rsidR="001C145E">
        <w:rPr>
          <w:rFonts w:ascii="IRBadr" w:hAnsi="IRBadr" w:cs="IRBadr" w:hint="cs"/>
          <w:rtl/>
        </w:rPr>
        <w:t xml:space="preserve"> حکومتی</w:t>
      </w:r>
      <w:r>
        <w:rPr>
          <w:rFonts w:ascii="IRBadr" w:hAnsi="IRBadr" w:cs="IRBadr" w:hint="cs"/>
          <w:rtl/>
        </w:rPr>
        <w:t xml:space="preserve"> و قاضی حکومتی به شمار می‌رود.</w:t>
      </w:r>
      <w:r w:rsidR="001C145E">
        <w:rPr>
          <w:rFonts w:ascii="IRBadr" w:hAnsi="IRBadr" w:cs="IRBadr" w:hint="cs"/>
          <w:rtl/>
        </w:rPr>
        <w:t xml:space="preserve"> از ابوحنیفه به «فقیه اهل العراق» تعبیر شده است. این تعبیر هم در روایات ما وارد شده و هم در منابع عامه در شرح حال ابوحنیفه ذکر شده است. در روایات </w:t>
      </w:r>
      <w:r w:rsidR="001C145E">
        <w:rPr>
          <w:rFonts w:ascii="IRBadr" w:hAnsi="IRBadr" w:cs="IRBadr" w:hint="cs"/>
          <w:rtl/>
        </w:rPr>
        <w:lastRenderedPageBreak/>
        <w:t>ما، در مورد دو نفر، این تعبیر به کار رفته است. یکی «حَکَم بن عتیبة» است که در روایتی از امام باقر علیه السلام در لسان آن حضرت، این تعبیر به کار رفته است. و دیگری ابوحنیفه است که در زمان و زبان امام صادق علیه السلام به این عنوان ذکر شده است.</w:t>
      </w:r>
      <w:r w:rsidR="009E7EB4">
        <w:rPr>
          <w:rFonts w:ascii="IRBadr" w:hAnsi="IRBadr" w:cs="IRBadr" w:hint="cs"/>
          <w:rtl/>
        </w:rPr>
        <w:t xml:space="preserve"> این تعبیر نشان می‌دهد که ابوحنیفه، فقیه اول کوفه به شمار می‌رفته است.</w:t>
      </w:r>
    </w:p>
    <w:p w:rsidR="001C145E" w:rsidRDefault="001C145E" w:rsidP="009E7EB4">
      <w:pPr>
        <w:rPr>
          <w:rFonts w:ascii="IRBadr" w:hAnsi="IRBadr" w:cs="IRBadr"/>
          <w:rtl/>
        </w:rPr>
      </w:pPr>
      <w:r>
        <w:rPr>
          <w:rFonts w:ascii="IRBadr" w:hAnsi="IRBadr" w:cs="IRBadr" w:hint="cs"/>
          <w:rtl/>
        </w:rPr>
        <w:t xml:space="preserve">نام ابن ابی لیلی در برخی موارد به عنوان فقیه ذکر شده است، ولی جنبه‌ای که در مورد او بیشتر مدّ نظر است، جنبه </w:t>
      </w:r>
      <w:r w:rsidR="009E7EB4">
        <w:rPr>
          <w:rFonts w:ascii="IRBadr" w:hAnsi="IRBadr" w:cs="IRBadr" w:hint="cs"/>
          <w:rtl/>
        </w:rPr>
        <w:t>قضاوت</w:t>
      </w:r>
      <w:r>
        <w:rPr>
          <w:rFonts w:ascii="IRBadr" w:hAnsi="IRBadr" w:cs="IRBadr" w:hint="cs"/>
          <w:rtl/>
        </w:rPr>
        <w:t xml:space="preserve"> او است. این نکته قابل ذکر است که دو نفر با نام «ابن ابی لیلی» ذکر شده‌اند. عبدالرحمن بن ابی ‌لیلی که پدر است و محمد بن عبدالرحمن بن ابی لیلی که فرزند او است. این محمد، پسر است که قاضی معروفی است.</w:t>
      </w:r>
    </w:p>
    <w:p w:rsidR="00DD42BF" w:rsidRDefault="00DD42BF" w:rsidP="00DD42BF">
      <w:pPr>
        <w:pStyle w:val="Heading2"/>
        <w:rPr>
          <w:rtl/>
        </w:rPr>
      </w:pPr>
      <w:bookmarkStart w:id="20" w:name="_Toc147738002"/>
      <w:bookmarkStart w:id="21" w:name="_Toc147738018"/>
      <w:r>
        <w:rPr>
          <w:rFonts w:hint="cs"/>
          <w:rtl/>
        </w:rPr>
        <w:t>مخالفت ابوحنیفه با حکومت</w:t>
      </w:r>
      <w:bookmarkEnd w:id="20"/>
      <w:bookmarkEnd w:id="21"/>
    </w:p>
    <w:p w:rsidR="00E84580" w:rsidRDefault="00E84580" w:rsidP="001C145E">
      <w:pPr>
        <w:rPr>
          <w:rFonts w:ascii="IRBadr" w:hAnsi="IRBadr" w:cs="IRBadr"/>
        </w:rPr>
      </w:pPr>
      <w:r>
        <w:rPr>
          <w:rFonts w:ascii="IRBadr" w:hAnsi="IRBadr" w:cs="IRBadr" w:hint="cs"/>
          <w:rtl/>
        </w:rPr>
        <w:t>هم‌چنین در اشکال بر کلام ما، عبارت زیر بیان شده است:</w:t>
      </w:r>
    </w:p>
    <w:p w:rsidR="00E84580" w:rsidRDefault="00E84580" w:rsidP="001C145E">
      <w:pPr>
        <w:rPr>
          <w:rFonts w:ascii="IRBadr" w:hAnsi="IRBadr" w:cs="IRBadr"/>
          <w:rtl/>
        </w:rPr>
      </w:pPr>
      <w:r w:rsidRPr="00E84580">
        <w:rPr>
          <w:rFonts w:ascii="IRBadr" w:hAnsi="IRBadr" w:cs="IRBadr" w:hint="cs"/>
          <w:color w:val="0000FF"/>
          <w:rtl/>
        </w:rPr>
        <w:t>«ابوحنیفه</w:t>
      </w:r>
      <w:r w:rsidR="00DD42BF">
        <w:rPr>
          <w:rFonts w:ascii="IRBadr" w:hAnsi="IRBadr" w:cs="IRBadr" w:hint="cs"/>
          <w:color w:val="0000FF"/>
          <w:rtl/>
        </w:rPr>
        <w:t xml:space="preserve"> در دوران امویان،</w:t>
      </w:r>
      <w:r w:rsidRPr="00E84580">
        <w:rPr>
          <w:rFonts w:ascii="IRBadr" w:hAnsi="IRBadr" w:cs="IRBadr" w:hint="cs"/>
          <w:color w:val="0000FF"/>
          <w:rtl/>
        </w:rPr>
        <w:t xml:space="preserve"> مدّتها خارج از کوفه بوده و نزد فقهای حجاز شاگردی نموده است و نهایتا از سال ۱۳۲ در کوفه مستقرّ شده است ولی ابن ابی لیلی از زمان امویان تا زمان مرگ، به طور مستمرّ، قاضی کوفه بوده است. تقیّه هم اساسا از جایگاه حکومتی بوده است و نه مردمی. ابوحنیفه هم از مخالفین و منتقدین بنی العباس بوده است و سیطره مذهب ابوحنیفه پس از زمانی است که شاگرش ابویوسف، قاضی القضاة بنی العباس گشته و فقه و فقهای حنفی حاکم می‌شود»</w:t>
      </w:r>
      <w:r>
        <w:rPr>
          <w:rFonts w:ascii="IRBadr" w:hAnsi="IRBadr" w:cs="IRBadr" w:hint="cs"/>
          <w:rtl/>
        </w:rPr>
        <w:t xml:space="preserve">. </w:t>
      </w:r>
    </w:p>
    <w:p w:rsidR="004E76BF" w:rsidRDefault="00E84580" w:rsidP="00DD42BF">
      <w:pPr>
        <w:rPr>
          <w:rFonts w:ascii="IRBadr" w:hAnsi="IRBadr" w:cs="IRBadr"/>
          <w:rtl/>
        </w:rPr>
      </w:pPr>
      <w:r>
        <w:rPr>
          <w:rFonts w:ascii="IRBadr" w:hAnsi="IRBadr" w:cs="IRBadr" w:hint="cs"/>
          <w:rtl/>
        </w:rPr>
        <w:t>این مطالب اخیر ایشان صحیح است و البته نیاز به توضیح و تکمیل دارد. یک نکته آنکه علاوه بر ابویوسف، محمد بن حسن شیبانی هم که شاگرد ابوحنیفه است در نفوذ فقه حنفی موثر است.</w:t>
      </w:r>
      <w:r w:rsidR="0019035B">
        <w:rPr>
          <w:rFonts w:ascii="IRBadr" w:hAnsi="IRBadr" w:cs="IRBadr" w:hint="cs"/>
          <w:rtl/>
        </w:rPr>
        <w:t xml:space="preserve"> نکته دیگر آنکه ابوحنیفه مخالف حکومت بنی العباس بوده ولی مبارز شدید نبوده است و بیشتر حرکات پنهانی در همراهی با زیدیه انجام داده است و چندان به مخالفت علنی با حکومت نمی‌پرداخت. به طور کلی </w:t>
      </w:r>
      <w:r w:rsidR="00DD42BF">
        <w:rPr>
          <w:rFonts w:ascii="IRBadr" w:hAnsi="IRBadr" w:cs="IRBadr" w:hint="cs"/>
          <w:rtl/>
        </w:rPr>
        <w:t>مخالفت</w:t>
      </w:r>
      <w:r w:rsidR="0019035B">
        <w:rPr>
          <w:rFonts w:ascii="IRBadr" w:hAnsi="IRBadr" w:cs="IRBadr" w:hint="cs"/>
          <w:rtl/>
        </w:rPr>
        <w:t xml:space="preserve"> ابوحنیفه </w:t>
      </w:r>
      <w:r w:rsidR="00DD42BF">
        <w:rPr>
          <w:rFonts w:ascii="IRBadr" w:hAnsi="IRBadr" w:cs="IRBadr" w:hint="cs"/>
          <w:rtl/>
        </w:rPr>
        <w:t xml:space="preserve">با حکومت در </w:t>
      </w:r>
      <w:r w:rsidR="0019035B">
        <w:rPr>
          <w:rFonts w:ascii="IRBadr" w:hAnsi="IRBadr" w:cs="IRBadr" w:hint="cs"/>
          <w:rtl/>
        </w:rPr>
        <w:t xml:space="preserve">دو </w:t>
      </w:r>
      <w:r w:rsidR="00DD42BF">
        <w:rPr>
          <w:rFonts w:ascii="IRBadr" w:hAnsi="IRBadr" w:cs="IRBadr" w:hint="cs"/>
          <w:rtl/>
        </w:rPr>
        <w:t xml:space="preserve">جریان </w:t>
      </w:r>
      <w:r w:rsidR="0019035B">
        <w:rPr>
          <w:rFonts w:ascii="IRBadr" w:hAnsi="IRBadr" w:cs="IRBadr" w:hint="cs"/>
          <w:rtl/>
        </w:rPr>
        <w:t>مطرح</w:t>
      </w:r>
      <w:r w:rsidR="00DD42BF">
        <w:rPr>
          <w:rFonts w:ascii="IRBadr" w:hAnsi="IRBadr" w:cs="IRBadr" w:hint="cs"/>
          <w:rtl/>
        </w:rPr>
        <w:t xml:space="preserve"> بوده است:</w:t>
      </w:r>
    </w:p>
    <w:p w:rsidR="004E76BF" w:rsidRDefault="004E76BF" w:rsidP="004E76BF">
      <w:pPr>
        <w:rPr>
          <w:rFonts w:ascii="IRBadr" w:hAnsi="IRBadr" w:cs="IRBadr"/>
          <w:rtl/>
        </w:rPr>
      </w:pPr>
      <w:r w:rsidRPr="004E76BF">
        <w:rPr>
          <w:rFonts w:ascii="IRBadr" w:hAnsi="IRBadr" w:cs="IRBadr" w:hint="cs"/>
          <w:b/>
          <w:bCs/>
          <w:rtl/>
        </w:rPr>
        <w:t>اول:</w:t>
      </w:r>
      <w:r w:rsidR="0019035B">
        <w:rPr>
          <w:rFonts w:ascii="IRBadr" w:hAnsi="IRBadr" w:cs="IRBadr" w:hint="cs"/>
          <w:rtl/>
        </w:rPr>
        <w:t xml:space="preserve"> آنکه از طرف حکومت، اصرار بر قاضی شدن او بوده ولی او امتناع می‌ورزیده است</w:t>
      </w:r>
      <w:r>
        <w:rPr>
          <w:rFonts w:ascii="IRBadr" w:hAnsi="IRBadr" w:cs="IRBadr" w:hint="cs"/>
          <w:rtl/>
        </w:rPr>
        <w:t>.</w:t>
      </w:r>
      <w:r w:rsidR="0019035B">
        <w:rPr>
          <w:rFonts w:ascii="IRBadr" w:hAnsi="IRBadr" w:cs="IRBadr" w:hint="cs"/>
          <w:rtl/>
        </w:rPr>
        <w:t xml:space="preserve"> </w:t>
      </w:r>
    </w:p>
    <w:p w:rsidR="00B12861" w:rsidRDefault="004E76BF" w:rsidP="00DD42BF">
      <w:pPr>
        <w:rPr>
          <w:rFonts w:ascii="IRBadr" w:hAnsi="IRBadr" w:cs="IRBadr"/>
          <w:rtl/>
        </w:rPr>
      </w:pPr>
      <w:r w:rsidRPr="004E76BF">
        <w:rPr>
          <w:rFonts w:ascii="IRBadr" w:hAnsi="IRBadr" w:cs="IRBadr" w:hint="cs"/>
          <w:b/>
          <w:bCs/>
          <w:rtl/>
        </w:rPr>
        <w:t>دوم:</w:t>
      </w:r>
      <w:r w:rsidR="0019035B">
        <w:rPr>
          <w:rFonts w:ascii="IRBadr" w:hAnsi="IRBadr" w:cs="IRBadr" w:hint="cs"/>
          <w:rtl/>
        </w:rPr>
        <w:t xml:space="preserve"> قضیّه «خلق قرآن» است. بحث خلق قرآن، بحثی </w:t>
      </w:r>
      <w:r w:rsidR="00DD42BF">
        <w:rPr>
          <w:rFonts w:ascii="IRBadr" w:hAnsi="IRBadr" w:cs="IRBadr" w:hint="cs"/>
          <w:rtl/>
        </w:rPr>
        <w:t>است</w:t>
      </w:r>
      <w:r w:rsidR="0019035B">
        <w:rPr>
          <w:rFonts w:ascii="IRBadr" w:hAnsi="IRBadr" w:cs="IRBadr" w:hint="cs"/>
          <w:rtl/>
        </w:rPr>
        <w:t xml:space="preserve"> که با چالش فراوانی همراه بوده است</w:t>
      </w:r>
      <w:r w:rsidR="00B12861">
        <w:rPr>
          <w:rFonts w:ascii="IRBadr" w:hAnsi="IRBadr" w:cs="IRBadr" w:hint="cs"/>
          <w:rtl/>
        </w:rPr>
        <w:t xml:space="preserve">. به خصوص آنکه قضیه‌ای به نام «محنة» به وجود می‌آید که احمد بن حنبل در این </w:t>
      </w:r>
      <w:r w:rsidR="00DD42BF">
        <w:rPr>
          <w:rFonts w:ascii="IRBadr" w:hAnsi="IRBadr" w:cs="IRBadr" w:hint="cs"/>
          <w:rtl/>
        </w:rPr>
        <w:t>جریان،</w:t>
      </w:r>
      <w:r w:rsidR="00B12861">
        <w:rPr>
          <w:rFonts w:ascii="IRBadr" w:hAnsi="IRBadr" w:cs="IRBadr" w:hint="cs"/>
          <w:rtl/>
        </w:rPr>
        <w:t xml:space="preserve"> تحت فشار </w:t>
      </w:r>
      <w:r w:rsidR="00DD42BF">
        <w:rPr>
          <w:rFonts w:ascii="IRBadr" w:hAnsi="IRBadr" w:cs="IRBadr" w:hint="cs"/>
          <w:rtl/>
        </w:rPr>
        <w:t xml:space="preserve">شدیدی </w:t>
      </w:r>
      <w:r w:rsidR="00B12861">
        <w:rPr>
          <w:rFonts w:ascii="IRBadr" w:hAnsi="IRBadr" w:cs="IRBadr" w:hint="cs"/>
          <w:rtl/>
        </w:rPr>
        <w:t xml:space="preserve">قرار می‌گیرد، و بیان می‌کند که پس از آنکه در قضیه خلق قرآن، فشارها بر من زیاد شد، به یاد ابوحنیفه افتادم که او هم در همین مساله، مورد اذیت و آزار </w:t>
      </w:r>
      <w:r w:rsidR="00DD42BF">
        <w:rPr>
          <w:rFonts w:ascii="IRBadr" w:hAnsi="IRBadr" w:cs="IRBadr" w:hint="cs"/>
          <w:rtl/>
        </w:rPr>
        <w:t>فراوانی</w:t>
      </w:r>
      <w:r w:rsidR="00B12861">
        <w:rPr>
          <w:rFonts w:ascii="IRBadr" w:hAnsi="IRBadr" w:cs="IRBadr" w:hint="cs"/>
          <w:rtl/>
        </w:rPr>
        <w:t xml:space="preserve"> قرار گرفت.</w:t>
      </w:r>
    </w:p>
    <w:p w:rsidR="00B12861" w:rsidRDefault="00B12861" w:rsidP="00B12861">
      <w:pPr>
        <w:rPr>
          <w:rFonts w:ascii="IRBadr" w:hAnsi="IRBadr" w:cs="IRBadr"/>
          <w:rtl/>
        </w:rPr>
      </w:pPr>
      <w:r>
        <w:rPr>
          <w:rFonts w:ascii="IRBadr" w:hAnsi="IRBadr" w:cs="IRBadr" w:hint="cs"/>
          <w:rtl/>
        </w:rPr>
        <w:t>بحث «خلق قرآن»، ارتباطی با بحث «مخالفت با حکومت» ندارد؛ بلکه مربوط به یک نظر خاصی است که مخالفت با حکومت تلقّی نمی‌شده است. و این مساله از اساس حکومتی نبوده است که نیاز به بحث دارد که متعرّض آن نمی‌شویم.</w:t>
      </w:r>
    </w:p>
    <w:p w:rsidR="00DD42BF" w:rsidRDefault="00DD42BF" w:rsidP="00DD42BF">
      <w:pPr>
        <w:pStyle w:val="Heading2"/>
        <w:rPr>
          <w:rtl/>
        </w:rPr>
      </w:pPr>
      <w:bookmarkStart w:id="22" w:name="_Toc147738003"/>
      <w:bookmarkStart w:id="23" w:name="_Toc147738019"/>
      <w:r>
        <w:rPr>
          <w:rFonts w:hint="cs"/>
          <w:rtl/>
        </w:rPr>
        <w:t>حضور ابوحنیفه در خارج از کوفه</w:t>
      </w:r>
      <w:bookmarkEnd w:id="22"/>
      <w:bookmarkEnd w:id="23"/>
    </w:p>
    <w:p w:rsidR="00B12861" w:rsidRDefault="00B12861" w:rsidP="00B52B6C">
      <w:pPr>
        <w:rPr>
          <w:rFonts w:ascii="IRBadr" w:hAnsi="IRBadr" w:cs="IRBadr"/>
          <w:rtl/>
        </w:rPr>
      </w:pPr>
      <w:r>
        <w:rPr>
          <w:rFonts w:ascii="IRBadr" w:hAnsi="IRBadr" w:cs="IRBadr" w:hint="cs"/>
          <w:rtl/>
        </w:rPr>
        <w:t xml:space="preserve">اما آنچه بیان شد که ابوحنیفه در دوران امویان، مدّتها خارج از کوفه بوده و نزد فقهای حجازی شاگردی نموده است، مطلبی کاملا نادرست است. استاد اصلی ابوحنیفه، حمّاد بن </w:t>
      </w:r>
      <w:r w:rsidR="00B52B6C">
        <w:rPr>
          <w:rFonts w:ascii="IRBadr" w:hAnsi="IRBadr" w:cs="IRBadr" w:hint="cs"/>
          <w:rtl/>
        </w:rPr>
        <w:t>ابی‌</w:t>
      </w:r>
      <w:r>
        <w:rPr>
          <w:rFonts w:ascii="IRBadr" w:hAnsi="IRBadr" w:cs="IRBadr" w:hint="cs"/>
          <w:rtl/>
        </w:rPr>
        <w:t xml:space="preserve">سلیمان است که فقیهی کوفی است. </w:t>
      </w:r>
      <w:r w:rsidR="00B52B6C">
        <w:rPr>
          <w:rFonts w:ascii="IRBadr" w:hAnsi="IRBadr" w:cs="IRBadr" w:hint="cs"/>
          <w:rtl/>
        </w:rPr>
        <w:t>ابوحنیفه</w:t>
      </w:r>
      <w:r>
        <w:rPr>
          <w:rFonts w:ascii="IRBadr" w:hAnsi="IRBadr" w:cs="IRBadr" w:hint="cs"/>
          <w:rtl/>
        </w:rPr>
        <w:t xml:space="preserve"> بیان کرده است که ده سال به طور مستمرّ در درس حمّاد شرکت کرده است و بعد از آن تصمیم</w:t>
      </w:r>
      <w:r w:rsidR="00F640C2">
        <w:rPr>
          <w:rFonts w:ascii="IRBadr" w:hAnsi="IRBadr" w:cs="IRBadr" w:hint="cs"/>
          <w:rtl/>
        </w:rPr>
        <w:t xml:space="preserve"> می‌گیرد که </w:t>
      </w:r>
      <w:r>
        <w:rPr>
          <w:rFonts w:ascii="IRBadr" w:hAnsi="IRBadr" w:cs="IRBadr" w:hint="cs"/>
          <w:rtl/>
        </w:rPr>
        <w:t>خود</w:t>
      </w:r>
      <w:r w:rsidR="00B52B6C">
        <w:rPr>
          <w:rFonts w:ascii="IRBadr" w:hAnsi="IRBadr" w:cs="IRBadr" w:hint="cs"/>
          <w:rtl/>
        </w:rPr>
        <w:t>،</w:t>
      </w:r>
      <w:r>
        <w:rPr>
          <w:rFonts w:ascii="IRBadr" w:hAnsi="IRBadr" w:cs="IRBadr" w:hint="cs"/>
          <w:rtl/>
        </w:rPr>
        <w:t xml:space="preserve"> حلقه</w:t>
      </w:r>
      <w:r w:rsidR="00B52B6C">
        <w:rPr>
          <w:rFonts w:ascii="IRBadr" w:hAnsi="IRBadr" w:cs="IRBadr" w:hint="cs"/>
          <w:rtl/>
        </w:rPr>
        <w:t>‌ای مستقلّ</w:t>
      </w:r>
      <w:r>
        <w:rPr>
          <w:rFonts w:ascii="IRBadr" w:hAnsi="IRBadr" w:cs="IRBadr" w:hint="cs"/>
          <w:rtl/>
        </w:rPr>
        <w:t xml:space="preserve"> تشکیل دهد</w:t>
      </w:r>
      <w:r w:rsidR="00B52B6C">
        <w:rPr>
          <w:rFonts w:ascii="IRBadr" w:hAnsi="IRBadr" w:cs="IRBadr" w:hint="cs"/>
          <w:rtl/>
        </w:rPr>
        <w:t xml:space="preserve">، ولی از این امر منصرف می‌شود و تا مرگ حمّاد، به طور مستمرّ در درس او به مدّت ۱۸ سال شرکت می‌کند. حمّاد بن ‌ابی‌سلیمان در سال ۱۱۹ یا ۱۲۰ از دنیا رفته است. ابوحنیفه، متولّد کوفه است، و در کوفه هم بزرگ شده است. بله در برخی موارد به طور مقطعی از کوفه خارج شده و برای شاگردی و امثال ذلک مدّتی به حجاز و جاهای دیگر رفته است ولی مسکن اصلی او کوفه است. </w:t>
      </w:r>
    </w:p>
    <w:p w:rsidR="003A5BA2" w:rsidRDefault="003A5BA2" w:rsidP="003A5BA2">
      <w:pPr>
        <w:rPr>
          <w:rFonts w:ascii="IRBadr" w:hAnsi="IRBadr" w:cs="IRBadr"/>
          <w:rtl/>
        </w:rPr>
      </w:pPr>
      <w:r>
        <w:rPr>
          <w:rFonts w:ascii="IRBadr" w:hAnsi="IRBadr" w:cs="IRBadr" w:hint="cs"/>
          <w:rtl/>
        </w:rPr>
        <w:t>بله در اواخر دوره بنی امیّه، اصرار فراوانی برای قضاوت او وجود داشته است و او برای فرار از این امر، دو سال از کوفه خارج شده است، و از سال ۱۳۰ تا ۱۳۲ از کوفه خارج شده است، و پس از آنکه بنی امیّه منقرض می‌شود، به کوفه بازمی‌گردد.</w:t>
      </w:r>
      <w:r w:rsidR="0063320A">
        <w:rPr>
          <w:rFonts w:ascii="IRBadr" w:hAnsi="IRBadr" w:cs="IRBadr" w:hint="cs"/>
          <w:rtl/>
        </w:rPr>
        <w:t xml:space="preserve"> در مجموع، جایگاه اصلی او کوفه است و در برخی سالها به طور مقطعی از کوفه خارج شده است.</w:t>
      </w:r>
      <w:r w:rsidR="00521176">
        <w:rPr>
          <w:rFonts w:ascii="IRBadr" w:hAnsi="IRBadr" w:cs="IRBadr" w:hint="cs"/>
          <w:rtl/>
        </w:rPr>
        <w:t xml:space="preserve"> علّت اصرار بر او برای قضاوت هم به جهت همان نفوذی است که در کوفه داشته است، و بنی‌امیه می‌خواستند از نفوذ او استفاده کنند.</w:t>
      </w:r>
      <w:r w:rsidR="0019587B">
        <w:rPr>
          <w:rFonts w:ascii="IRBadr" w:hAnsi="IRBadr" w:cs="IRBadr" w:hint="cs"/>
          <w:rtl/>
        </w:rPr>
        <w:t xml:space="preserve"> </w:t>
      </w:r>
    </w:p>
    <w:p w:rsidR="00F640C2" w:rsidRDefault="00F640C2" w:rsidP="00F640C2">
      <w:pPr>
        <w:pStyle w:val="Heading2"/>
        <w:rPr>
          <w:rtl/>
        </w:rPr>
      </w:pPr>
      <w:bookmarkStart w:id="24" w:name="_Toc147738004"/>
      <w:bookmarkStart w:id="25" w:name="_Toc147738020"/>
      <w:r>
        <w:rPr>
          <w:rFonts w:hint="cs"/>
          <w:rtl/>
        </w:rPr>
        <w:t>شاگردی ابوحنیفه نسبت به ابن ابی لیلی</w:t>
      </w:r>
      <w:bookmarkEnd w:id="24"/>
      <w:bookmarkEnd w:id="25"/>
    </w:p>
    <w:p w:rsidR="004D6990" w:rsidRDefault="0019587B" w:rsidP="00710EC1">
      <w:pPr>
        <w:rPr>
          <w:rFonts w:ascii="IRBadr" w:hAnsi="IRBadr" w:cs="IRBadr"/>
          <w:rtl/>
        </w:rPr>
      </w:pPr>
      <w:r>
        <w:rPr>
          <w:rFonts w:ascii="IRBadr" w:hAnsi="IRBadr" w:cs="IRBadr" w:hint="cs"/>
          <w:rtl/>
        </w:rPr>
        <w:t>نکته دیگری که بر نقد کلمات ما بی</w:t>
      </w:r>
      <w:r w:rsidR="004D6990">
        <w:rPr>
          <w:rFonts w:ascii="IRBadr" w:hAnsi="IRBadr" w:cs="IRBadr" w:hint="cs"/>
          <w:rtl/>
        </w:rPr>
        <w:t>ان شده است آن است که گفته شده</w:t>
      </w:r>
      <w:r>
        <w:rPr>
          <w:rFonts w:ascii="IRBadr" w:hAnsi="IRBadr" w:cs="IRBadr" w:hint="cs"/>
          <w:rtl/>
        </w:rPr>
        <w:t xml:space="preserve"> ابوحنیفه، شاگرد ابن ابی لیلی بوده است. ما هرچه گشتیم چنین مطلبی پیدا نکردیم. عکس این مطلب در برخی منابع </w:t>
      </w:r>
      <w:r w:rsidR="00A54867">
        <w:rPr>
          <w:rFonts w:ascii="IRBadr" w:hAnsi="IRBadr" w:cs="IRBadr" w:hint="cs"/>
          <w:rtl/>
        </w:rPr>
        <w:t xml:space="preserve">مربوط به قرن ۶ و ۷ </w:t>
      </w:r>
      <w:r>
        <w:rPr>
          <w:rFonts w:ascii="IRBadr" w:hAnsi="IRBadr" w:cs="IRBadr" w:hint="cs"/>
          <w:rtl/>
        </w:rPr>
        <w:t xml:space="preserve">ذکر شده و ابن ابی لیلی، </w:t>
      </w:r>
      <w:r w:rsidR="00A54867">
        <w:rPr>
          <w:rFonts w:ascii="IRBadr" w:hAnsi="IRBadr" w:cs="IRBadr" w:hint="cs"/>
          <w:rtl/>
        </w:rPr>
        <w:t>از اصحاب ابوحنیفه شمرده شده است، که البته آن مطلب هم نادرست است.</w:t>
      </w:r>
      <w:r w:rsidR="006A645D">
        <w:rPr>
          <w:rFonts w:ascii="IRBadr" w:hAnsi="IRBadr" w:cs="IRBadr" w:hint="cs"/>
          <w:rtl/>
        </w:rPr>
        <w:t xml:space="preserve"> منشا اشتباه هم آن است که ابن ابی لیلی از «اصحاب الرای» بوده و نظر او شبیه به نظر ابوحنیفه بوده است. از آنجا که ابوحنیفه، «امام اهل الرأی» است، توهّم شده که ابن ابی لیلی از اصحاب ابوحنیفه بوده است.</w:t>
      </w:r>
      <w:r w:rsidR="00767634">
        <w:rPr>
          <w:rFonts w:ascii="IRBadr" w:hAnsi="IRBadr" w:cs="IRBadr" w:hint="cs"/>
          <w:rtl/>
        </w:rPr>
        <w:t xml:space="preserve"> در شرح حال ابن ابی لیلی وارد شده است که او حتّی قبل از ابوحنیفه به «را</w:t>
      </w:r>
      <w:r w:rsidR="00CE54E2">
        <w:rPr>
          <w:rFonts w:ascii="IRBadr" w:hAnsi="IRBadr" w:cs="IRBadr" w:hint="cs"/>
          <w:rtl/>
        </w:rPr>
        <w:t>ی» نظر داشته است</w:t>
      </w:r>
      <w:r w:rsidR="004D6990">
        <w:rPr>
          <w:rFonts w:ascii="IRBadr" w:hAnsi="IRBadr" w:cs="IRBadr" w:hint="cs"/>
          <w:rtl/>
        </w:rPr>
        <w:t>.</w:t>
      </w:r>
      <w:r w:rsidR="00CE54E2">
        <w:rPr>
          <w:rFonts w:ascii="IRBadr" w:hAnsi="IRBadr" w:cs="IRBadr" w:hint="cs"/>
          <w:rtl/>
        </w:rPr>
        <w:t xml:space="preserve"> </w:t>
      </w:r>
    </w:p>
    <w:p w:rsidR="0019587B" w:rsidRDefault="00CE54E2" w:rsidP="00710EC1">
      <w:pPr>
        <w:rPr>
          <w:rFonts w:ascii="IRBadr" w:hAnsi="IRBadr" w:cs="IRBadr"/>
          <w:rtl/>
        </w:rPr>
      </w:pPr>
      <w:r>
        <w:rPr>
          <w:rFonts w:ascii="IRBadr" w:hAnsi="IRBadr" w:cs="IRBadr" w:hint="cs"/>
          <w:rtl/>
        </w:rPr>
        <w:t xml:space="preserve">ولی اینکه ابوحنیفه، شاگرد ابن ابی لیلی باشد در جایی مشاهده نکردیم. البته تتبّع کاملی هم انجام نشد ولی به همان میزان </w:t>
      </w:r>
      <w:r w:rsidR="00710EC1">
        <w:rPr>
          <w:rFonts w:ascii="IRBadr" w:hAnsi="IRBadr" w:cs="IRBadr" w:hint="cs"/>
          <w:rtl/>
        </w:rPr>
        <w:t>فحصی که انجام شد، این مطلب را در جایی</w:t>
      </w:r>
      <w:r>
        <w:rPr>
          <w:rFonts w:ascii="IRBadr" w:hAnsi="IRBadr" w:cs="IRBadr" w:hint="cs"/>
          <w:rtl/>
        </w:rPr>
        <w:t xml:space="preserve"> پیدا نکردیم.</w:t>
      </w:r>
    </w:p>
    <w:p w:rsidR="00723FE0" w:rsidRDefault="00873A79" w:rsidP="004D6990">
      <w:pPr>
        <w:rPr>
          <w:rFonts w:ascii="IRBadr" w:hAnsi="IRBadr" w:cs="IRBadr"/>
          <w:rtl/>
        </w:rPr>
      </w:pPr>
      <w:r>
        <w:rPr>
          <w:rFonts w:ascii="IRBadr" w:hAnsi="IRBadr" w:cs="IRBadr" w:hint="cs"/>
          <w:rtl/>
        </w:rPr>
        <w:t>در تهذیب الکمال که شاگرد</w:t>
      </w:r>
      <w:r w:rsidR="004D6990">
        <w:rPr>
          <w:rFonts w:ascii="IRBadr" w:hAnsi="IRBadr" w:cs="IRBadr" w:hint="cs"/>
          <w:rtl/>
        </w:rPr>
        <w:t>ان و مشایخ ابوحنیفه را ذکر کرده</w:t>
      </w:r>
      <w:r>
        <w:rPr>
          <w:rFonts w:ascii="IRBadr" w:hAnsi="IRBadr" w:cs="IRBadr" w:hint="cs"/>
          <w:rtl/>
        </w:rPr>
        <w:t>، اسمی از ابن ابی لیلی نیامده است.</w:t>
      </w:r>
      <w:r w:rsidR="00C44DD2">
        <w:rPr>
          <w:rFonts w:ascii="IRBadr" w:hAnsi="IRBadr" w:cs="IRBadr" w:hint="cs"/>
          <w:rtl/>
        </w:rPr>
        <w:t xml:space="preserve"> البته ممکن است که ابوحنیفه، شاگرد پدر ابن ابی لیلی یعنی عبدالرحمن</w:t>
      </w:r>
      <w:r w:rsidR="004D6990">
        <w:rPr>
          <w:rFonts w:ascii="IRBadr" w:hAnsi="IRBadr" w:cs="IRBadr" w:hint="cs"/>
          <w:rtl/>
        </w:rPr>
        <w:t xml:space="preserve"> بن ابی ‌لیلی</w:t>
      </w:r>
      <w:r w:rsidR="00C44DD2">
        <w:rPr>
          <w:rFonts w:ascii="IRBadr" w:hAnsi="IRBadr" w:cs="IRBadr" w:hint="cs"/>
          <w:rtl/>
        </w:rPr>
        <w:t xml:space="preserve"> باشد و از جهت طبقه‌ی ابوحنیفه تناسب دارد ولی </w:t>
      </w:r>
      <w:r w:rsidR="004D6990">
        <w:rPr>
          <w:rFonts w:ascii="IRBadr" w:hAnsi="IRBadr" w:cs="IRBadr" w:hint="cs"/>
          <w:rtl/>
        </w:rPr>
        <w:t>شاگردی او نسبت به خود ابن ابی لیلی از جهت طبقه ابوحنیفه هم متناسب نیست؛ چرا که او</w:t>
      </w:r>
      <w:r w:rsidR="00C44DD2">
        <w:rPr>
          <w:rFonts w:ascii="IRBadr" w:hAnsi="IRBadr" w:cs="IRBadr" w:hint="cs"/>
          <w:rtl/>
        </w:rPr>
        <w:t xml:space="preserve"> خود</w:t>
      </w:r>
      <w:r w:rsidR="004D6990">
        <w:rPr>
          <w:rFonts w:ascii="IRBadr" w:hAnsi="IRBadr" w:cs="IRBadr" w:hint="cs"/>
          <w:rtl/>
        </w:rPr>
        <w:t>،</w:t>
      </w:r>
      <w:r w:rsidR="00C44DD2">
        <w:rPr>
          <w:rFonts w:ascii="IRBadr" w:hAnsi="IRBadr" w:cs="IRBadr" w:hint="cs"/>
          <w:rtl/>
        </w:rPr>
        <w:t xml:space="preserve"> هم‌طبقه با ابن ابی لیلی است.</w:t>
      </w:r>
      <w:r w:rsidR="00C44DD2">
        <w:rPr>
          <w:rStyle w:val="FootnoteReference"/>
          <w:rFonts w:ascii="IRBadr" w:hAnsi="IRBadr" w:cs="IRBadr"/>
          <w:rtl/>
        </w:rPr>
        <w:footnoteReference w:id="4"/>
      </w:r>
      <w:r w:rsidR="00C44DD2">
        <w:rPr>
          <w:rFonts w:ascii="IRBadr" w:hAnsi="IRBadr" w:cs="IRBadr" w:hint="cs"/>
          <w:rtl/>
        </w:rPr>
        <w:t xml:space="preserve"> در برخی از وقایع، مسائل مربوط به رابطه ابوحنیفه و ابن ابی لیلی وارد شده است. به عنوان مثال در بحث خلق قرآن، از ابن ابی لیلی خواستند که نظر ابوحنیفه را جویا شود و به او بگوید که اگر نظر خود را تغییر ندهی، مجازات می‌شوی و او هم مطلب را به ابوحنیفه منتقل کرد و او برای در امان ماندن، مجبور به تغییر رای شد</w:t>
      </w:r>
      <w:r w:rsidR="00723FE0">
        <w:rPr>
          <w:rFonts w:ascii="IRBadr" w:hAnsi="IRBadr" w:cs="IRBadr" w:hint="cs"/>
          <w:rtl/>
        </w:rPr>
        <w:t>.</w:t>
      </w:r>
    </w:p>
    <w:p w:rsidR="004D6990" w:rsidRDefault="004D6990" w:rsidP="004D6990">
      <w:pPr>
        <w:pStyle w:val="Heading1"/>
        <w:rPr>
          <w:rtl/>
        </w:rPr>
      </w:pPr>
      <w:bookmarkStart w:id="26" w:name="_Toc147738005"/>
      <w:bookmarkStart w:id="27" w:name="_Toc147738021"/>
      <w:r>
        <w:rPr>
          <w:rFonts w:hint="cs"/>
          <w:rtl/>
        </w:rPr>
        <w:t>بیان چند نکته در پایان بحث جهت تکمیل مباحث گذشته</w:t>
      </w:r>
      <w:bookmarkEnd w:id="26"/>
      <w:bookmarkEnd w:id="27"/>
    </w:p>
    <w:p w:rsidR="004D6990" w:rsidRPr="004D6990" w:rsidRDefault="004D6990" w:rsidP="004D6990">
      <w:pPr>
        <w:rPr>
          <w:rtl/>
        </w:rPr>
      </w:pPr>
      <w:r>
        <w:rPr>
          <w:rFonts w:ascii="IRBadr" w:hAnsi="IRBadr" w:cs="IRBadr" w:hint="cs"/>
          <w:rtl/>
        </w:rPr>
        <w:t>در پایان، چند نکته برای تکمیل مباحث بیان می‌گردد:</w:t>
      </w:r>
    </w:p>
    <w:p w:rsidR="004D6990" w:rsidRDefault="004D6990" w:rsidP="004D6990">
      <w:pPr>
        <w:pStyle w:val="Heading2"/>
        <w:rPr>
          <w:rtl/>
        </w:rPr>
      </w:pPr>
      <w:bookmarkStart w:id="28" w:name="_Toc147738006"/>
      <w:bookmarkStart w:id="29" w:name="_Toc147738022"/>
      <w:r>
        <w:rPr>
          <w:rFonts w:hint="cs"/>
          <w:rtl/>
        </w:rPr>
        <w:t>نفوذ مردمی یا نفوذ حکومتی</w:t>
      </w:r>
      <w:bookmarkEnd w:id="28"/>
      <w:bookmarkEnd w:id="29"/>
    </w:p>
    <w:p w:rsidR="00723FE0" w:rsidRDefault="00723FE0" w:rsidP="004D6990">
      <w:pPr>
        <w:rPr>
          <w:rFonts w:ascii="IRBadr" w:hAnsi="IRBadr" w:cs="IRBadr"/>
          <w:rtl/>
        </w:rPr>
      </w:pPr>
      <w:r>
        <w:rPr>
          <w:rFonts w:ascii="IRBadr" w:hAnsi="IRBadr" w:cs="IRBadr" w:hint="cs"/>
          <w:rtl/>
        </w:rPr>
        <w:t xml:space="preserve">اما آنکه ملاک در تقیّه، نفوذ مردمی است یا نفوذ حکومتی، بیان شد که در برخی موارد، نفوذ حکومتی مهم است و در برخی موارد، نفوذ مردمی اهمیّت دارد. به عنوان دومین مرجّح از مرجّحات منصوصه، بحث نفوذ حکومتی معتبر است ولی </w:t>
      </w:r>
      <w:r w:rsidR="004D6990">
        <w:rPr>
          <w:rFonts w:ascii="IRBadr" w:hAnsi="IRBadr" w:cs="IRBadr" w:hint="cs"/>
          <w:rtl/>
        </w:rPr>
        <w:t>در بحث ترجیح مرجّحات منصوصه بر مرجّحات غیر منصوصه</w:t>
      </w:r>
      <w:r>
        <w:rPr>
          <w:rFonts w:ascii="IRBadr" w:hAnsi="IRBadr" w:cs="IRBadr" w:hint="cs"/>
          <w:rtl/>
        </w:rPr>
        <w:t xml:space="preserve">، با توضیحاتی که بیان شد، هم نفوذ حکومتی و هم نفوذ مردمی، هر دو می‌‌تواند ملاک باشد. </w:t>
      </w:r>
    </w:p>
    <w:p w:rsidR="004D6990" w:rsidRDefault="004D6990" w:rsidP="004D6990">
      <w:pPr>
        <w:pStyle w:val="Heading2"/>
        <w:rPr>
          <w:rtl/>
        </w:rPr>
      </w:pPr>
      <w:bookmarkStart w:id="30" w:name="_Toc147738007"/>
      <w:bookmarkStart w:id="31" w:name="_Toc147738023"/>
      <w:r>
        <w:rPr>
          <w:rFonts w:hint="cs"/>
          <w:rtl/>
        </w:rPr>
        <w:t>فتوای ابوحنیفه و ابن ابی لیلی در اجناس زکوی</w:t>
      </w:r>
      <w:bookmarkEnd w:id="30"/>
      <w:bookmarkEnd w:id="31"/>
    </w:p>
    <w:p w:rsidR="004D6990" w:rsidRDefault="00723FE0" w:rsidP="004D6990">
      <w:pPr>
        <w:rPr>
          <w:rFonts w:ascii="IRBadr" w:hAnsi="IRBadr" w:cs="IRBadr"/>
          <w:rtl/>
        </w:rPr>
      </w:pPr>
      <w:r>
        <w:rPr>
          <w:rFonts w:ascii="IRBadr" w:hAnsi="IRBadr" w:cs="IRBadr" w:hint="cs"/>
          <w:rtl/>
        </w:rPr>
        <w:t xml:space="preserve">در مانحن فیه ابن ابی لیلی </w:t>
      </w:r>
      <w:r w:rsidR="004D6990">
        <w:rPr>
          <w:rFonts w:ascii="IRBadr" w:hAnsi="IRBadr" w:cs="IRBadr" w:hint="cs"/>
          <w:rtl/>
        </w:rPr>
        <w:t>فتوا</w:t>
      </w:r>
      <w:r>
        <w:rPr>
          <w:rFonts w:ascii="IRBadr" w:hAnsi="IRBadr" w:cs="IRBadr" w:hint="cs"/>
          <w:rtl/>
        </w:rPr>
        <w:t xml:space="preserve"> به انحصار </w:t>
      </w:r>
      <w:r w:rsidR="004D6990">
        <w:rPr>
          <w:rFonts w:ascii="IRBadr" w:hAnsi="IRBadr" w:cs="IRBadr" w:hint="cs"/>
          <w:rtl/>
        </w:rPr>
        <w:t xml:space="preserve">زکات </w:t>
      </w:r>
      <w:r>
        <w:rPr>
          <w:rFonts w:ascii="IRBadr" w:hAnsi="IRBadr" w:cs="IRBadr" w:hint="cs"/>
          <w:rtl/>
        </w:rPr>
        <w:t>در ۹ جنس داده</w:t>
      </w:r>
      <w:r w:rsidR="004D6990">
        <w:rPr>
          <w:rFonts w:ascii="IRBadr" w:hAnsi="IRBadr" w:cs="IRBadr" w:hint="cs"/>
          <w:rtl/>
        </w:rPr>
        <w:t>،</w:t>
      </w:r>
      <w:r>
        <w:rPr>
          <w:rFonts w:ascii="IRBadr" w:hAnsi="IRBadr" w:cs="IRBadr" w:hint="cs"/>
          <w:rtl/>
        </w:rPr>
        <w:t xml:space="preserve"> ولی ابوحنیفه فتوای به اکثر از آن داده است</w:t>
      </w:r>
      <w:r w:rsidR="004D6990">
        <w:rPr>
          <w:rFonts w:ascii="IRBadr" w:hAnsi="IRBadr" w:cs="IRBadr" w:hint="cs"/>
          <w:rtl/>
        </w:rPr>
        <w:t>،</w:t>
      </w:r>
      <w:r>
        <w:rPr>
          <w:rFonts w:ascii="IRBadr" w:hAnsi="IRBadr" w:cs="IRBadr" w:hint="cs"/>
          <w:rtl/>
        </w:rPr>
        <w:t xml:space="preserve"> و ما برای بررسی فضای تقیه، قول ابوحنیفه را مطرح نمودیم. از روایات ما به دست می‌آید مشی حکومت در این بحث بر طبق فتوای ابوحنیفه است و فتوای ابن ابی لیلی مدار حکم حکومت نبوده است. آنچه مهم است، آن نیست که </w:t>
      </w:r>
      <w:r w:rsidR="006F4434">
        <w:rPr>
          <w:rFonts w:ascii="IRBadr" w:hAnsi="IRBadr" w:cs="IRBadr" w:hint="cs"/>
          <w:rtl/>
        </w:rPr>
        <w:t>با فتوای قاضی مخالفت شود. قاضی بودن از آن جهت مورد توجه است که حکم او نباید ردّ شود، ولی به این معنی نیست که مشی حکومت بر طبق فتوای قاضی باشد.</w:t>
      </w:r>
    </w:p>
    <w:p w:rsidR="006F4434" w:rsidRDefault="004D6990" w:rsidP="004D6990">
      <w:pPr>
        <w:pStyle w:val="Heading2"/>
        <w:rPr>
          <w:rtl/>
        </w:rPr>
      </w:pPr>
      <w:bookmarkStart w:id="32" w:name="_Toc147738008"/>
      <w:bookmarkStart w:id="33" w:name="_Toc147738024"/>
      <w:r>
        <w:rPr>
          <w:rFonts w:hint="cs"/>
          <w:rtl/>
        </w:rPr>
        <w:t>ملاک تقیّه در مقبوله عمر بن حنظله</w:t>
      </w:r>
      <w:bookmarkEnd w:id="32"/>
      <w:bookmarkEnd w:id="33"/>
      <w:r w:rsidR="006F4434">
        <w:rPr>
          <w:rFonts w:hint="cs"/>
          <w:rtl/>
        </w:rPr>
        <w:t xml:space="preserve">  </w:t>
      </w:r>
    </w:p>
    <w:p w:rsidR="00723FE0" w:rsidRDefault="006F4434" w:rsidP="006F4434">
      <w:pPr>
        <w:rPr>
          <w:rFonts w:ascii="IRBadr" w:hAnsi="IRBadr" w:cs="IRBadr"/>
          <w:rtl/>
        </w:rPr>
      </w:pPr>
      <w:r>
        <w:rPr>
          <w:rFonts w:ascii="IRBadr" w:hAnsi="IRBadr" w:cs="IRBadr" w:hint="cs"/>
          <w:rtl/>
        </w:rPr>
        <w:t xml:space="preserve">موضوع روایت مقبوله عمر بن حنظله، بحث قضا است به طوری که برخی فقها به طور کلی این روایت را در ترجیح خبرین متعارضین اخذ نکرده‌اند و گفته‌اند این روایت مربوط به ترجیح روایاتی است که مبنای قضاوت است. ما وارد آن بحث نمی‌شویم ولی به طور اجمال بیان می‌شود که آنچه در مقبوله </w:t>
      </w:r>
      <w:r>
        <w:rPr>
          <w:rFonts w:ascii="IRBadr" w:hAnsi="IRBadr" w:cs="IRBadr"/>
          <w:rtl/>
        </w:rPr>
        <w:t>–</w:t>
      </w:r>
      <w:r>
        <w:rPr>
          <w:rFonts w:ascii="IRBadr" w:hAnsi="IRBadr" w:cs="IRBadr" w:hint="cs"/>
          <w:rtl/>
        </w:rPr>
        <w:t>در بحث مخالفت با عامه- به عنوان مرجّح ذکر شده است، فتوایی است که مخالفت با آن، به نوعی ردّ حکم حاکم یا حکم حکومتی باشد، ولی در بحث تقیه همیشه این‌گونه نیست.</w:t>
      </w:r>
      <w:r w:rsidR="000A1958">
        <w:rPr>
          <w:rFonts w:ascii="IRBadr" w:hAnsi="IRBadr" w:cs="IRBadr" w:hint="cs"/>
          <w:rtl/>
        </w:rPr>
        <w:t xml:space="preserve"> همانطور که گذشت، در برخی موارد</w:t>
      </w:r>
      <w:r>
        <w:rPr>
          <w:rFonts w:ascii="IRBadr" w:hAnsi="IRBadr" w:cs="IRBadr" w:hint="cs"/>
          <w:rtl/>
        </w:rPr>
        <w:t xml:space="preserve"> آنچه در بحث تقیه اهمیّت دارد، نفوذ مردمی یک فتوا است به طوری که </w:t>
      </w:r>
      <w:r w:rsidR="00A26279">
        <w:rPr>
          <w:rFonts w:ascii="IRBadr" w:hAnsi="IRBadr" w:cs="IRBadr" w:hint="cs"/>
          <w:rtl/>
        </w:rPr>
        <w:t xml:space="preserve">اگر یک راوی، </w:t>
      </w:r>
      <w:r>
        <w:rPr>
          <w:rFonts w:ascii="IRBadr" w:hAnsi="IRBadr" w:cs="IRBadr" w:hint="cs"/>
          <w:rtl/>
        </w:rPr>
        <w:t>قائل به مخالف با آن</w:t>
      </w:r>
      <w:r w:rsidR="00A26279">
        <w:rPr>
          <w:rFonts w:ascii="IRBadr" w:hAnsi="IRBadr" w:cs="IRBadr" w:hint="cs"/>
          <w:rtl/>
        </w:rPr>
        <w:t xml:space="preserve"> باشد</w:t>
      </w:r>
      <w:r>
        <w:rPr>
          <w:rFonts w:ascii="IRBadr" w:hAnsi="IRBadr" w:cs="IRBadr" w:hint="cs"/>
          <w:rtl/>
        </w:rPr>
        <w:t xml:space="preserve">، اتّهام تشیّع در مورد او مطرح می‌شود. </w:t>
      </w:r>
    </w:p>
    <w:p w:rsidR="00B03907" w:rsidRDefault="00B03907" w:rsidP="00B03907">
      <w:pPr>
        <w:pStyle w:val="Heading2"/>
        <w:rPr>
          <w:rtl/>
        </w:rPr>
      </w:pPr>
      <w:bookmarkStart w:id="34" w:name="_Toc147738009"/>
      <w:bookmarkStart w:id="35" w:name="_Toc147738025"/>
      <w:r>
        <w:rPr>
          <w:rFonts w:hint="cs"/>
          <w:rtl/>
        </w:rPr>
        <w:t>کلام حاج آقا رضا: حجیّت ظواهر و لو با ظنّ به خلاف</w:t>
      </w:r>
      <w:bookmarkEnd w:id="34"/>
      <w:bookmarkEnd w:id="35"/>
    </w:p>
    <w:p w:rsidR="009D188E" w:rsidRDefault="009D188E" w:rsidP="00E73B95">
      <w:pPr>
        <w:rPr>
          <w:rFonts w:ascii="IRBadr" w:hAnsi="IRBadr" w:cs="IRBadr"/>
          <w:rtl/>
        </w:rPr>
      </w:pPr>
      <w:r>
        <w:rPr>
          <w:rFonts w:ascii="IRBadr" w:hAnsi="IRBadr" w:cs="IRBadr" w:hint="cs"/>
          <w:rtl/>
        </w:rPr>
        <w:t>حاج آقا رضا همدانی بیان کردند که در مورد حجیّت خبر واحد، ظن به خلاف، مانع اخذ به آن نیست. به نظر ما از اساس، ظواهر و دلالات ظنّی بالذات حجّت نیستند، بلکه از باب اطمینان حجّت هستند. به نظر ما ظواهر ظنیّه از باب انسداد صغیر حجّت است. جناب آیت الله والد قائل به انسداد کبیر هستند و ظواهر ظنیّه را هم از همین باب حجّت می‌دانند. اینکه انسداد صغیر باشد یا انسداد کبیر،</w:t>
      </w:r>
      <w:r w:rsidR="00E73B95">
        <w:rPr>
          <w:rFonts w:ascii="IRBadr" w:hAnsi="IRBadr" w:cs="IRBadr" w:hint="cs"/>
          <w:rtl/>
        </w:rPr>
        <w:t xml:space="preserve"> ممکن است</w:t>
      </w:r>
      <w:r>
        <w:rPr>
          <w:rFonts w:ascii="IRBadr" w:hAnsi="IRBadr" w:cs="IRBadr" w:hint="cs"/>
          <w:rtl/>
        </w:rPr>
        <w:t xml:space="preserve"> ثمراتی در بحث داشته باشد. </w:t>
      </w:r>
    </w:p>
    <w:p w:rsidR="009D188E" w:rsidRDefault="00F257EF" w:rsidP="00F257EF">
      <w:pPr>
        <w:rPr>
          <w:rFonts w:ascii="IRBadr" w:hAnsi="IRBadr" w:cs="IRBadr"/>
          <w:rtl/>
        </w:rPr>
      </w:pPr>
      <w:r>
        <w:rPr>
          <w:rFonts w:ascii="IRBadr" w:hAnsi="IRBadr" w:cs="IRBadr" w:hint="cs"/>
          <w:rtl/>
        </w:rPr>
        <w:t xml:space="preserve">قبل از ورود به بحث زکات مال التجارة، زکات خیل را بحث می‌کنیم. روایات مربوط به زکات مال التجارة را در ذیل زکات صبی مورد نظر و دقّت قرار دادیم؛ لذا به طور مختصر از آن بحث می‌کنیم و مجدّدا به تفصیل وارد آن نمی‌شویم. </w:t>
      </w:r>
    </w:p>
    <w:p w:rsidR="00010FF3" w:rsidRDefault="00010FF3" w:rsidP="00E73B95">
      <w:pPr>
        <w:rPr>
          <w:rFonts w:ascii="IRBadr" w:hAnsi="IRBadr" w:cs="IRBadr"/>
          <w:rtl/>
        </w:rPr>
      </w:pPr>
      <w:r>
        <w:rPr>
          <w:rFonts w:ascii="IRBadr" w:hAnsi="IRBadr" w:cs="IRBadr" w:hint="cs"/>
          <w:rtl/>
        </w:rPr>
        <w:t>در شرایع آمده است که زکات در ۹ جنس واجب است و در مال التجاره دو قول است و در خیل هم زکات مستحبّ است.</w:t>
      </w:r>
      <w:r w:rsidR="00062A0C">
        <w:rPr>
          <w:rStyle w:val="FootnoteReference"/>
          <w:rFonts w:ascii="IRBadr" w:hAnsi="IRBadr" w:cs="IRBadr"/>
          <w:rtl/>
        </w:rPr>
        <w:footnoteReference w:id="5"/>
      </w:r>
      <w:r w:rsidR="00062A0C">
        <w:rPr>
          <w:rFonts w:ascii="IRBadr" w:hAnsi="IRBadr" w:cs="IRBadr" w:hint="cs"/>
          <w:rtl/>
        </w:rPr>
        <w:t xml:space="preserve"> </w:t>
      </w:r>
      <w:r w:rsidR="00B645BA">
        <w:rPr>
          <w:rFonts w:ascii="IRBadr" w:hAnsi="IRBadr" w:cs="IRBadr" w:hint="cs"/>
          <w:rtl/>
        </w:rPr>
        <w:t xml:space="preserve">ما ابتدا زکات خیل را بحث می‌کنیم و سپس به طور مختصر از زکات مال التجارة بحث </w:t>
      </w:r>
      <w:r w:rsidR="00E73B95">
        <w:rPr>
          <w:rFonts w:ascii="IRBadr" w:hAnsi="IRBadr" w:cs="IRBadr" w:hint="cs"/>
          <w:rtl/>
        </w:rPr>
        <w:t>می‌نماییم</w:t>
      </w:r>
      <w:r w:rsidR="00B645BA">
        <w:rPr>
          <w:rFonts w:ascii="IRBadr" w:hAnsi="IRBadr" w:cs="IRBadr" w:hint="cs"/>
          <w:rtl/>
        </w:rPr>
        <w:t xml:space="preserve">. </w:t>
      </w:r>
    </w:p>
    <w:p w:rsidR="009D188E" w:rsidRDefault="009D188E" w:rsidP="006F4434">
      <w:pPr>
        <w:rPr>
          <w:rFonts w:ascii="IRBadr" w:hAnsi="IRBadr" w:cs="IRBadr"/>
          <w:rtl/>
        </w:rPr>
      </w:pPr>
    </w:p>
    <w:p w:rsidR="00B12861" w:rsidRDefault="00B12861" w:rsidP="00B12861">
      <w:pPr>
        <w:rPr>
          <w:rFonts w:ascii="IRBadr" w:hAnsi="IRBadr" w:cs="IRBadr"/>
          <w:rtl/>
        </w:rPr>
      </w:pPr>
    </w:p>
    <w:p w:rsidR="00B12861" w:rsidRDefault="00B12861" w:rsidP="00B12861">
      <w:pPr>
        <w:rPr>
          <w:rFonts w:ascii="IRBadr" w:hAnsi="IRBadr" w:cs="IRBadr"/>
          <w:rtl/>
        </w:rPr>
      </w:pPr>
    </w:p>
    <w:p w:rsidR="00B12861" w:rsidRPr="0019035B" w:rsidRDefault="00B12861" w:rsidP="00B12861">
      <w:pPr>
        <w:rPr>
          <w:rFonts w:ascii="IRBadr" w:hAnsi="IRBadr" w:cs="IRBadr"/>
        </w:rPr>
      </w:pPr>
    </w:p>
    <w:p w:rsidR="001A1EA5" w:rsidRPr="006162A2" w:rsidRDefault="001A1EA5" w:rsidP="006162A2">
      <w:pPr>
        <w:rPr>
          <w:rtl/>
        </w:rPr>
      </w:pPr>
    </w:p>
    <w:sectPr w:rsidR="001A1EA5" w:rsidRPr="006162A2"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75C" w:rsidRDefault="0033275C" w:rsidP="008B750B">
      <w:pPr>
        <w:spacing w:line="240" w:lineRule="auto"/>
      </w:pPr>
      <w:r>
        <w:separator/>
      </w:r>
    </w:p>
    <w:p w:rsidR="0033275C" w:rsidRDefault="0033275C"/>
  </w:endnote>
  <w:endnote w:type="continuationSeparator" w:id="0">
    <w:p w:rsidR="0033275C" w:rsidRDefault="0033275C" w:rsidP="008B750B">
      <w:pPr>
        <w:spacing w:line="240" w:lineRule="auto"/>
      </w:pPr>
      <w:r>
        <w:continuationSeparator/>
      </w:r>
    </w:p>
    <w:p w:rsidR="0033275C" w:rsidRDefault="003327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p w:rsidR="000F75AF" w:rsidRDefault="000F75A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E06C3" w:rsidRPr="003E06C3">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170F0C" w:rsidP="001B6799">
          <w:pPr>
            <w:pStyle w:val="Footer"/>
            <w:bidi w:val="0"/>
            <w:rPr>
              <w:color w:val="808080" w:themeColor="background1" w:themeShade="80"/>
              <w:rtl/>
            </w:rPr>
          </w:pPr>
          <w:bookmarkStart w:id="36" w:name="BokAdres"/>
          <w:bookmarkEnd w:id="36"/>
          <w:r>
            <w:rPr>
              <w:color w:val="808080" w:themeColor="background1" w:themeShade="80"/>
            </w:rPr>
            <w:t>F1js1_14020708-008_ah1_mfeb.ir</w:t>
          </w:r>
        </w:p>
      </w:tc>
    </w:tr>
  </w:tbl>
  <w:p w:rsidR="00FA3B17" w:rsidRDefault="00FA3B17" w:rsidP="00FA5F3D">
    <w:pPr>
      <w:pStyle w:val="Footer"/>
      <w:jc w:val="center"/>
    </w:pPr>
  </w:p>
  <w:p w:rsidR="000F75AF" w:rsidRDefault="000F75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75C" w:rsidRDefault="0033275C" w:rsidP="008B750B">
      <w:pPr>
        <w:spacing w:line="240" w:lineRule="auto"/>
      </w:pPr>
      <w:r>
        <w:separator/>
      </w:r>
    </w:p>
    <w:p w:rsidR="0033275C" w:rsidRDefault="0033275C"/>
  </w:footnote>
  <w:footnote w:type="continuationSeparator" w:id="0">
    <w:p w:rsidR="0033275C" w:rsidRDefault="0033275C" w:rsidP="008B750B">
      <w:pPr>
        <w:spacing w:line="240" w:lineRule="auto"/>
      </w:pPr>
      <w:r>
        <w:continuationSeparator/>
      </w:r>
    </w:p>
    <w:p w:rsidR="0033275C" w:rsidRDefault="0033275C"/>
  </w:footnote>
  <w:footnote w:id="1">
    <w:p w:rsidR="00F124B1" w:rsidRDefault="00F124B1">
      <w:pPr>
        <w:pStyle w:val="FootnoteText"/>
      </w:pPr>
      <w:r>
        <w:rPr>
          <w:rStyle w:val="FootnoteReference"/>
        </w:rPr>
        <w:footnoteRef/>
      </w:r>
      <w:r>
        <w:rPr>
          <w:rtl/>
        </w:rPr>
        <w:t xml:space="preserve"> </w:t>
      </w:r>
      <w:r>
        <w:rPr>
          <w:rFonts w:hint="cs"/>
          <w:rtl/>
        </w:rPr>
        <w:t>در جلسه بعد، استاد این بحث را تکمیل کرده و صور دیگری را نیز بیان فرمودند.</w:t>
      </w:r>
    </w:p>
  </w:footnote>
  <w:footnote w:id="2">
    <w:p w:rsidR="006772B2" w:rsidRPr="006772B2" w:rsidRDefault="006772B2" w:rsidP="006772B2">
      <w:pPr>
        <w:pStyle w:val="FootnoteText"/>
      </w:pPr>
      <w:r w:rsidRPr="006772B2">
        <w:footnoteRef/>
      </w:r>
      <w:r w:rsidRPr="006772B2">
        <w:rPr>
          <w:rtl/>
        </w:rPr>
        <w:t xml:space="preserve"> </w:t>
      </w:r>
      <w:hyperlink r:id="rId1" w:history="1">
        <w:r w:rsidRPr="006772B2">
          <w:rPr>
            <w:rStyle w:val="Hyperlink"/>
            <w:rFonts w:hint="cs"/>
            <w:rtl/>
          </w:rPr>
          <w:t>الکافی،</w:t>
        </w:r>
        <w:r w:rsidRPr="006772B2">
          <w:rPr>
            <w:rStyle w:val="Hyperlink"/>
            <w:rtl/>
          </w:rPr>
          <w:t xml:space="preserve"> </w:t>
        </w:r>
        <w:r w:rsidRPr="006772B2">
          <w:rPr>
            <w:rStyle w:val="Hyperlink"/>
            <w:rFonts w:hint="cs"/>
            <w:rtl/>
          </w:rPr>
          <w:t>محمد</w:t>
        </w:r>
        <w:r w:rsidRPr="006772B2">
          <w:rPr>
            <w:rStyle w:val="Hyperlink"/>
            <w:rtl/>
          </w:rPr>
          <w:t xml:space="preserve"> </w:t>
        </w:r>
        <w:r w:rsidRPr="006772B2">
          <w:rPr>
            <w:rStyle w:val="Hyperlink"/>
            <w:rFonts w:hint="cs"/>
            <w:rtl/>
          </w:rPr>
          <w:t>بن</w:t>
        </w:r>
        <w:r w:rsidRPr="006772B2">
          <w:rPr>
            <w:rStyle w:val="Hyperlink"/>
            <w:rtl/>
          </w:rPr>
          <w:t xml:space="preserve"> </w:t>
        </w:r>
        <w:r w:rsidRPr="006772B2">
          <w:rPr>
            <w:rStyle w:val="Hyperlink"/>
            <w:rFonts w:hint="cs"/>
            <w:rtl/>
          </w:rPr>
          <w:t>یعقوب</w:t>
        </w:r>
        <w:r w:rsidRPr="006772B2">
          <w:rPr>
            <w:rStyle w:val="Hyperlink"/>
            <w:rtl/>
          </w:rPr>
          <w:t xml:space="preserve"> </w:t>
        </w:r>
        <w:r w:rsidRPr="006772B2">
          <w:rPr>
            <w:rStyle w:val="Hyperlink"/>
            <w:rFonts w:hint="cs"/>
            <w:rtl/>
          </w:rPr>
          <w:t>کلینی،</w:t>
        </w:r>
        <w:r w:rsidRPr="006772B2">
          <w:rPr>
            <w:rStyle w:val="Hyperlink"/>
            <w:rtl/>
          </w:rPr>
          <w:t xml:space="preserve"> </w:t>
        </w:r>
        <w:r w:rsidRPr="006772B2">
          <w:rPr>
            <w:rStyle w:val="Hyperlink"/>
            <w:rFonts w:hint="cs"/>
            <w:rtl/>
          </w:rPr>
          <w:t>ج</w:t>
        </w:r>
        <w:r w:rsidRPr="006772B2">
          <w:rPr>
            <w:rStyle w:val="Hyperlink"/>
            <w:rtl/>
          </w:rPr>
          <w:t>7</w:t>
        </w:r>
        <w:r w:rsidRPr="006772B2">
          <w:rPr>
            <w:rStyle w:val="Hyperlink"/>
            <w:rFonts w:hint="cs"/>
            <w:rtl/>
          </w:rPr>
          <w:t>،</w:t>
        </w:r>
        <w:r w:rsidRPr="006772B2">
          <w:rPr>
            <w:rStyle w:val="Hyperlink"/>
            <w:rtl/>
          </w:rPr>
          <w:t xml:space="preserve"> </w:t>
        </w:r>
        <w:r w:rsidRPr="006772B2">
          <w:rPr>
            <w:rStyle w:val="Hyperlink"/>
            <w:rFonts w:hint="cs"/>
            <w:rtl/>
          </w:rPr>
          <w:t>ص</w:t>
        </w:r>
        <w:r w:rsidRPr="006772B2">
          <w:rPr>
            <w:rStyle w:val="Hyperlink"/>
            <w:rtl/>
          </w:rPr>
          <w:t>62.</w:t>
        </w:r>
      </w:hyperlink>
    </w:p>
  </w:footnote>
  <w:footnote w:id="3">
    <w:p w:rsidR="000417F2" w:rsidRDefault="000417F2">
      <w:pPr>
        <w:pStyle w:val="FootnoteText"/>
      </w:pPr>
      <w:r>
        <w:rPr>
          <w:rStyle w:val="FootnoteReference"/>
        </w:rPr>
        <w:footnoteRef/>
      </w:r>
      <w:r>
        <w:rPr>
          <w:rtl/>
        </w:rPr>
        <w:t xml:space="preserve"> </w:t>
      </w:r>
      <w:r>
        <w:rPr>
          <w:rFonts w:hint="cs"/>
          <w:rtl/>
        </w:rPr>
        <w:t>استاد بیان کردند که در بعضی از گروهها در فضای مجازی این مطلب در نقد کلام ما ذکر شده است.</w:t>
      </w:r>
    </w:p>
  </w:footnote>
  <w:footnote w:id="4">
    <w:p w:rsidR="00C44DD2" w:rsidRDefault="00C44DD2">
      <w:pPr>
        <w:pStyle w:val="FootnoteText"/>
      </w:pPr>
      <w:r>
        <w:rPr>
          <w:rStyle w:val="FootnoteReference"/>
        </w:rPr>
        <w:footnoteRef/>
      </w:r>
      <w:r>
        <w:rPr>
          <w:rtl/>
        </w:rPr>
        <w:t xml:space="preserve"> </w:t>
      </w:r>
      <w:r>
        <w:rPr>
          <w:rFonts w:hint="cs"/>
          <w:rtl/>
        </w:rPr>
        <w:t>به تناسب ذکر پدر ابن ابی لیلی، در شرح حال ابن ابی لیلی وارد شده است که از او در مورد پدرش پرسیدند. بیان کرد که من از پدرم هیچ خبری ندارم. تنها خبری که دارم آن است که می‌دانم صاحب دو زوجه بود.</w:t>
      </w:r>
    </w:p>
  </w:footnote>
  <w:footnote w:id="5">
    <w:p w:rsidR="00062A0C" w:rsidRDefault="00062A0C">
      <w:pPr>
        <w:pStyle w:val="FootnoteText"/>
      </w:pPr>
      <w:r>
        <w:rPr>
          <w:rStyle w:val="FootnoteReference"/>
        </w:rPr>
        <w:footnoteRef/>
      </w:r>
      <w:r>
        <w:rPr>
          <w:rtl/>
        </w:rPr>
        <w:t xml:space="preserve"> </w:t>
      </w:r>
      <w:r w:rsidRPr="00062A0C">
        <w:rPr>
          <w:rFonts w:hint="cs"/>
          <w:rtl/>
        </w:rPr>
        <w:t>شرائع</w:t>
      </w:r>
      <w:r w:rsidRPr="00062A0C">
        <w:rPr>
          <w:rtl/>
        </w:rPr>
        <w:t xml:space="preserve"> </w:t>
      </w:r>
      <w:r w:rsidRPr="00062A0C">
        <w:rPr>
          <w:rFonts w:hint="cs"/>
          <w:rtl/>
        </w:rPr>
        <w:t>الإسلام</w:t>
      </w:r>
      <w:r w:rsidRPr="00062A0C">
        <w:rPr>
          <w:rtl/>
        </w:rPr>
        <w:t xml:space="preserve"> </w:t>
      </w:r>
      <w:r w:rsidRPr="00062A0C">
        <w:rPr>
          <w:rFonts w:hint="cs"/>
          <w:rtl/>
        </w:rPr>
        <w:t>في</w:t>
      </w:r>
      <w:r w:rsidRPr="00062A0C">
        <w:rPr>
          <w:rtl/>
        </w:rPr>
        <w:t xml:space="preserve"> </w:t>
      </w:r>
      <w:r w:rsidRPr="00062A0C">
        <w:rPr>
          <w:rFonts w:hint="cs"/>
          <w:rtl/>
        </w:rPr>
        <w:t>مسائل</w:t>
      </w:r>
      <w:r w:rsidRPr="00062A0C">
        <w:rPr>
          <w:rtl/>
        </w:rPr>
        <w:t xml:space="preserve"> </w:t>
      </w:r>
      <w:r w:rsidRPr="00062A0C">
        <w:rPr>
          <w:rFonts w:hint="cs"/>
          <w:rtl/>
        </w:rPr>
        <w:t>الحلال</w:t>
      </w:r>
      <w:r w:rsidRPr="00062A0C">
        <w:rPr>
          <w:rtl/>
        </w:rPr>
        <w:t xml:space="preserve"> </w:t>
      </w:r>
      <w:r w:rsidRPr="00062A0C">
        <w:rPr>
          <w:rFonts w:hint="cs"/>
          <w:rtl/>
        </w:rPr>
        <w:t>و</w:t>
      </w:r>
      <w:r w:rsidRPr="00062A0C">
        <w:rPr>
          <w:rtl/>
        </w:rPr>
        <w:t xml:space="preserve"> </w:t>
      </w:r>
      <w:r w:rsidRPr="00062A0C">
        <w:rPr>
          <w:rFonts w:hint="cs"/>
          <w:rtl/>
        </w:rPr>
        <w:t>الحرام،</w:t>
      </w:r>
      <w:r w:rsidRPr="00062A0C">
        <w:rPr>
          <w:rtl/>
        </w:rPr>
        <w:t xml:space="preserve"> </w:t>
      </w:r>
      <w:r w:rsidRPr="00062A0C">
        <w:rPr>
          <w:rFonts w:hint="cs"/>
          <w:rtl/>
        </w:rPr>
        <w:t>ج‌</w:t>
      </w:r>
      <w:r w:rsidRPr="00062A0C">
        <w:rPr>
          <w:rtl/>
        </w:rPr>
        <w:t>1</w:t>
      </w:r>
      <w:r w:rsidRPr="00062A0C">
        <w:rPr>
          <w:rFonts w:hint="cs"/>
          <w:rtl/>
        </w:rPr>
        <w:t>،</w:t>
      </w:r>
      <w:r w:rsidRPr="00062A0C">
        <w:rPr>
          <w:rtl/>
        </w:rPr>
        <w:t xml:space="preserve"> </w:t>
      </w:r>
      <w:r w:rsidRPr="00062A0C">
        <w:rPr>
          <w:rFonts w:hint="cs"/>
          <w:rtl/>
        </w:rPr>
        <w:t>ص</w:t>
      </w:r>
      <w:r w:rsidRPr="00062A0C">
        <w:rPr>
          <w:rtl/>
        </w:rPr>
        <w:t>: 130‌</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p w:rsidR="000F75AF" w:rsidRDefault="000F75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0FF3"/>
    <w:rsid w:val="0002342E"/>
    <w:rsid w:val="00025777"/>
    <w:rsid w:val="00025B70"/>
    <w:rsid w:val="000353D7"/>
    <w:rsid w:val="000417F2"/>
    <w:rsid w:val="00055496"/>
    <w:rsid w:val="00062A0C"/>
    <w:rsid w:val="00080A41"/>
    <w:rsid w:val="0008299B"/>
    <w:rsid w:val="00082D4D"/>
    <w:rsid w:val="00084B84"/>
    <w:rsid w:val="000913AA"/>
    <w:rsid w:val="00094847"/>
    <w:rsid w:val="00096C63"/>
    <w:rsid w:val="000A1958"/>
    <w:rsid w:val="000B38BF"/>
    <w:rsid w:val="000B5DB5"/>
    <w:rsid w:val="000B6359"/>
    <w:rsid w:val="000C3947"/>
    <w:rsid w:val="000D2A37"/>
    <w:rsid w:val="000D30E9"/>
    <w:rsid w:val="000D6818"/>
    <w:rsid w:val="000E335E"/>
    <w:rsid w:val="000F16CF"/>
    <w:rsid w:val="000F5BAC"/>
    <w:rsid w:val="000F75AF"/>
    <w:rsid w:val="00102585"/>
    <w:rsid w:val="00114AB7"/>
    <w:rsid w:val="00116B2B"/>
    <w:rsid w:val="00124E3D"/>
    <w:rsid w:val="00127E95"/>
    <w:rsid w:val="00130659"/>
    <w:rsid w:val="001347C7"/>
    <w:rsid w:val="001356B0"/>
    <w:rsid w:val="00151937"/>
    <w:rsid w:val="00170F0C"/>
    <w:rsid w:val="001742C0"/>
    <w:rsid w:val="00181844"/>
    <w:rsid w:val="001837E9"/>
    <w:rsid w:val="00187DFA"/>
    <w:rsid w:val="0019035B"/>
    <w:rsid w:val="0019587B"/>
    <w:rsid w:val="001A1BC1"/>
    <w:rsid w:val="001A1EA5"/>
    <w:rsid w:val="001A2574"/>
    <w:rsid w:val="001A27D7"/>
    <w:rsid w:val="001A294E"/>
    <w:rsid w:val="001A4ED8"/>
    <w:rsid w:val="001B2488"/>
    <w:rsid w:val="001B5609"/>
    <w:rsid w:val="001B6799"/>
    <w:rsid w:val="001B761B"/>
    <w:rsid w:val="001C1362"/>
    <w:rsid w:val="001C145E"/>
    <w:rsid w:val="001D2E9A"/>
    <w:rsid w:val="001D597F"/>
    <w:rsid w:val="001E3FD4"/>
    <w:rsid w:val="0020241A"/>
    <w:rsid w:val="00203821"/>
    <w:rsid w:val="00203E9C"/>
    <w:rsid w:val="00211632"/>
    <w:rsid w:val="0021630D"/>
    <w:rsid w:val="0024121B"/>
    <w:rsid w:val="00247D2F"/>
    <w:rsid w:val="00256560"/>
    <w:rsid w:val="00257650"/>
    <w:rsid w:val="0027605E"/>
    <w:rsid w:val="00281E00"/>
    <w:rsid w:val="00294A52"/>
    <w:rsid w:val="002B575F"/>
    <w:rsid w:val="002B729B"/>
    <w:rsid w:val="002C23B5"/>
    <w:rsid w:val="002C53A2"/>
    <w:rsid w:val="002D0040"/>
    <w:rsid w:val="002D2FA8"/>
    <w:rsid w:val="002E220F"/>
    <w:rsid w:val="002F2836"/>
    <w:rsid w:val="003000E7"/>
    <w:rsid w:val="00304577"/>
    <w:rsid w:val="00305FCB"/>
    <w:rsid w:val="00307311"/>
    <w:rsid w:val="0031576A"/>
    <w:rsid w:val="0032100F"/>
    <w:rsid w:val="0033275C"/>
    <w:rsid w:val="0033402C"/>
    <w:rsid w:val="00340521"/>
    <w:rsid w:val="00345C73"/>
    <w:rsid w:val="00347CF1"/>
    <w:rsid w:val="00354A99"/>
    <w:rsid w:val="00360311"/>
    <w:rsid w:val="00361922"/>
    <w:rsid w:val="0037339B"/>
    <w:rsid w:val="0038527F"/>
    <w:rsid w:val="00386C11"/>
    <w:rsid w:val="00397466"/>
    <w:rsid w:val="003A5BA2"/>
    <w:rsid w:val="003A6148"/>
    <w:rsid w:val="003B777B"/>
    <w:rsid w:val="003C28F8"/>
    <w:rsid w:val="003C33F6"/>
    <w:rsid w:val="003C3D2E"/>
    <w:rsid w:val="003C43A5"/>
    <w:rsid w:val="003E01D8"/>
    <w:rsid w:val="003E06C3"/>
    <w:rsid w:val="003E1C5C"/>
    <w:rsid w:val="003E45B5"/>
    <w:rsid w:val="003E6650"/>
    <w:rsid w:val="003E6AB3"/>
    <w:rsid w:val="003F5B46"/>
    <w:rsid w:val="00401363"/>
    <w:rsid w:val="00402E47"/>
    <w:rsid w:val="00417CDC"/>
    <w:rsid w:val="00425015"/>
    <w:rsid w:val="00430994"/>
    <w:rsid w:val="00441B6D"/>
    <w:rsid w:val="004556EF"/>
    <w:rsid w:val="00462B07"/>
    <w:rsid w:val="00462E08"/>
    <w:rsid w:val="00465BD2"/>
    <w:rsid w:val="004715C8"/>
    <w:rsid w:val="004760FE"/>
    <w:rsid w:val="00481C31"/>
    <w:rsid w:val="00482FC1"/>
    <w:rsid w:val="00483027"/>
    <w:rsid w:val="00484710"/>
    <w:rsid w:val="004871AA"/>
    <w:rsid w:val="004918D7"/>
    <w:rsid w:val="004926E1"/>
    <w:rsid w:val="004A2FEA"/>
    <w:rsid w:val="004D2DD7"/>
    <w:rsid w:val="004D6990"/>
    <w:rsid w:val="004D75C5"/>
    <w:rsid w:val="004E2186"/>
    <w:rsid w:val="004E66FB"/>
    <w:rsid w:val="004E76BF"/>
    <w:rsid w:val="004F470A"/>
    <w:rsid w:val="004F4C59"/>
    <w:rsid w:val="00500C8F"/>
    <w:rsid w:val="00501909"/>
    <w:rsid w:val="00507BBB"/>
    <w:rsid w:val="005128DF"/>
    <w:rsid w:val="0051592A"/>
    <w:rsid w:val="005206FE"/>
    <w:rsid w:val="00521176"/>
    <w:rsid w:val="005257ED"/>
    <w:rsid w:val="005306F8"/>
    <w:rsid w:val="0054023D"/>
    <w:rsid w:val="005426BF"/>
    <w:rsid w:val="00561EAF"/>
    <w:rsid w:val="0056213C"/>
    <w:rsid w:val="00580C24"/>
    <w:rsid w:val="00585393"/>
    <w:rsid w:val="00590721"/>
    <w:rsid w:val="005968EF"/>
    <w:rsid w:val="00596C1E"/>
    <w:rsid w:val="005A2E26"/>
    <w:rsid w:val="005B7BCA"/>
    <w:rsid w:val="005C0DAE"/>
    <w:rsid w:val="005C188E"/>
    <w:rsid w:val="005D2349"/>
    <w:rsid w:val="005E1B60"/>
    <w:rsid w:val="005E3E90"/>
    <w:rsid w:val="005E5507"/>
    <w:rsid w:val="005E607B"/>
    <w:rsid w:val="005F0A8D"/>
    <w:rsid w:val="00601229"/>
    <w:rsid w:val="00601AA7"/>
    <w:rsid w:val="00603B67"/>
    <w:rsid w:val="006162A2"/>
    <w:rsid w:val="006240DA"/>
    <w:rsid w:val="0063256E"/>
    <w:rsid w:val="0063320A"/>
    <w:rsid w:val="00633F04"/>
    <w:rsid w:val="00635219"/>
    <w:rsid w:val="00635EC0"/>
    <w:rsid w:val="00636853"/>
    <w:rsid w:val="00640B58"/>
    <w:rsid w:val="00651B02"/>
    <w:rsid w:val="00651B19"/>
    <w:rsid w:val="00653222"/>
    <w:rsid w:val="0065583D"/>
    <w:rsid w:val="00660A29"/>
    <w:rsid w:val="006772B2"/>
    <w:rsid w:val="00695519"/>
    <w:rsid w:val="006A4134"/>
    <w:rsid w:val="006A5DDA"/>
    <w:rsid w:val="006A645D"/>
    <w:rsid w:val="006A6701"/>
    <w:rsid w:val="006B21F4"/>
    <w:rsid w:val="006B3753"/>
    <w:rsid w:val="006B7AD6"/>
    <w:rsid w:val="006B7B44"/>
    <w:rsid w:val="006C50FD"/>
    <w:rsid w:val="006D1DD4"/>
    <w:rsid w:val="006D4014"/>
    <w:rsid w:val="006D44C1"/>
    <w:rsid w:val="006E5651"/>
    <w:rsid w:val="006E5B85"/>
    <w:rsid w:val="006F026A"/>
    <w:rsid w:val="006F4434"/>
    <w:rsid w:val="006F7C9A"/>
    <w:rsid w:val="0070265B"/>
    <w:rsid w:val="00704813"/>
    <w:rsid w:val="00710EC1"/>
    <w:rsid w:val="0072290D"/>
    <w:rsid w:val="00723D6D"/>
    <w:rsid w:val="00723FE0"/>
    <w:rsid w:val="00724537"/>
    <w:rsid w:val="00726840"/>
    <w:rsid w:val="00731724"/>
    <w:rsid w:val="0073474B"/>
    <w:rsid w:val="00735511"/>
    <w:rsid w:val="00737208"/>
    <w:rsid w:val="00744DE6"/>
    <w:rsid w:val="00762452"/>
    <w:rsid w:val="007639E0"/>
    <w:rsid w:val="00767634"/>
    <w:rsid w:val="00775507"/>
    <w:rsid w:val="00783473"/>
    <w:rsid w:val="0078594B"/>
    <w:rsid w:val="007924A8"/>
    <w:rsid w:val="00795E02"/>
    <w:rsid w:val="007979D0"/>
    <w:rsid w:val="007A142E"/>
    <w:rsid w:val="007A4E18"/>
    <w:rsid w:val="007A7B8C"/>
    <w:rsid w:val="007C6D9E"/>
    <w:rsid w:val="007D1C43"/>
    <w:rsid w:val="007D4ACE"/>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6669E"/>
    <w:rsid w:val="00871916"/>
    <w:rsid w:val="00873A79"/>
    <w:rsid w:val="008956DD"/>
    <w:rsid w:val="008A510E"/>
    <w:rsid w:val="008A522A"/>
    <w:rsid w:val="008A7DEB"/>
    <w:rsid w:val="008B4464"/>
    <w:rsid w:val="008B750B"/>
    <w:rsid w:val="008C3162"/>
    <w:rsid w:val="008C54CB"/>
    <w:rsid w:val="008D1F14"/>
    <w:rsid w:val="008E3924"/>
    <w:rsid w:val="008F13F7"/>
    <w:rsid w:val="008F5B4D"/>
    <w:rsid w:val="0090710E"/>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188E"/>
    <w:rsid w:val="009D266A"/>
    <w:rsid w:val="009E1199"/>
    <w:rsid w:val="009E6C76"/>
    <w:rsid w:val="009E7EB4"/>
    <w:rsid w:val="009F7E07"/>
    <w:rsid w:val="00A01522"/>
    <w:rsid w:val="00A10A11"/>
    <w:rsid w:val="00A13C6A"/>
    <w:rsid w:val="00A17B09"/>
    <w:rsid w:val="00A26279"/>
    <w:rsid w:val="00A33ECB"/>
    <w:rsid w:val="00A457C6"/>
    <w:rsid w:val="00A46AD0"/>
    <w:rsid w:val="00A47063"/>
    <w:rsid w:val="00A473A8"/>
    <w:rsid w:val="00A513F0"/>
    <w:rsid w:val="00A54867"/>
    <w:rsid w:val="00A61AC8"/>
    <w:rsid w:val="00A6366F"/>
    <w:rsid w:val="00A65D4C"/>
    <w:rsid w:val="00A70512"/>
    <w:rsid w:val="00AA1F60"/>
    <w:rsid w:val="00AA40D7"/>
    <w:rsid w:val="00AB5F7D"/>
    <w:rsid w:val="00AC0C50"/>
    <w:rsid w:val="00AC6FE2"/>
    <w:rsid w:val="00AE326B"/>
    <w:rsid w:val="00AF2F9F"/>
    <w:rsid w:val="00AF3925"/>
    <w:rsid w:val="00B03907"/>
    <w:rsid w:val="00B12861"/>
    <w:rsid w:val="00B1296B"/>
    <w:rsid w:val="00B2292F"/>
    <w:rsid w:val="00B43169"/>
    <w:rsid w:val="00B501A8"/>
    <w:rsid w:val="00B52B6C"/>
    <w:rsid w:val="00B55AE4"/>
    <w:rsid w:val="00B645BA"/>
    <w:rsid w:val="00B70B46"/>
    <w:rsid w:val="00B739B0"/>
    <w:rsid w:val="00B814A3"/>
    <w:rsid w:val="00B96F38"/>
    <w:rsid w:val="00BC716B"/>
    <w:rsid w:val="00BD0E74"/>
    <w:rsid w:val="00BD5F8C"/>
    <w:rsid w:val="00BD6F97"/>
    <w:rsid w:val="00BD7C60"/>
    <w:rsid w:val="00BD7E3C"/>
    <w:rsid w:val="00BE29DD"/>
    <w:rsid w:val="00C066AF"/>
    <w:rsid w:val="00C10E06"/>
    <w:rsid w:val="00C145B8"/>
    <w:rsid w:val="00C15290"/>
    <w:rsid w:val="00C2438F"/>
    <w:rsid w:val="00C31AF0"/>
    <w:rsid w:val="00C32A7E"/>
    <w:rsid w:val="00C34F28"/>
    <w:rsid w:val="00C368DF"/>
    <w:rsid w:val="00C442C5"/>
    <w:rsid w:val="00C44DD2"/>
    <w:rsid w:val="00C57B5C"/>
    <w:rsid w:val="00C57C7C"/>
    <w:rsid w:val="00C61049"/>
    <w:rsid w:val="00C63FFE"/>
    <w:rsid w:val="00C65F3F"/>
    <w:rsid w:val="00C91EB6"/>
    <w:rsid w:val="00CA10B0"/>
    <w:rsid w:val="00CA2F8E"/>
    <w:rsid w:val="00CA3EE2"/>
    <w:rsid w:val="00CA7FD5"/>
    <w:rsid w:val="00CB3287"/>
    <w:rsid w:val="00CB33E2"/>
    <w:rsid w:val="00CB4E68"/>
    <w:rsid w:val="00CC2733"/>
    <w:rsid w:val="00CC4EB4"/>
    <w:rsid w:val="00CD0050"/>
    <w:rsid w:val="00CE54E2"/>
    <w:rsid w:val="00CE7481"/>
    <w:rsid w:val="00CF0A8F"/>
    <w:rsid w:val="00D034D8"/>
    <w:rsid w:val="00D048CE"/>
    <w:rsid w:val="00D10998"/>
    <w:rsid w:val="00D15CBD"/>
    <w:rsid w:val="00D221CB"/>
    <w:rsid w:val="00D23391"/>
    <w:rsid w:val="00D31805"/>
    <w:rsid w:val="00D552B9"/>
    <w:rsid w:val="00D735B2"/>
    <w:rsid w:val="00D74021"/>
    <w:rsid w:val="00D76D01"/>
    <w:rsid w:val="00D85775"/>
    <w:rsid w:val="00D87160"/>
    <w:rsid w:val="00D922A9"/>
    <w:rsid w:val="00D9394A"/>
    <w:rsid w:val="00DB0CBB"/>
    <w:rsid w:val="00DB67CC"/>
    <w:rsid w:val="00DC3783"/>
    <w:rsid w:val="00DC3C27"/>
    <w:rsid w:val="00DD42BF"/>
    <w:rsid w:val="00DE1070"/>
    <w:rsid w:val="00E00219"/>
    <w:rsid w:val="00E0316B"/>
    <w:rsid w:val="00E25E10"/>
    <w:rsid w:val="00E50B41"/>
    <w:rsid w:val="00E5219B"/>
    <w:rsid w:val="00E52D07"/>
    <w:rsid w:val="00E5518B"/>
    <w:rsid w:val="00E609FE"/>
    <w:rsid w:val="00E6187B"/>
    <w:rsid w:val="00E630BE"/>
    <w:rsid w:val="00E73B95"/>
    <w:rsid w:val="00E75920"/>
    <w:rsid w:val="00E80D96"/>
    <w:rsid w:val="00E84580"/>
    <w:rsid w:val="00E871FA"/>
    <w:rsid w:val="00E936A4"/>
    <w:rsid w:val="00E9371A"/>
    <w:rsid w:val="00E954BB"/>
    <w:rsid w:val="00EA45E7"/>
    <w:rsid w:val="00EB78E3"/>
    <w:rsid w:val="00EB7BE3"/>
    <w:rsid w:val="00EC1C4B"/>
    <w:rsid w:val="00EC735A"/>
    <w:rsid w:val="00ED5F38"/>
    <w:rsid w:val="00ED678F"/>
    <w:rsid w:val="00EF27FE"/>
    <w:rsid w:val="00F010CE"/>
    <w:rsid w:val="00F07FB6"/>
    <w:rsid w:val="00F124B1"/>
    <w:rsid w:val="00F149D0"/>
    <w:rsid w:val="00F16B53"/>
    <w:rsid w:val="00F257EF"/>
    <w:rsid w:val="00F25ECD"/>
    <w:rsid w:val="00F318BE"/>
    <w:rsid w:val="00F33297"/>
    <w:rsid w:val="00F343FB"/>
    <w:rsid w:val="00F359FE"/>
    <w:rsid w:val="00F42159"/>
    <w:rsid w:val="00F4256E"/>
    <w:rsid w:val="00F42EE1"/>
    <w:rsid w:val="00F60F1F"/>
    <w:rsid w:val="00F640C2"/>
    <w:rsid w:val="00F64141"/>
    <w:rsid w:val="00F67508"/>
    <w:rsid w:val="00F7022D"/>
    <w:rsid w:val="00F71FC9"/>
    <w:rsid w:val="00F73B48"/>
    <w:rsid w:val="00F74F51"/>
    <w:rsid w:val="00F842AD"/>
    <w:rsid w:val="00F914EB"/>
    <w:rsid w:val="00F91B85"/>
    <w:rsid w:val="00F938E7"/>
    <w:rsid w:val="00FA3B17"/>
    <w:rsid w:val="00FA5E8D"/>
    <w:rsid w:val="00FA5F3D"/>
    <w:rsid w:val="00FB399E"/>
    <w:rsid w:val="00FB5C02"/>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1005/7/62/&#1604;&#1740;&#1604;&#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0C1D9-3945-421C-BE67-2F5550B83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1286</TotalTime>
  <Pages>6</Pages>
  <Words>2162</Words>
  <Characters>12325</Characters>
  <Application>Microsoft Office Word</Application>
  <DocSecurity>0</DocSecurity>
  <Lines>102</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14459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82</cp:revision>
  <cp:lastPrinted>2023-10-09T06:30:00Z</cp:lastPrinted>
  <dcterms:created xsi:type="dcterms:W3CDTF">2023-10-08T09:05:00Z</dcterms:created>
  <dcterms:modified xsi:type="dcterms:W3CDTF">2023-10-29T15:17:00Z</dcterms:modified>
  <cp:contentStatus>ویرایش 2.5</cp:contentStatus>
  <cp:version>2.7</cp:version>
</cp:coreProperties>
</file>