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0B" w:rsidRPr="008A522A" w:rsidRDefault="00783473" w:rsidP="0062441B">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9">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3B1460" w:rsidRPr="00236620" w:rsidRDefault="003B1460" w:rsidP="003B1460">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C91EB6" w:rsidRPr="003B1460" w:rsidRDefault="003B1460" w:rsidP="003B1460">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14011010</w:t>
      </w:r>
    </w:p>
    <w:p w:rsidR="00F343FB" w:rsidRPr="00A6366F" w:rsidRDefault="00F842AD" w:rsidP="0062441B">
      <w:pPr>
        <w:jc w:val="both"/>
      </w:pPr>
      <w:bookmarkStart w:id="0" w:name="_GoBack"/>
      <w:r w:rsidRPr="00B82FD3">
        <w:rPr>
          <w:rStyle w:val="Emphasis"/>
          <w:rFonts w:hint="cs"/>
          <w:b/>
          <w:bCs w:val="0"/>
          <w:color w:val="FF0000"/>
          <w:rtl/>
        </w:rPr>
        <w:t>موضوع</w:t>
      </w:r>
      <w:r w:rsidRPr="00B82FD3">
        <w:rPr>
          <w:rStyle w:val="Emphasis"/>
          <w:rFonts w:hint="cs"/>
          <w:color w:val="FF0000"/>
          <w:rtl/>
        </w:rPr>
        <w:t>:</w:t>
      </w:r>
      <w:r w:rsidR="00A6366F" w:rsidRPr="00B82FD3">
        <w:rPr>
          <w:rFonts w:hint="cs"/>
          <w:color w:val="FF0000"/>
          <w:rtl/>
        </w:rPr>
        <w:t xml:space="preserve"> </w:t>
      </w:r>
      <w:bookmarkStart w:id="1" w:name="BokSabj2_d"/>
      <w:bookmarkEnd w:id="1"/>
      <w:bookmarkEnd w:id="0"/>
      <w:r w:rsidR="00F500EA">
        <w:rPr>
          <w:rtl/>
        </w:rPr>
        <w:t>حق</w:t>
      </w:r>
      <w:r w:rsidR="00F500EA">
        <w:rPr>
          <w:rFonts w:hint="cs"/>
          <w:rtl/>
        </w:rPr>
        <w:t>ی</w:t>
      </w:r>
      <w:r w:rsidR="00F500EA">
        <w:rPr>
          <w:rFonts w:hint="eastAsia"/>
          <w:rtl/>
        </w:rPr>
        <w:t>قت</w:t>
      </w:r>
      <w:r w:rsidR="00F500EA">
        <w:rPr>
          <w:rtl/>
        </w:rPr>
        <w:t xml:space="preserve"> صدقه</w:t>
      </w:r>
      <w:r w:rsidR="00025B70">
        <w:rPr>
          <w:rFonts w:hint="cs"/>
          <w:rtl/>
        </w:rPr>
        <w:t xml:space="preserve"> </w:t>
      </w:r>
      <w:r w:rsidR="00386C11" w:rsidRPr="00A6366F">
        <w:rPr>
          <w:rFonts w:hint="cs"/>
          <w:rtl/>
        </w:rPr>
        <w:t>/</w:t>
      </w:r>
      <w:bookmarkStart w:id="2" w:name="BokSabj_d"/>
      <w:bookmarkEnd w:id="2"/>
      <w:r w:rsidR="00F500EA">
        <w:rPr>
          <w:rtl/>
        </w:rPr>
        <w:t>زکات منذور الصدقه</w:t>
      </w:r>
      <w:r w:rsidR="00386C11" w:rsidRPr="00A6366F">
        <w:rPr>
          <w:rFonts w:hint="cs"/>
          <w:rtl/>
        </w:rPr>
        <w:t xml:space="preserve"> /</w:t>
      </w:r>
      <w:bookmarkStart w:id="3" w:name="Bokkolli"/>
      <w:bookmarkEnd w:id="3"/>
      <w:r w:rsidR="00F500EA">
        <w:rPr>
          <w:rtl/>
        </w:rPr>
        <w:t>زکات</w:t>
      </w:r>
      <w:r w:rsidR="001B6799" w:rsidRPr="00A6366F">
        <w:rPr>
          <w:rFonts w:hint="cs"/>
          <w:rtl/>
        </w:rPr>
        <w:t xml:space="preserve"> </w:t>
      </w:r>
    </w:p>
    <w:p w:rsidR="008F5B4D" w:rsidRPr="009C66D5" w:rsidRDefault="008F5B4D" w:rsidP="0062441B">
      <w:pPr>
        <w:jc w:val="both"/>
        <w:rPr>
          <w:rStyle w:val="Emphasis"/>
          <w:b/>
          <w:bCs w:val="0"/>
          <w:rtl/>
        </w:rPr>
      </w:pPr>
      <w:r w:rsidRPr="009C66D5">
        <w:rPr>
          <w:rStyle w:val="Emphasis"/>
          <w:rFonts w:hint="cs"/>
          <w:b/>
          <w:bCs w:val="0"/>
          <w:rtl/>
        </w:rPr>
        <w:t>خلاصه مباحث گذشته:</w:t>
      </w:r>
    </w:p>
    <w:p w:rsidR="003A6148" w:rsidRDefault="008F5B4D" w:rsidP="0062441B">
      <w:pPr>
        <w:pBdr>
          <w:bottom w:val="double" w:sz="6" w:space="1" w:color="auto"/>
        </w:pBdr>
        <w:jc w:val="both"/>
        <w:rPr>
          <w:rtl/>
        </w:rPr>
      </w:pPr>
      <w:r>
        <w:rPr>
          <w:rFonts w:hint="cs"/>
          <w:rtl/>
        </w:rPr>
        <w:t>متن خلاصه ...</w:t>
      </w:r>
    </w:p>
    <w:p w:rsidR="00247D2F" w:rsidRPr="003A6148" w:rsidRDefault="00247D2F" w:rsidP="0062441B">
      <w:pPr>
        <w:pBdr>
          <w:bottom w:val="double" w:sz="6" w:space="1" w:color="auto"/>
        </w:pBdr>
        <w:jc w:val="both"/>
      </w:pPr>
    </w:p>
    <w:p w:rsidR="0062441B" w:rsidRDefault="0062441B" w:rsidP="0062441B">
      <w:pPr>
        <w:jc w:val="both"/>
        <w:rPr>
          <w:rtl/>
        </w:rPr>
      </w:pPr>
    </w:p>
    <w:p w:rsidR="0062441B" w:rsidRDefault="0062441B" w:rsidP="0062441B">
      <w:pPr>
        <w:pStyle w:val="Heading1"/>
        <w:rPr>
          <w:rtl/>
        </w:rPr>
      </w:pPr>
      <w:bookmarkStart w:id="4" w:name="_Toc123534336"/>
      <w:r>
        <w:rPr>
          <w:rFonts w:hint="cs"/>
          <w:rtl/>
        </w:rPr>
        <w:t>بررسی اجماع بر اعتبار قبول و قبض در صدقه</w:t>
      </w:r>
      <w:bookmarkEnd w:id="4"/>
      <w:r>
        <w:rPr>
          <w:rFonts w:hint="cs"/>
          <w:rtl/>
        </w:rPr>
        <w:t xml:space="preserve"> </w:t>
      </w:r>
    </w:p>
    <w:p w:rsidR="002F56F1" w:rsidRDefault="002F56F1" w:rsidP="0062441B">
      <w:pPr>
        <w:jc w:val="both"/>
        <w:rPr>
          <w:rtl/>
        </w:rPr>
      </w:pPr>
      <w:r>
        <w:rPr>
          <w:rFonts w:hint="cs"/>
          <w:rtl/>
        </w:rPr>
        <w:t>بحث در این بود که آیا منذور الصدقه بودن مانع تعلّق زکات می شود؟ مرحوم آقای خویی فرمود: صدقه یکی از اقسام هبه است و احکام هبه از جمله قبول و قبض را</w:t>
      </w:r>
      <w:r w:rsidR="0062441B">
        <w:rPr>
          <w:rFonts w:hint="cs"/>
          <w:rtl/>
        </w:rPr>
        <w:t xml:space="preserve"> دارد. بیان شد: نه تنها دلیلی نداریم که </w:t>
      </w:r>
      <w:r>
        <w:rPr>
          <w:rFonts w:hint="cs"/>
          <w:rtl/>
        </w:rPr>
        <w:t xml:space="preserve">صدقه، هبه به معنای خاص </w:t>
      </w:r>
      <w:r w:rsidR="0062441B">
        <w:rPr>
          <w:rFonts w:hint="cs"/>
          <w:rtl/>
        </w:rPr>
        <w:t>باشد، بلکه</w:t>
      </w:r>
      <w:r>
        <w:rPr>
          <w:rFonts w:hint="cs"/>
          <w:rtl/>
        </w:rPr>
        <w:t xml:space="preserve"> دلیل بر خلاف داریم. صدقه، هبه به معنای عام است و هبه به معنای عام غیر از هبه به معنای خاص است و در هبه به معنای خاص، قبول و قبض معتبر است. البته باید اشتراط قبول و قبض در صدقه مورد بحث قرار گیرد. در جمع بندی روایات به این نتیجه رسیدیم:</w:t>
      </w:r>
    </w:p>
    <w:p w:rsidR="002F56F1" w:rsidRDefault="002F56F1" w:rsidP="0062441B">
      <w:pPr>
        <w:pStyle w:val="ListParagraph"/>
        <w:numPr>
          <w:ilvl w:val="0"/>
          <w:numId w:val="17"/>
        </w:numPr>
        <w:jc w:val="both"/>
        <w:rPr>
          <w:rtl/>
        </w:rPr>
      </w:pPr>
      <w:r>
        <w:rPr>
          <w:rFonts w:hint="cs"/>
          <w:rtl/>
        </w:rPr>
        <w:t xml:space="preserve">صدقه ایقاع است. البته در صدقه به متصدّق علیه خاص، رضایت معتبر است ولی اعتبار رضایت غیر از اعتبار قبول است. </w:t>
      </w:r>
    </w:p>
    <w:p w:rsidR="002F56F1" w:rsidRDefault="002F56F1" w:rsidP="0062441B">
      <w:pPr>
        <w:pStyle w:val="ListParagraph"/>
        <w:numPr>
          <w:ilvl w:val="0"/>
          <w:numId w:val="17"/>
        </w:numPr>
        <w:jc w:val="both"/>
      </w:pPr>
      <w:r>
        <w:rPr>
          <w:rFonts w:hint="cs"/>
          <w:rtl/>
        </w:rPr>
        <w:t xml:space="preserve">در صدقه مطلقا قبض معتبر نیست. </w:t>
      </w:r>
    </w:p>
    <w:p w:rsidR="002F56F1" w:rsidRDefault="002F56F1" w:rsidP="0062441B">
      <w:pPr>
        <w:jc w:val="both"/>
        <w:rPr>
          <w:rtl/>
        </w:rPr>
      </w:pPr>
      <w:r>
        <w:rPr>
          <w:rFonts w:hint="cs"/>
          <w:rtl/>
        </w:rPr>
        <w:t xml:space="preserve">برخی از دوستان اشکالی را مطرح کردند که آیا کسی قائل به ایقاع بودن صدقه و عدم اعتبار قبض در صدقه شده است؟ آیا اجماع بر خلاف این مطلب نیست؟ به همین دلیل مناسب </w:t>
      </w:r>
      <w:r w:rsidR="0062441B">
        <w:rPr>
          <w:rFonts w:hint="cs"/>
          <w:rtl/>
        </w:rPr>
        <w:t xml:space="preserve">است </w:t>
      </w:r>
      <w:r>
        <w:rPr>
          <w:rFonts w:hint="cs"/>
          <w:rtl/>
        </w:rPr>
        <w:t xml:space="preserve">درباره اجماع صغرویا و کبرویا بحث کنیم. </w:t>
      </w:r>
    </w:p>
    <w:p w:rsidR="0062441B" w:rsidRDefault="0062441B" w:rsidP="0062441B">
      <w:pPr>
        <w:pStyle w:val="Heading2"/>
        <w:rPr>
          <w:rtl/>
        </w:rPr>
      </w:pPr>
      <w:bookmarkStart w:id="5" w:name="_Toc123534337"/>
      <w:r>
        <w:rPr>
          <w:rFonts w:hint="cs"/>
          <w:rtl/>
        </w:rPr>
        <w:t>کلمات فقها</w:t>
      </w:r>
      <w:bookmarkEnd w:id="5"/>
      <w:r>
        <w:rPr>
          <w:rFonts w:hint="cs"/>
          <w:rtl/>
        </w:rPr>
        <w:t xml:space="preserve">  </w:t>
      </w:r>
    </w:p>
    <w:p w:rsidR="0062441B" w:rsidRPr="0062441B" w:rsidRDefault="0062441B" w:rsidP="0062441B">
      <w:pPr>
        <w:pStyle w:val="Heading3"/>
        <w:rPr>
          <w:rtl/>
        </w:rPr>
      </w:pPr>
      <w:bookmarkStart w:id="6" w:name="_Toc123534338"/>
      <w:r>
        <w:rPr>
          <w:rFonts w:hint="cs"/>
          <w:rtl/>
        </w:rPr>
        <w:t>دیدگاه اول: اعتبار قبول و قبض در صدقه</w:t>
      </w:r>
      <w:bookmarkEnd w:id="6"/>
      <w:r>
        <w:rPr>
          <w:rFonts w:hint="cs"/>
          <w:rtl/>
        </w:rPr>
        <w:t xml:space="preserve"> </w:t>
      </w:r>
    </w:p>
    <w:p w:rsidR="001A1EA5" w:rsidRDefault="002F56F1" w:rsidP="0062441B">
      <w:pPr>
        <w:jc w:val="both"/>
        <w:rPr>
          <w:rtl/>
        </w:rPr>
      </w:pPr>
      <w:r>
        <w:rPr>
          <w:rFonts w:hint="cs"/>
          <w:rtl/>
        </w:rPr>
        <w:t xml:space="preserve">از نظر صغروی، بسیاری از علما هر چند صدقه را قسمی از هبه نمی دانند اما مانند مرحوم آقای خویی قائل به اشتراط قبول و قبض در آن هستند. مراد از شرط بودن قبض، اعم از شرط لزوم یا شرط صحت بودن است. </w:t>
      </w:r>
    </w:p>
    <w:p w:rsidR="002F56F1" w:rsidRDefault="002F56F1" w:rsidP="0062441B">
      <w:pPr>
        <w:jc w:val="both"/>
        <w:rPr>
          <w:rtl/>
        </w:rPr>
      </w:pPr>
      <w:r>
        <w:rPr>
          <w:rFonts w:hint="cs"/>
          <w:rtl/>
        </w:rPr>
        <w:lastRenderedPageBreak/>
        <w:t xml:space="preserve">در مبسوط وارد شده است: </w:t>
      </w:r>
    </w:p>
    <w:p w:rsidR="002F56F1" w:rsidRDefault="00990406" w:rsidP="0062441B">
      <w:pPr>
        <w:jc w:val="both"/>
        <w:rPr>
          <w:color w:val="000080"/>
          <w:rtl/>
        </w:rPr>
      </w:pPr>
      <w:r w:rsidRPr="00990406">
        <w:rPr>
          <w:color w:val="000080"/>
          <w:rtl/>
        </w:rPr>
        <w:t>صدقة التطوع عندنا بمنزلة الهبة في جميع الأحكام‌، من شرطها الإيجاب و القبول و لا يلزم إلا بالقبض، و كل من له الرجوع في الهبة له الرجوع في الصدقة عليه.</w:t>
      </w:r>
      <w:r>
        <w:rPr>
          <w:rStyle w:val="FootnoteReference"/>
          <w:color w:val="000080"/>
          <w:rtl/>
        </w:rPr>
        <w:footnoteReference w:id="1"/>
      </w:r>
    </w:p>
    <w:p w:rsidR="000D6E5A" w:rsidRDefault="008F7080" w:rsidP="0062441B">
      <w:pPr>
        <w:jc w:val="both"/>
        <w:rPr>
          <w:rtl/>
        </w:rPr>
      </w:pPr>
      <w:r>
        <w:rPr>
          <w:rFonts w:hint="cs"/>
          <w:rtl/>
        </w:rPr>
        <w:t xml:space="preserve">به تناسب نحوه خواندن «لا یلزم الا بالقبض» اشاره به یک قاعده مناسب است. </w:t>
      </w:r>
      <w:r w:rsidR="00F45C6A">
        <w:rPr>
          <w:rFonts w:hint="cs"/>
          <w:rtl/>
        </w:rPr>
        <w:t>یکی</w:t>
      </w:r>
      <w:r w:rsidR="0062441B">
        <w:rPr>
          <w:rFonts w:hint="cs"/>
          <w:rtl/>
        </w:rPr>
        <w:t xml:space="preserve"> از</w:t>
      </w:r>
      <w:r w:rsidR="00F45C6A">
        <w:rPr>
          <w:rFonts w:hint="cs"/>
          <w:rtl/>
        </w:rPr>
        <w:t xml:space="preserve"> بهترین راه ها برای تشخیص معلوم یا مجهول خواندن فعل یا ثلاثی مجرّد یا ثلاثی مزید خواندن این است که </w:t>
      </w:r>
      <w:r w:rsidR="0062441B">
        <w:rPr>
          <w:rFonts w:hint="cs"/>
          <w:rtl/>
        </w:rPr>
        <w:t xml:space="preserve">به </w:t>
      </w:r>
      <w:r w:rsidR="00F45C6A">
        <w:rPr>
          <w:rFonts w:hint="cs"/>
          <w:rtl/>
        </w:rPr>
        <w:t>وصفی که درباره مسند الیه به کار می بریم،</w:t>
      </w:r>
      <w:r w:rsidR="0062441B">
        <w:rPr>
          <w:rFonts w:hint="cs"/>
          <w:rtl/>
        </w:rPr>
        <w:t xml:space="preserve"> دقت شود. </w:t>
      </w:r>
      <w:r w:rsidR="00F45C6A">
        <w:rPr>
          <w:rFonts w:hint="cs"/>
          <w:rtl/>
        </w:rPr>
        <w:t xml:space="preserve">اگر اسم فاعل به کار ببریم، فعل معلوم است و اگر اسم مفعول به کار ببریم، فعل مجهول است. اگر وصف مشتق از ثلاثی مجرّد به کار ببریم، فعل ثلاثی مجرّد است و اگر وصف مشتق از ثلاثی مزید به کار ببریم، فعل ثلاثی مزید است. مانند «تشکل هذه المسأله» که وصف «مُشکِل» درباره آن به کار می رود. پس «تُشکِل» فعل ثلاثی مزید از باب افعال و معلوم است. </w:t>
      </w:r>
      <w:r>
        <w:rPr>
          <w:rFonts w:hint="cs"/>
          <w:rtl/>
        </w:rPr>
        <w:t>«یُشکَل علیه» در اصطلاحات قدیمی وجود ندارد و ناشی از خلط آن با «یُستَشکل علیه» است. یا مانند «یُکرَه الامر» که وصف آن «مکروه» است که باید فعل آن «یُکرَه» به ع</w:t>
      </w:r>
      <w:r w:rsidR="005F070E">
        <w:rPr>
          <w:rFonts w:hint="cs"/>
          <w:rtl/>
        </w:rPr>
        <w:t>نوان فعل مجهول</w:t>
      </w:r>
      <w:r>
        <w:rPr>
          <w:rFonts w:hint="cs"/>
          <w:rtl/>
        </w:rPr>
        <w:t xml:space="preserve"> ثلاثی مجرّد خوانده شود. این قانون در بسیاری از موارد قابل تطبیق است. «لا یَلزَم الا بالقبض» باید به صورت فعل معلوم ثلاثی مجرّد خوانده شود زیرا وصف آن «لازم» است نه «ملزوم». </w:t>
      </w:r>
    </w:p>
    <w:p w:rsidR="008F7080" w:rsidRDefault="000D6E5A" w:rsidP="0062441B">
      <w:pPr>
        <w:jc w:val="both"/>
        <w:rPr>
          <w:rtl/>
        </w:rPr>
      </w:pPr>
      <w:r>
        <w:rPr>
          <w:rFonts w:hint="cs"/>
          <w:rtl/>
        </w:rPr>
        <w:t xml:space="preserve">در مهذب ابن براج، ج۲، صفحۀ ۹۷ و فقه القرآن راوندی، جلد ۲، </w:t>
      </w:r>
      <w:r w:rsidR="005F070E">
        <w:rPr>
          <w:rFonts w:hint="cs"/>
          <w:rtl/>
        </w:rPr>
        <w:t>صفحۀ ۲۹۵ هم عین</w:t>
      </w:r>
      <w:r>
        <w:rPr>
          <w:rFonts w:hint="cs"/>
          <w:rtl/>
        </w:rPr>
        <w:t xml:space="preserve"> عبارت</w:t>
      </w:r>
      <w:r w:rsidR="005F070E">
        <w:rPr>
          <w:rFonts w:hint="cs"/>
          <w:rtl/>
        </w:rPr>
        <w:t xml:space="preserve"> مبسوط</w:t>
      </w:r>
      <w:r>
        <w:rPr>
          <w:rFonts w:hint="cs"/>
          <w:rtl/>
        </w:rPr>
        <w:t xml:space="preserve"> آمده است. در سرائر، جلد ۳، صفحۀ ۱۷۶ </w:t>
      </w:r>
      <w:r w:rsidR="005F070E">
        <w:rPr>
          <w:rFonts w:hint="cs"/>
          <w:rtl/>
        </w:rPr>
        <w:t xml:space="preserve">نیز این عبارت </w:t>
      </w:r>
      <w:r>
        <w:rPr>
          <w:rFonts w:hint="cs"/>
          <w:rtl/>
        </w:rPr>
        <w:t xml:space="preserve">وارد </w:t>
      </w:r>
      <w:r w:rsidR="005F070E">
        <w:rPr>
          <w:rFonts w:hint="cs"/>
          <w:rtl/>
        </w:rPr>
        <w:t>شده</w:t>
      </w:r>
      <w:r>
        <w:rPr>
          <w:rFonts w:hint="cs"/>
          <w:rtl/>
        </w:rPr>
        <w:t xml:space="preserve"> اما ایشان در</w:t>
      </w:r>
      <w:r w:rsidR="002E7DCB">
        <w:rPr>
          <w:rFonts w:hint="cs"/>
          <w:rtl/>
        </w:rPr>
        <w:t xml:space="preserve"> جواز رجوع در صدقه، </w:t>
      </w:r>
      <w:r>
        <w:rPr>
          <w:rFonts w:hint="cs"/>
          <w:rtl/>
        </w:rPr>
        <w:t>منا</w:t>
      </w:r>
      <w:r w:rsidR="00A4473D">
        <w:rPr>
          <w:rFonts w:hint="cs"/>
          <w:rtl/>
        </w:rPr>
        <w:t xml:space="preserve">قشه کرده است. </w:t>
      </w:r>
    </w:p>
    <w:p w:rsidR="00A4473D" w:rsidRDefault="00A4473D" w:rsidP="0062441B">
      <w:pPr>
        <w:jc w:val="both"/>
        <w:rPr>
          <w:rtl/>
        </w:rPr>
      </w:pPr>
      <w:r>
        <w:rPr>
          <w:rFonts w:hint="cs"/>
          <w:rtl/>
        </w:rPr>
        <w:t xml:space="preserve">ابن برّاج در بحث وقف می نویسد: </w:t>
      </w:r>
    </w:p>
    <w:p w:rsidR="00A4473D" w:rsidRDefault="00A4473D" w:rsidP="0062441B">
      <w:pPr>
        <w:jc w:val="both"/>
        <w:rPr>
          <w:color w:val="000080"/>
          <w:rtl/>
        </w:rPr>
      </w:pPr>
      <w:r w:rsidRPr="00A4473D">
        <w:rPr>
          <w:color w:val="000080"/>
          <w:rtl/>
        </w:rPr>
        <w:t>«الوقف في الأصل، صدقة» و يثبت صحته بأمرين: أحدهما: صحة التصرف فيما يقفه الإنسان، إما بملك، أو اذن، و الأخر: ان يقبضه، و يخرجه عن يده الى من هو وقف عليه، أو لمن يتولى عنه ذلك، أو يقوم مقامه في قبضه، ف</w:t>
      </w:r>
      <w:r>
        <w:rPr>
          <w:color w:val="000080"/>
          <w:rtl/>
        </w:rPr>
        <w:t>اذا وقف على خلاف ذلك، كان باطلا</w:t>
      </w:r>
      <w:r>
        <w:rPr>
          <w:rStyle w:val="FootnoteReference"/>
          <w:color w:val="000080"/>
          <w:rtl/>
        </w:rPr>
        <w:footnoteReference w:id="2"/>
      </w:r>
    </w:p>
    <w:p w:rsidR="00A4473D" w:rsidRDefault="00A4473D" w:rsidP="0062441B">
      <w:pPr>
        <w:jc w:val="both"/>
        <w:rPr>
          <w:rtl/>
        </w:rPr>
      </w:pPr>
      <w:r>
        <w:rPr>
          <w:rFonts w:hint="cs"/>
          <w:rtl/>
        </w:rPr>
        <w:t xml:space="preserve">ممکن است از «الوقف فی الاصل صدقه» استفاده شود که احکامی که برای وقف بیان کرده، برای صدقه نیز معتبر است. </w:t>
      </w:r>
    </w:p>
    <w:p w:rsidR="00A4473D" w:rsidRDefault="00A4473D" w:rsidP="0062441B">
      <w:pPr>
        <w:jc w:val="both"/>
        <w:rPr>
          <w:rtl/>
        </w:rPr>
      </w:pPr>
      <w:r>
        <w:rPr>
          <w:rFonts w:hint="cs"/>
          <w:rtl/>
        </w:rPr>
        <w:t>در سرائر، جلد ۳، صفحۀ ۱۷۲ دارد:</w:t>
      </w:r>
    </w:p>
    <w:p w:rsidR="00A4473D" w:rsidRDefault="00A4473D" w:rsidP="0062441B">
      <w:pPr>
        <w:jc w:val="both"/>
        <w:rPr>
          <w:color w:val="000080"/>
          <w:rtl/>
        </w:rPr>
      </w:pPr>
      <w:r w:rsidRPr="00A4473D">
        <w:rPr>
          <w:color w:val="000080"/>
          <w:rtl/>
        </w:rPr>
        <w:lastRenderedPageBreak/>
        <w:t>إذا تقرّر هذا فالهبة و الصّدقة و الهدية بمعنى واحد، غير انّه إذا قصد الثواب و التقرب بالهبة الى اللّ</w:t>
      </w:r>
      <w:r w:rsidRPr="00A4473D">
        <w:rPr>
          <w:rFonts w:hint="cs"/>
          <w:color w:val="000080"/>
          <w:rtl/>
        </w:rPr>
        <w:t>ه</w:t>
      </w:r>
      <w:r w:rsidRPr="00A4473D">
        <w:rPr>
          <w:color w:val="000080"/>
          <w:rtl/>
        </w:rPr>
        <w:t xml:space="preserve"> </w:t>
      </w:r>
      <w:r w:rsidRPr="00A4473D">
        <w:rPr>
          <w:rFonts w:hint="cs"/>
          <w:color w:val="000080"/>
          <w:rtl/>
        </w:rPr>
        <w:t>تعالى،</w:t>
      </w:r>
      <w:r w:rsidRPr="00A4473D">
        <w:rPr>
          <w:color w:val="000080"/>
          <w:rtl/>
        </w:rPr>
        <w:t xml:space="preserve"> </w:t>
      </w:r>
      <w:r w:rsidRPr="00A4473D">
        <w:rPr>
          <w:rFonts w:hint="cs"/>
          <w:color w:val="000080"/>
          <w:rtl/>
        </w:rPr>
        <w:t>سميّت</w:t>
      </w:r>
      <w:r w:rsidRPr="00A4473D">
        <w:rPr>
          <w:color w:val="000080"/>
          <w:rtl/>
        </w:rPr>
        <w:t xml:space="preserve"> </w:t>
      </w:r>
      <w:r w:rsidRPr="00A4473D">
        <w:rPr>
          <w:rFonts w:hint="cs"/>
          <w:color w:val="000080"/>
          <w:rtl/>
        </w:rPr>
        <w:t>صدقة،</w:t>
      </w:r>
      <w:r w:rsidRPr="00A4473D">
        <w:rPr>
          <w:color w:val="000080"/>
          <w:rtl/>
        </w:rPr>
        <w:t xml:space="preserve"> </w:t>
      </w:r>
      <w:r w:rsidRPr="00A4473D">
        <w:rPr>
          <w:rFonts w:hint="cs"/>
          <w:color w:val="000080"/>
          <w:rtl/>
        </w:rPr>
        <w:t>فإذا</w:t>
      </w:r>
      <w:r w:rsidRPr="00A4473D">
        <w:rPr>
          <w:color w:val="000080"/>
          <w:rtl/>
        </w:rPr>
        <w:t xml:space="preserve"> </w:t>
      </w:r>
      <w:r w:rsidRPr="00A4473D">
        <w:rPr>
          <w:rFonts w:hint="cs"/>
          <w:color w:val="000080"/>
          <w:rtl/>
        </w:rPr>
        <w:t>أقبضها</w:t>
      </w:r>
      <w:r w:rsidRPr="00A4473D">
        <w:rPr>
          <w:color w:val="000080"/>
          <w:rtl/>
        </w:rPr>
        <w:t xml:space="preserve"> </w:t>
      </w:r>
      <w:r w:rsidRPr="00A4473D">
        <w:rPr>
          <w:rFonts w:hint="cs"/>
          <w:color w:val="000080"/>
          <w:rtl/>
        </w:rPr>
        <w:t>لا</w:t>
      </w:r>
      <w:r w:rsidRPr="00A4473D">
        <w:rPr>
          <w:color w:val="000080"/>
          <w:rtl/>
        </w:rPr>
        <w:t xml:space="preserve"> </w:t>
      </w:r>
      <w:r w:rsidRPr="00A4473D">
        <w:rPr>
          <w:rFonts w:hint="cs"/>
          <w:color w:val="000080"/>
          <w:rtl/>
        </w:rPr>
        <w:t>يجوز</w:t>
      </w:r>
      <w:r w:rsidRPr="00A4473D">
        <w:rPr>
          <w:color w:val="000080"/>
          <w:rtl/>
        </w:rPr>
        <w:t xml:space="preserve"> </w:t>
      </w:r>
      <w:r w:rsidRPr="00A4473D">
        <w:rPr>
          <w:rFonts w:hint="cs"/>
          <w:color w:val="000080"/>
          <w:rtl/>
        </w:rPr>
        <w:t>له</w:t>
      </w:r>
      <w:r w:rsidRPr="00A4473D">
        <w:rPr>
          <w:color w:val="000080"/>
          <w:rtl/>
        </w:rPr>
        <w:t xml:space="preserve"> </w:t>
      </w:r>
      <w:r w:rsidRPr="00A4473D">
        <w:rPr>
          <w:rFonts w:hint="cs"/>
          <w:color w:val="000080"/>
          <w:rtl/>
        </w:rPr>
        <w:t>الرجوع</w:t>
      </w:r>
      <w:r w:rsidRPr="00A4473D">
        <w:rPr>
          <w:color w:val="000080"/>
          <w:rtl/>
        </w:rPr>
        <w:t xml:space="preserve"> </w:t>
      </w:r>
      <w:r w:rsidRPr="00A4473D">
        <w:rPr>
          <w:rFonts w:hint="cs"/>
          <w:color w:val="000080"/>
          <w:rtl/>
        </w:rPr>
        <w:t>فيها</w:t>
      </w:r>
      <w:r w:rsidRPr="00A4473D">
        <w:rPr>
          <w:color w:val="000080"/>
          <w:rtl/>
        </w:rPr>
        <w:t xml:space="preserve"> </w:t>
      </w:r>
      <w:r w:rsidRPr="00A4473D">
        <w:rPr>
          <w:rFonts w:hint="cs"/>
          <w:color w:val="000080"/>
          <w:rtl/>
        </w:rPr>
        <w:t>بعد</w:t>
      </w:r>
      <w:r w:rsidRPr="00A4473D">
        <w:rPr>
          <w:color w:val="000080"/>
          <w:rtl/>
        </w:rPr>
        <w:t xml:space="preserve"> </w:t>
      </w:r>
      <w:r w:rsidRPr="00A4473D">
        <w:rPr>
          <w:rFonts w:hint="cs"/>
          <w:color w:val="000080"/>
          <w:rtl/>
        </w:rPr>
        <w:t>الإقباض</w:t>
      </w:r>
      <w:r w:rsidRPr="00A4473D">
        <w:rPr>
          <w:color w:val="000080"/>
          <w:rtl/>
        </w:rPr>
        <w:t xml:space="preserve"> </w:t>
      </w:r>
      <w:r w:rsidRPr="00A4473D">
        <w:rPr>
          <w:rFonts w:hint="cs"/>
          <w:color w:val="000080"/>
          <w:rtl/>
        </w:rPr>
        <w:t>على</w:t>
      </w:r>
      <w:r w:rsidRPr="00A4473D">
        <w:rPr>
          <w:color w:val="000080"/>
          <w:rtl/>
        </w:rPr>
        <w:t xml:space="preserve"> </w:t>
      </w:r>
      <w:r w:rsidRPr="00A4473D">
        <w:rPr>
          <w:rFonts w:hint="cs"/>
          <w:color w:val="000080"/>
          <w:rtl/>
        </w:rPr>
        <w:t>كل</w:t>
      </w:r>
      <w:r w:rsidRPr="00A4473D">
        <w:rPr>
          <w:color w:val="000080"/>
          <w:rtl/>
        </w:rPr>
        <w:t xml:space="preserve"> </w:t>
      </w:r>
      <w:r w:rsidRPr="00A4473D">
        <w:rPr>
          <w:rFonts w:hint="cs"/>
          <w:color w:val="000080"/>
          <w:rtl/>
        </w:rPr>
        <w:t>من</w:t>
      </w:r>
      <w:r w:rsidRPr="00A4473D">
        <w:rPr>
          <w:color w:val="000080"/>
          <w:rtl/>
        </w:rPr>
        <w:t xml:space="preserve"> </w:t>
      </w:r>
      <w:r w:rsidRPr="00A4473D">
        <w:rPr>
          <w:rFonts w:hint="cs"/>
          <w:color w:val="000080"/>
          <w:rtl/>
        </w:rPr>
        <w:t>تصدّق</w:t>
      </w:r>
      <w:r w:rsidRPr="00A4473D">
        <w:rPr>
          <w:color w:val="000080"/>
          <w:rtl/>
        </w:rPr>
        <w:t xml:space="preserve"> </w:t>
      </w:r>
      <w:r w:rsidRPr="00A4473D">
        <w:rPr>
          <w:rFonts w:hint="cs"/>
          <w:color w:val="000080"/>
          <w:rtl/>
        </w:rPr>
        <w:t>عليه</w:t>
      </w:r>
      <w:r w:rsidRPr="00A4473D">
        <w:rPr>
          <w:color w:val="000080"/>
          <w:rtl/>
        </w:rPr>
        <w:t xml:space="preserve"> </w:t>
      </w:r>
      <w:r w:rsidRPr="00A4473D">
        <w:rPr>
          <w:rFonts w:hint="cs"/>
          <w:color w:val="000080"/>
          <w:rtl/>
        </w:rPr>
        <w:t>بها،</w:t>
      </w:r>
      <w:r w:rsidRPr="00A4473D">
        <w:rPr>
          <w:color w:val="000080"/>
          <w:rtl/>
        </w:rPr>
        <w:t xml:space="preserve"> </w:t>
      </w:r>
      <w:r w:rsidRPr="00A4473D">
        <w:rPr>
          <w:rFonts w:hint="cs"/>
          <w:color w:val="000080"/>
          <w:rtl/>
        </w:rPr>
        <w:t>و</w:t>
      </w:r>
      <w:r w:rsidRPr="00A4473D">
        <w:rPr>
          <w:color w:val="000080"/>
          <w:rtl/>
        </w:rPr>
        <w:t xml:space="preserve"> </w:t>
      </w:r>
      <w:r w:rsidRPr="00A4473D">
        <w:rPr>
          <w:rFonts w:hint="cs"/>
          <w:color w:val="000080"/>
          <w:rtl/>
        </w:rPr>
        <w:t>إذا</w:t>
      </w:r>
      <w:r w:rsidRPr="00A4473D">
        <w:rPr>
          <w:color w:val="000080"/>
          <w:rtl/>
        </w:rPr>
        <w:t xml:space="preserve"> </w:t>
      </w:r>
      <w:r w:rsidRPr="00A4473D">
        <w:rPr>
          <w:rFonts w:hint="cs"/>
          <w:color w:val="000080"/>
          <w:rtl/>
        </w:rPr>
        <w:t>قصد</w:t>
      </w:r>
      <w:r w:rsidRPr="00A4473D">
        <w:rPr>
          <w:color w:val="000080"/>
          <w:rtl/>
        </w:rPr>
        <w:t xml:space="preserve"> </w:t>
      </w:r>
      <w:r w:rsidRPr="00A4473D">
        <w:rPr>
          <w:rFonts w:hint="cs"/>
          <w:color w:val="000080"/>
          <w:rtl/>
        </w:rPr>
        <w:t>بها</w:t>
      </w:r>
      <w:r w:rsidRPr="00A4473D">
        <w:rPr>
          <w:color w:val="000080"/>
          <w:rtl/>
        </w:rPr>
        <w:t xml:space="preserve"> </w:t>
      </w:r>
      <w:r w:rsidRPr="00A4473D">
        <w:rPr>
          <w:rFonts w:hint="cs"/>
          <w:color w:val="000080"/>
          <w:rtl/>
        </w:rPr>
        <w:t>التودد</w:t>
      </w:r>
      <w:r w:rsidRPr="00A4473D">
        <w:rPr>
          <w:color w:val="000080"/>
          <w:rtl/>
        </w:rPr>
        <w:t xml:space="preserve"> </w:t>
      </w:r>
      <w:r w:rsidRPr="00A4473D">
        <w:rPr>
          <w:rFonts w:hint="cs"/>
          <w:color w:val="000080"/>
          <w:rtl/>
        </w:rPr>
        <w:t>و</w:t>
      </w:r>
      <w:r w:rsidRPr="00A4473D">
        <w:rPr>
          <w:color w:val="000080"/>
          <w:rtl/>
        </w:rPr>
        <w:t xml:space="preserve"> </w:t>
      </w:r>
      <w:r w:rsidRPr="00A4473D">
        <w:rPr>
          <w:rFonts w:hint="cs"/>
          <w:color w:val="000080"/>
          <w:rtl/>
        </w:rPr>
        <w:t>المواصلة</w:t>
      </w:r>
      <w:r w:rsidRPr="00A4473D">
        <w:rPr>
          <w:color w:val="000080"/>
          <w:rtl/>
        </w:rPr>
        <w:t>، لا التقرب الى اللّ</w:t>
      </w:r>
      <w:r w:rsidRPr="00A4473D">
        <w:rPr>
          <w:rFonts w:ascii="Sakkal Majalla" w:hAnsi="Sakkal Majalla" w:cs="Sakkal Majalla" w:hint="cs"/>
          <w:color w:val="000080"/>
          <w:rtl/>
        </w:rPr>
        <w:t>ٰ</w:t>
      </w:r>
      <w:r w:rsidRPr="00A4473D">
        <w:rPr>
          <w:rFonts w:hint="cs"/>
          <w:color w:val="000080"/>
          <w:rtl/>
        </w:rPr>
        <w:t>ه</w:t>
      </w:r>
      <w:r w:rsidRPr="00A4473D">
        <w:rPr>
          <w:color w:val="000080"/>
          <w:rtl/>
        </w:rPr>
        <w:t xml:space="preserve"> </w:t>
      </w:r>
      <w:r w:rsidRPr="00A4473D">
        <w:rPr>
          <w:rFonts w:hint="cs"/>
          <w:color w:val="000080"/>
          <w:rtl/>
        </w:rPr>
        <w:t>تعالى</w:t>
      </w:r>
      <w:r w:rsidRPr="00A4473D">
        <w:rPr>
          <w:color w:val="000080"/>
          <w:rtl/>
        </w:rPr>
        <w:t xml:space="preserve"> </w:t>
      </w:r>
      <w:r w:rsidRPr="00A4473D">
        <w:rPr>
          <w:rFonts w:hint="cs"/>
          <w:color w:val="000080"/>
          <w:rtl/>
        </w:rPr>
        <w:t>سميت</w:t>
      </w:r>
      <w:r w:rsidRPr="00A4473D">
        <w:rPr>
          <w:color w:val="000080"/>
          <w:rtl/>
        </w:rPr>
        <w:t xml:space="preserve"> </w:t>
      </w:r>
      <w:r w:rsidRPr="00A4473D">
        <w:rPr>
          <w:rFonts w:hint="cs"/>
          <w:color w:val="000080"/>
          <w:rtl/>
        </w:rPr>
        <w:t>هدية</w:t>
      </w:r>
      <w:r w:rsidRPr="00A4473D">
        <w:rPr>
          <w:color w:val="000080"/>
          <w:rtl/>
        </w:rPr>
        <w:t xml:space="preserve"> </w:t>
      </w:r>
      <w:r w:rsidRPr="00A4473D">
        <w:rPr>
          <w:rFonts w:hint="cs"/>
          <w:color w:val="000080"/>
          <w:rtl/>
        </w:rPr>
        <w:t>و</w:t>
      </w:r>
      <w:r w:rsidRPr="00A4473D">
        <w:rPr>
          <w:color w:val="000080"/>
          <w:rtl/>
        </w:rPr>
        <w:t xml:space="preserve"> </w:t>
      </w:r>
      <w:r w:rsidRPr="00A4473D">
        <w:rPr>
          <w:rFonts w:hint="cs"/>
          <w:color w:val="000080"/>
          <w:rtl/>
        </w:rPr>
        <w:t>هبة</w:t>
      </w:r>
      <w:r w:rsidRPr="00A4473D">
        <w:rPr>
          <w:color w:val="000080"/>
          <w:rtl/>
        </w:rPr>
        <w:t>.</w:t>
      </w:r>
    </w:p>
    <w:p w:rsidR="00A4473D" w:rsidRDefault="00A4473D" w:rsidP="0062441B">
      <w:pPr>
        <w:jc w:val="both"/>
        <w:rPr>
          <w:color w:val="000080"/>
          <w:rtl/>
        </w:rPr>
      </w:pPr>
      <w:r>
        <w:rPr>
          <w:rFonts w:hint="cs"/>
          <w:rtl/>
        </w:rPr>
        <w:t xml:space="preserve">ایشان اقباض را شرط لزوم دانسته است. </w:t>
      </w:r>
      <w:r w:rsidR="002E7DCB">
        <w:rPr>
          <w:rFonts w:hint="cs"/>
          <w:rtl/>
        </w:rPr>
        <w:t xml:space="preserve">البته ابن ادریس </w:t>
      </w:r>
      <w:r>
        <w:rPr>
          <w:rFonts w:hint="cs"/>
          <w:rtl/>
        </w:rPr>
        <w:t>در جلد ۲، صفحۀ ۴۸</w:t>
      </w:r>
      <w:r w:rsidR="002E7DCB">
        <w:rPr>
          <w:rFonts w:hint="cs"/>
          <w:rtl/>
        </w:rPr>
        <w:t xml:space="preserve"> توضیحی داده است که مطابق آن، قبض شرط صحت صدقه است و قبل از قبض، صحیح نیست و بعد از قبض، صدقه لازم می شود. ایشان می نویسد: </w:t>
      </w:r>
    </w:p>
    <w:p w:rsidR="00A4473D" w:rsidRDefault="00A4473D" w:rsidP="0062441B">
      <w:pPr>
        <w:jc w:val="both"/>
        <w:rPr>
          <w:color w:val="000080"/>
          <w:rtl/>
        </w:rPr>
      </w:pPr>
      <w:r w:rsidRPr="00A4473D">
        <w:rPr>
          <w:rFonts w:hint="cs"/>
          <w:color w:val="000080"/>
          <w:rtl/>
        </w:rPr>
        <w:t>الصدقة لا يملكها المتصدق بها عليه إلا بعد قبضها، فإذا لم يقبضها، فهي مبقاة على ملك صاحبها</w:t>
      </w:r>
    </w:p>
    <w:p w:rsidR="002E7DCB" w:rsidRDefault="002E7DCB" w:rsidP="0062441B">
      <w:pPr>
        <w:jc w:val="both"/>
        <w:rPr>
          <w:rtl/>
        </w:rPr>
      </w:pPr>
      <w:r>
        <w:rPr>
          <w:rFonts w:hint="cs"/>
          <w:rtl/>
        </w:rPr>
        <w:t xml:space="preserve">ایشان در جلد ۳، صفحۀ ۵۵ بر خلاف کلام آقای خویی، تصریح می کند که صدقه با هبه تفاوت دارد: </w:t>
      </w:r>
    </w:p>
    <w:p w:rsidR="002E7DCB" w:rsidRDefault="002E7DCB" w:rsidP="0062441B">
      <w:pPr>
        <w:jc w:val="both"/>
        <w:rPr>
          <w:color w:val="000080"/>
          <w:rtl/>
        </w:rPr>
      </w:pPr>
      <w:r w:rsidRPr="002E7DCB">
        <w:rPr>
          <w:rFonts w:hint="cs"/>
          <w:color w:val="000080"/>
          <w:rtl/>
        </w:rPr>
        <w:t>صدقة التطوع عندنا لا تسمّى هبة، بل بينها و بين الهبة فرق كثير، لأنّ صدقة التطوع بعد القبض، لا يجوز الرجوع فيها، و الهبة يجوز الرجوع فيها</w:t>
      </w:r>
    </w:p>
    <w:p w:rsidR="002E7DCB" w:rsidRDefault="002E7DCB" w:rsidP="0062441B">
      <w:pPr>
        <w:jc w:val="both"/>
        <w:rPr>
          <w:rtl/>
        </w:rPr>
      </w:pPr>
      <w:r>
        <w:rPr>
          <w:rFonts w:hint="cs"/>
          <w:rtl/>
        </w:rPr>
        <w:t xml:space="preserve">ایشان به طور مطلق صدقه را جائز الرجوع نمی داند چنانچه مناقشه ایشان جلد 3 صفحه 176 نیز در جواز رجوع در صدقه بود. </w:t>
      </w:r>
    </w:p>
    <w:p w:rsidR="002E7DCB" w:rsidRPr="002E7DCB" w:rsidRDefault="002E7DCB" w:rsidP="0062441B">
      <w:pPr>
        <w:jc w:val="both"/>
        <w:rPr>
          <w:rtl/>
        </w:rPr>
      </w:pPr>
      <w:r>
        <w:rPr>
          <w:rFonts w:hint="cs"/>
          <w:rtl/>
        </w:rPr>
        <w:t xml:space="preserve">محقق حلی در شرایع </w:t>
      </w:r>
      <w:r w:rsidR="00511876">
        <w:rPr>
          <w:rFonts w:hint="cs"/>
          <w:rtl/>
        </w:rPr>
        <w:t xml:space="preserve">جلد ۲، صفحۀ ۱۷۶ می نویسد: </w:t>
      </w:r>
    </w:p>
    <w:p w:rsidR="002E7DCB" w:rsidRDefault="00511876" w:rsidP="0062441B">
      <w:pPr>
        <w:jc w:val="both"/>
        <w:rPr>
          <w:color w:val="000080"/>
          <w:rtl/>
        </w:rPr>
      </w:pPr>
      <w:r>
        <w:rPr>
          <w:rFonts w:hint="cs"/>
          <w:color w:val="000080"/>
          <w:rtl/>
        </w:rPr>
        <w:t xml:space="preserve">اما الصدقه </w:t>
      </w:r>
      <w:r w:rsidR="002E7DCB" w:rsidRPr="002E7DCB">
        <w:rPr>
          <w:rFonts w:hint="cs"/>
          <w:color w:val="000080"/>
          <w:rtl/>
        </w:rPr>
        <w:t>فهي عقد يفتقر إلى إيجاب و قبول و إقباض. و لا يجوز الرجوع فيها بعد القبض على الأصحّ، لأنّ المقصود بها الأجر و قد حصل، فهي كالمعوّض عنها</w:t>
      </w:r>
      <w:r>
        <w:rPr>
          <w:rStyle w:val="FootnoteReference"/>
          <w:color w:val="000080"/>
          <w:rtl/>
        </w:rPr>
        <w:footnoteReference w:id="3"/>
      </w:r>
    </w:p>
    <w:p w:rsidR="00511876" w:rsidRDefault="00511876" w:rsidP="0062441B">
      <w:pPr>
        <w:jc w:val="both"/>
        <w:rPr>
          <w:rtl/>
        </w:rPr>
      </w:pPr>
      <w:r>
        <w:rPr>
          <w:rFonts w:hint="cs"/>
          <w:rtl/>
        </w:rPr>
        <w:t xml:space="preserve">«یَفتقِر» را باید به صورت معلوم خواند زیرا وصف آن، «مُفتَقِر» است چناچه در شعر آمده است: </w:t>
      </w:r>
    </w:p>
    <w:p w:rsidR="00511876" w:rsidRDefault="00511876" w:rsidP="0062441B">
      <w:pPr>
        <w:jc w:val="both"/>
        <w:rPr>
          <w:color w:val="000080"/>
          <w:rtl/>
        </w:rPr>
      </w:pPr>
      <w:r w:rsidRPr="00511876">
        <w:rPr>
          <w:color w:val="000080"/>
          <w:rtl/>
        </w:rPr>
        <w:t>م</w:t>
      </w:r>
      <w:r>
        <w:rPr>
          <w:rFonts w:hint="cs"/>
          <w:color w:val="000080"/>
          <w:rtl/>
        </w:rPr>
        <w:t>ُ</w:t>
      </w:r>
      <w:r w:rsidRPr="00511876">
        <w:rPr>
          <w:color w:val="000080"/>
          <w:rtl/>
        </w:rPr>
        <w:t>فت</w:t>
      </w:r>
      <w:r>
        <w:rPr>
          <w:rFonts w:hint="cs"/>
          <w:color w:val="000080"/>
          <w:rtl/>
        </w:rPr>
        <w:t>َ</w:t>
      </w:r>
      <w:r w:rsidRPr="00511876">
        <w:rPr>
          <w:color w:val="000080"/>
          <w:rtl/>
        </w:rPr>
        <w:t>ق</w:t>
      </w:r>
      <w:r>
        <w:rPr>
          <w:rFonts w:hint="cs"/>
          <w:color w:val="000080"/>
          <w:rtl/>
        </w:rPr>
        <w:t>ِ</w:t>
      </w:r>
      <w:r w:rsidRPr="00511876">
        <w:rPr>
          <w:color w:val="000080"/>
          <w:rtl/>
        </w:rPr>
        <w:t>را متاب رو از در او به ه</w:t>
      </w:r>
      <w:r w:rsidRPr="00511876">
        <w:rPr>
          <w:rFonts w:hint="cs"/>
          <w:color w:val="000080"/>
          <w:rtl/>
        </w:rPr>
        <w:t>ی</w:t>
      </w:r>
      <w:r w:rsidRPr="00511876">
        <w:rPr>
          <w:rFonts w:hint="eastAsia"/>
          <w:color w:val="000080"/>
          <w:rtl/>
        </w:rPr>
        <w:t>چ</w:t>
      </w:r>
      <w:r w:rsidRPr="00511876">
        <w:rPr>
          <w:color w:val="000080"/>
          <w:rtl/>
        </w:rPr>
        <w:t xml:space="preserve"> سو </w:t>
      </w:r>
      <w:r w:rsidRPr="00511876">
        <w:rPr>
          <w:rFonts w:hint="cs"/>
          <w:color w:val="000080"/>
          <w:rtl/>
        </w:rPr>
        <w:t xml:space="preserve">           </w:t>
      </w:r>
      <w:r w:rsidRPr="00511876">
        <w:rPr>
          <w:color w:val="000080"/>
          <w:rtl/>
        </w:rPr>
        <w:t>زانکه مس وجود را فضه او طلا کند</w:t>
      </w:r>
    </w:p>
    <w:p w:rsidR="00511876" w:rsidRDefault="00511876" w:rsidP="0062441B">
      <w:pPr>
        <w:jc w:val="both"/>
        <w:rPr>
          <w:rtl/>
        </w:rPr>
      </w:pPr>
      <w:r>
        <w:rPr>
          <w:rFonts w:hint="cs"/>
          <w:rtl/>
        </w:rPr>
        <w:t xml:space="preserve">در شرایع، جلد ۲، صفحۀ ۱۷۶ می نویسد: </w:t>
      </w:r>
    </w:p>
    <w:p w:rsidR="00511876" w:rsidRDefault="00511876" w:rsidP="0062441B">
      <w:pPr>
        <w:jc w:val="both"/>
        <w:rPr>
          <w:color w:val="000080"/>
          <w:rtl/>
        </w:rPr>
      </w:pPr>
      <w:r w:rsidRPr="00511876">
        <w:rPr>
          <w:rFonts w:hint="cs"/>
          <w:color w:val="000080"/>
          <w:rtl/>
        </w:rPr>
        <w:t>لا يجوز الرجوع في الصدقة بعد القبض سواء عوض عنها أو لم يعوض لرحم كانت أو لأجنبي على الأصح</w:t>
      </w:r>
      <w:r>
        <w:rPr>
          <w:rStyle w:val="FootnoteReference"/>
          <w:color w:val="000080"/>
          <w:rtl/>
        </w:rPr>
        <w:footnoteReference w:id="4"/>
      </w:r>
    </w:p>
    <w:p w:rsidR="00511876" w:rsidRDefault="00511876" w:rsidP="0062441B">
      <w:pPr>
        <w:jc w:val="both"/>
        <w:rPr>
          <w:rtl/>
        </w:rPr>
      </w:pPr>
      <w:r>
        <w:rPr>
          <w:rFonts w:hint="cs"/>
          <w:rtl/>
        </w:rPr>
        <w:t xml:space="preserve">مرحوم محقق در نکت النهایة، جلد۳، صفحۀ ۱۷۷ درباره چگونگی جمع دو کلام شیخ طوسی در نهایه بحثی می کند و پس از آن می نویسد: </w:t>
      </w:r>
    </w:p>
    <w:p w:rsidR="00511876" w:rsidRDefault="00511876" w:rsidP="0062441B">
      <w:pPr>
        <w:jc w:val="both"/>
        <w:rPr>
          <w:color w:val="000080"/>
          <w:rtl/>
        </w:rPr>
      </w:pPr>
      <w:r w:rsidRPr="00511876">
        <w:rPr>
          <w:rFonts w:hint="cs"/>
          <w:color w:val="000080"/>
          <w:rtl/>
        </w:rPr>
        <w:t>الهبة لا ينتقل عن الواهب إلا بالقبض</w:t>
      </w:r>
      <w:r>
        <w:rPr>
          <w:rFonts w:hint="cs"/>
          <w:color w:val="000080"/>
          <w:rtl/>
        </w:rPr>
        <w:t xml:space="preserve"> و کذا الصدقه</w:t>
      </w:r>
      <w:r w:rsidRPr="00511876">
        <w:rPr>
          <w:rFonts w:hint="cs"/>
          <w:color w:val="000080"/>
          <w:rtl/>
        </w:rPr>
        <w:t xml:space="preserve"> ... و الهبة مع الإقباض يخرج عن ملك الواهب</w:t>
      </w:r>
    </w:p>
    <w:p w:rsidR="00511876" w:rsidRDefault="00511876" w:rsidP="0062441B">
      <w:pPr>
        <w:jc w:val="both"/>
        <w:rPr>
          <w:rtl/>
        </w:rPr>
      </w:pPr>
      <w:r>
        <w:rPr>
          <w:rFonts w:hint="cs"/>
          <w:rtl/>
        </w:rPr>
        <w:t>ایشان قبض را شرط انتقال و اصل صحت می داند.</w:t>
      </w:r>
    </w:p>
    <w:p w:rsidR="00511876" w:rsidRPr="00F80289" w:rsidRDefault="00511876" w:rsidP="0062441B">
      <w:pPr>
        <w:jc w:val="both"/>
      </w:pPr>
      <w:r>
        <w:rPr>
          <w:rFonts w:hint="cs"/>
          <w:rtl/>
        </w:rPr>
        <w:t xml:space="preserve">در الجامع للشرایع، صفحۀ ۳۶۷ می نویسد: </w:t>
      </w:r>
    </w:p>
    <w:p w:rsidR="00511876" w:rsidRDefault="00511876" w:rsidP="0062441B">
      <w:pPr>
        <w:jc w:val="both"/>
        <w:rPr>
          <w:color w:val="000080"/>
          <w:rtl/>
        </w:rPr>
      </w:pPr>
      <w:r w:rsidRPr="00511876">
        <w:rPr>
          <w:color w:val="000080"/>
          <w:rtl/>
        </w:rPr>
        <w:t>و الشرط في الصدقة الإيجاب و القبول، و القبض بإذن المتصدق، و لا رجوع فيها لأنها لله «تعالى» و قد حصل ثوابها.</w:t>
      </w:r>
    </w:p>
    <w:p w:rsidR="00511876" w:rsidRDefault="00511876" w:rsidP="0062441B">
      <w:pPr>
        <w:jc w:val="both"/>
        <w:rPr>
          <w:rtl/>
        </w:rPr>
      </w:pPr>
      <w:r>
        <w:rPr>
          <w:rFonts w:hint="cs"/>
          <w:rtl/>
        </w:rPr>
        <w:t xml:space="preserve">ایشان علاوه بر آنکه قبض را شرط در صدقه می داند، تصریح کرده که قبض باید به اذن متصدّق باشد. </w:t>
      </w:r>
    </w:p>
    <w:p w:rsidR="000E25B9" w:rsidRDefault="000E25B9" w:rsidP="0062441B">
      <w:pPr>
        <w:jc w:val="both"/>
        <w:rPr>
          <w:rtl/>
        </w:rPr>
      </w:pPr>
      <w:r>
        <w:rPr>
          <w:rFonts w:hint="cs"/>
          <w:rtl/>
        </w:rPr>
        <w:t xml:space="preserve">در ارشاد، جلد ۱، صفحۀ ۴۵۵ می نویسد: </w:t>
      </w:r>
    </w:p>
    <w:p w:rsidR="000E25B9" w:rsidRPr="000E25B9" w:rsidRDefault="000E25B9" w:rsidP="0062441B">
      <w:pPr>
        <w:jc w:val="both"/>
        <w:rPr>
          <w:color w:val="000080"/>
          <w:rtl/>
        </w:rPr>
      </w:pPr>
      <w:r w:rsidRPr="000E25B9">
        <w:rPr>
          <w:rFonts w:hint="cs"/>
          <w:color w:val="000080"/>
          <w:rtl/>
        </w:rPr>
        <w:t>تفتقر الصدقة: إلى إيجاب، و قبول، و إقباض بإذن، و نية التقرب، فلو قبض بغير رضا المالك لم يصح، و مع القبض لا يجوز الرجوع فيها مطلقا.</w:t>
      </w:r>
    </w:p>
    <w:p w:rsidR="000E25B9" w:rsidRDefault="000E25B9" w:rsidP="0062441B">
      <w:pPr>
        <w:jc w:val="both"/>
        <w:rPr>
          <w:rtl/>
        </w:rPr>
      </w:pPr>
      <w:r>
        <w:rPr>
          <w:rFonts w:hint="cs"/>
          <w:rtl/>
        </w:rPr>
        <w:t xml:space="preserve">در تبصرة المتعلمین، صفحۀ ۱۲۶ هم می‌ نویسد: </w:t>
      </w:r>
    </w:p>
    <w:p w:rsidR="000E25B9" w:rsidRPr="000E25B9" w:rsidRDefault="000E25B9" w:rsidP="0062441B">
      <w:pPr>
        <w:jc w:val="both"/>
        <w:rPr>
          <w:color w:val="000080"/>
          <w:rtl/>
        </w:rPr>
      </w:pPr>
      <w:r w:rsidRPr="000E25B9">
        <w:rPr>
          <w:rFonts w:hint="cs"/>
          <w:color w:val="000080"/>
          <w:rtl/>
        </w:rPr>
        <w:t>لا يجوز الرجوع في الصدقة بعد الإقباض و ان كانت على الأجنبي، و لو قبضها من غير اذن المالك لم تَنْتَقِل إليه.</w:t>
      </w:r>
    </w:p>
    <w:p w:rsidR="000E25B9" w:rsidRDefault="000E25B9" w:rsidP="0062441B">
      <w:pPr>
        <w:jc w:val="both"/>
        <w:rPr>
          <w:rtl/>
        </w:rPr>
      </w:pPr>
      <w:r>
        <w:rPr>
          <w:rFonts w:hint="cs"/>
          <w:rtl/>
        </w:rPr>
        <w:t>«</w:t>
      </w:r>
      <w:r w:rsidRPr="000E25B9">
        <w:rPr>
          <w:rtl/>
        </w:rPr>
        <w:t xml:space="preserve"> لم تَنْتَقِل</w:t>
      </w:r>
      <w:r>
        <w:rPr>
          <w:rFonts w:hint="cs"/>
          <w:rtl/>
        </w:rPr>
        <w:t>» را باید به صورت معلوم خواند زیرا وصف آن، «مُنتَقِل» است. باب افتعال از ابوابی است که هم لازم و هم متعدّی می آید به همین دلیل منشأ اشتباه می شود و به تصوّر متعدی بودن، م</w:t>
      </w:r>
      <w:r w:rsidR="005F070E">
        <w:rPr>
          <w:rFonts w:hint="cs"/>
          <w:rtl/>
        </w:rPr>
        <w:t>مکن است مجهول خوانده شود.</w:t>
      </w:r>
    </w:p>
    <w:p w:rsidR="00D32F4B" w:rsidRDefault="00D32F4B" w:rsidP="0062441B">
      <w:pPr>
        <w:jc w:val="both"/>
        <w:rPr>
          <w:rtl/>
        </w:rPr>
      </w:pPr>
      <w:r>
        <w:rPr>
          <w:rFonts w:hint="cs"/>
          <w:rtl/>
        </w:rPr>
        <w:t>در تحریر الاحکام، جلد ۳، صفحۀ ۳۲۴ می نویسد:</w:t>
      </w:r>
    </w:p>
    <w:p w:rsidR="00D32F4B" w:rsidRDefault="00D32F4B" w:rsidP="0062441B">
      <w:pPr>
        <w:jc w:val="both"/>
        <w:rPr>
          <w:color w:val="000080"/>
          <w:rtl/>
        </w:rPr>
      </w:pPr>
      <w:r w:rsidRPr="00D32F4B">
        <w:rPr>
          <w:color w:val="000080"/>
          <w:rtl/>
        </w:rPr>
        <w:t xml:space="preserve">الحادي عشر: الصّدقة عقد يفتقر إلى إيجاب و </w:t>
      </w:r>
      <w:r>
        <w:rPr>
          <w:color w:val="000080"/>
          <w:rtl/>
        </w:rPr>
        <w:t>قبول و إقباض</w:t>
      </w:r>
      <w:r>
        <w:rPr>
          <w:rFonts w:hint="cs"/>
          <w:color w:val="000080"/>
          <w:rtl/>
        </w:rPr>
        <w:t xml:space="preserve"> </w:t>
      </w:r>
      <w:r>
        <w:rPr>
          <w:color w:val="000080"/>
          <w:rtl/>
        </w:rPr>
        <w:t>فلو قبضها بغير إذن المالك</w:t>
      </w:r>
      <w:r w:rsidRPr="00D32F4B">
        <w:rPr>
          <w:color w:val="000080"/>
          <w:rtl/>
        </w:rPr>
        <w:t xml:space="preserve"> لم ينتقل إليه</w:t>
      </w:r>
    </w:p>
    <w:p w:rsidR="00D32F4B" w:rsidRPr="00D32F4B" w:rsidRDefault="00D32F4B" w:rsidP="0062441B">
      <w:pPr>
        <w:jc w:val="both"/>
        <w:rPr>
          <w:color w:val="000080"/>
          <w:rtl/>
        </w:rPr>
      </w:pPr>
      <w:r>
        <w:rPr>
          <w:rFonts w:hint="cs"/>
          <w:rtl/>
        </w:rPr>
        <w:t xml:space="preserve">سپس می نویسد: </w:t>
      </w:r>
    </w:p>
    <w:p w:rsidR="000E25B9" w:rsidRDefault="00D32F4B" w:rsidP="0062441B">
      <w:pPr>
        <w:jc w:val="both"/>
        <w:rPr>
          <w:color w:val="000080"/>
          <w:rtl/>
        </w:rPr>
      </w:pPr>
      <w:r w:rsidRPr="00D32F4B">
        <w:rPr>
          <w:color w:val="000080"/>
          <w:rtl/>
        </w:rPr>
        <w:t xml:space="preserve">الثاني عشر: إذا حصلت الصّدقة بشرائطها </w:t>
      </w:r>
      <w:r>
        <w:rPr>
          <w:color w:val="000080"/>
          <w:rtl/>
        </w:rPr>
        <w:t>من العقد و القبض و نيّة التقرّب</w:t>
      </w:r>
      <w:r>
        <w:rPr>
          <w:rFonts w:hint="cs"/>
          <w:color w:val="000080"/>
          <w:rtl/>
        </w:rPr>
        <w:t xml:space="preserve"> ...</w:t>
      </w:r>
    </w:p>
    <w:p w:rsidR="00D32F4B" w:rsidRDefault="00D32F4B" w:rsidP="0062441B">
      <w:pPr>
        <w:jc w:val="both"/>
        <w:rPr>
          <w:rtl/>
        </w:rPr>
      </w:pPr>
      <w:r>
        <w:rPr>
          <w:rFonts w:hint="cs"/>
          <w:rtl/>
        </w:rPr>
        <w:t xml:space="preserve">ایشان عقد و قبض را در صدقه بودن معتبر دانسته است. </w:t>
      </w:r>
    </w:p>
    <w:p w:rsidR="00D32F4B" w:rsidRDefault="00D32F4B" w:rsidP="0062441B">
      <w:pPr>
        <w:jc w:val="both"/>
        <w:rPr>
          <w:rtl/>
        </w:rPr>
      </w:pPr>
      <w:r>
        <w:rPr>
          <w:rFonts w:hint="cs"/>
          <w:rtl/>
        </w:rPr>
        <w:t>در تذکره چاپ قدیم صفحه 417 بح</w:t>
      </w:r>
      <w:r w:rsidR="005F070E">
        <w:rPr>
          <w:rFonts w:hint="cs"/>
          <w:rtl/>
        </w:rPr>
        <w:t>ث مفصّلی درباره اعتبار قبض وارد شده و اختلاف</w:t>
      </w:r>
      <w:r>
        <w:rPr>
          <w:rFonts w:hint="cs"/>
          <w:rtl/>
        </w:rPr>
        <w:t xml:space="preserve"> سنّی ها در اعتبار قبض را مطرح کرده که بعدا آن را می خوانیم. </w:t>
      </w:r>
    </w:p>
    <w:p w:rsidR="001E5AF4" w:rsidRDefault="001E5AF4" w:rsidP="0062441B">
      <w:pPr>
        <w:jc w:val="both"/>
        <w:rPr>
          <w:rtl/>
        </w:rPr>
      </w:pPr>
      <w:r>
        <w:rPr>
          <w:rFonts w:hint="cs"/>
          <w:rtl/>
        </w:rPr>
        <w:t xml:space="preserve">با تتبّع سریع در کتب فقه روایی، در هیچ یک از آنها مشاهده نشد که در صدقه قبول و قبض را معتبر دانسته باشند. تنها شیخ در تهذیب جلد 9 صفحه 136 ذیل روایت حکم بن ابی عقیلیه قبض را در صدقه معتبر دانسته، می نویسد: </w:t>
      </w:r>
    </w:p>
    <w:p w:rsidR="001E5AF4" w:rsidRPr="001E5AF4" w:rsidRDefault="001E5AF4" w:rsidP="0062441B">
      <w:pPr>
        <w:jc w:val="both"/>
        <w:rPr>
          <w:color w:val="000080"/>
          <w:rtl/>
        </w:rPr>
      </w:pPr>
      <w:r w:rsidRPr="001E5AF4">
        <w:rPr>
          <w:rFonts w:hint="cs"/>
          <w:color w:val="000080"/>
          <w:rtl/>
        </w:rPr>
        <w:t>لِأَنَّ هَذِهِ الصَّدَقَةَ إِنَّمَا لَمْ يَجُزْ لَهُ نَقْضُهَا مِنْ حَيْثُ كَانَتْ مَقْبُوضَةً</w:t>
      </w:r>
      <w:r>
        <w:rPr>
          <w:rStyle w:val="FootnoteReference"/>
          <w:color w:val="000080"/>
          <w:rtl/>
        </w:rPr>
        <w:footnoteReference w:id="5"/>
      </w:r>
    </w:p>
    <w:p w:rsidR="00D32F4B" w:rsidRDefault="001E5AF4" w:rsidP="0062441B">
      <w:pPr>
        <w:jc w:val="both"/>
        <w:rPr>
          <w:rtl/>
        </w:rPr>
      </w:pPr>
      <w:r>
        <w:rPr>
          <w:rFonts w:hint="cs"/>
          <w:rtl/>
        </w:rPr>
        <w:t xml:space="preserve">اما این عبارت دالّ بر آن است که قبض، شرط لزوم است اما اینکه قبول شرط باشد یا قبض شرط صحت باشد، در این عبارت شیخ طوسی نیست. </w:t>
      </w:r>
    </w:p>
    <w:p w:rsidR="001E5AF4" w:rsidRDefault="001E5AF4" w:rsidP="005F070E">
      <w:pPr>
        <w:jc w:val="both"/>
        <w:rPr>
          <w:rtl/>
        </w:rPr>
      </w:pPr>
      <w:r>
        <w:rPr>
          <w:rFonts w:hint="cs"/>
          <w:rtl/>
        </w:rPr>
        <w:t>در کتب فقه روایی مانند النهایه، المقنعه، المقنع للصدوق و الجمل و العقود، مشا</w:t>
      </w:r>
      <w:r w:rsidR="005F070E">
        <w:rPr>
          <w:rFonts w:hint="cs"/>
          <w:rtl/>
        </w:rPr>
        <w:t xml:space="preserve">هده نشد که در صدقه قبول و قبض، معتبر شده باشد. </w:t>
      </w:r>
      <w:r>
        <w:rPr>
          <w:rFonts w:hint="cs"/>
          <w:rtl/>
        </w:rPr>
        <w:t xml:space="preserve">البته این مطلب نیازمند مراجعه جدی تر است و باید مراجعه مستقیم کرد. </w:t>
      </w:r>
    </w:p>
    <w:p w:rsidR="005F070E" w:rsidRDefault="005F070E" w:rsidP="005F070E">
      <w:pPr>
        <w:pStyle w:val="Heading3"/>
        <w:rPr>
          <w:rtl/>
        </w:rPr>
      </w:pPr>
      <w:bookmarkStart w:id="7" w:name="_Toc123534339"/>
      <w:r>
        <w:rPr>
          <w:rFonts w:hint="cs"/>
          <w:rtl/>
        </w:rPr>
        <w:t>دیدگاه دوم: عدم اعتبار قبول و قبض در برخی از اقسام صدقه</w:t>
      </w:r>
      <w:bookmarkEnd w:id="7"/>
      <w:r>
        <w:rPr>
          <w:rFonts w:hint="cs"/>
          <w:rtl/>
        </w:rPr>
        <w:t xml:space="preserve"> </w:t>
      </w:r>
    </w:p>
    <w:p w:rsidR="008E6451" w:rsidRDefault="00566CCA" w:rsidP="0062441B">
      <w:pPr>
        <w:jc w:val="both"/>
        <w:rPr>
          <w:rtl/>
        </w:rPr>
      </w:pPr>
      <w:r>
        <w:rPr>
          <w:rFonts w:hint="cs"/>
          <w:rtl/>
        </w:rPr>
        <w:t>از سویی دیگر،</w:t>
      </w:r>
      <w:r w:rsidR="008E6451">
        <w:rPr>
          <w:rFonts w:hint="cs"/>
          <w:rtl/>
        </w:rPr>
        <w:t xml:space="preserve"> مخالف صریح در مسأله وجود دارد و ابو الصلاح حلبی در کافی مخالفت صریح کرده است. از عبارت ایشان استفاده می شود که لااقل در برخی از اقسام صدقه، قبول و قبض معتبر نیست. </w:t>
      </w:r>
      <w:r w:rsidR="00453D9D">
        <w:rPr>
          <w:rFonts w:hint="cs"/>
          <w:rtl/>
        </w:rPr>
        <w:t xml:space="preserve">عبارت ابوالصلاح را می خوانیم </w:t>
      </w:r>
      <w:r w:rsidR="00E67339">
        <w:rPr>
          <w:rFonts w:hint="cs"/>
          <w:rtl/>
        </w:rPr>
        <w:t>و نکاتی را درباره آن بیان می کنیم. ایشان چهار فصل «فصل فی النحله» «فصل فی المنحه»</w:t>
      </w:r>
      <w:r w:rsidR="00625AB1">
        <w:rPr>
          <w:rFonts w:hint="cs"/>
          <w:rtl/>
        </w:rPr>
        <w:t xml:space="preserve"> «فصل فی الصدقه» و «فصل فی الهدیه</w:t>
      </w:r>
      <w:r w:rsidR="00E67339">
        <w:rPr>
          <w:rFonts w:hint="cs"/>
          <w:rtl/>
        </w:rPr>
        <w:t xml:space="preserve">» دارد. </w:t>
      </w:r>
      <w:r w:rsidR="001B7EE3">
        <w:rPr>
          <w:rFonts w:hint="cs"/>
          <w:rtl/>
        </w:rPr>
        <w:t xml:space="preserve">ایشان </w:t>
      </w:r>
      <w:r w:rsidR="00625AB1">
        <w:rPr>
          <w:rFonts w:hint="cs"/>
          <w:rtl/>
        </w:rPr>
        <w:t xml:space="preserve">در نحله تصریح می کند که در نحله، قبول شرط است. ایشان می نویسد: </w:t>
      </w:r>
    </w:p>
    <w:p w:rsidR="00E95171" w:rsidRDefault="00625AB1" w:rsidP="0062441B">
      <w:pPr>
        <w:jc w:val="both"/>
        <w:rPr>
          <w:color w:val="000080"/>
          <w:rtl/>
        </w:rPr>
      </w:pPr>
      <w:r w:rsidRPr="00625AB1">
        <w:rPr>
          <w:rFonts w:hint="cs"/>
          <w:color w:val="000080"/>
          <w:rtl/>
        </w:rPr>
        <w:t xml:space="preserve">فصل فی النحله؛ </w:t>
      </w:r>
      <w:r w:rsidR="008E6451" w:rsidRPr="008E6451">
        <w:rPr>
          <w:color w:val="000080"/>
          <w:rtl/>
        </w:rPr>
        <w:t>النحلة وجه لإباحة التصرف في المنحول و يعبر عنها بالهبة، و تفتقر صحة تملكها الى قبض المنحول أو وليه فيما يصح قبضه و رفع الحظر عما لا يصح قبضه،</w:t>
      </w:r>
    </w:p>
    <w:p w:rsidR="00E95171" w:rsidRDefault="00E95171" w:rsidP="0062441B">
      <w:pPr>
        <w:jc w:val="both"/>
        <w:rPr>
          <w:rtl/>
        </w:rPr>
      </w:pPr>
      <w:r>
        <w:rPr>
          <w:rFonts w:hint="cs"/>
          <w:rtl/>
        </w:rPr>
        <w:t xml:space="preserve">ایشان در اینجا درباره نحوه قبض بحث کرده که آیا تخلیه نیز کافی است؟ ایشان در ادامه می نویسد: </w:t>
      </w:r>
    </w:p>
    <w:p w:rsidR="005859FC" w:rsidRDefault="008E6451" w:rsidP="0062441B">
      <w:pPr>
        <w:jc w:val="both"/>
        <w:rPr>
          <w:color w:val="000080"/>
          <w:rtl/>
        </w:rPr>
      </w:pPr>
      <w:r w:rsidRPr="008E6451">
        <w:rPr>
          <w:color w:val="000080"/>
          <w:rtl/>
        </w:rPr>
        <w:t xml:space="preserve"> و القبول له، و هي على ضربين: مقصود بها وجه الله تعالى و مقصود بها التكرم أو التقرب الى المنحول.</w:t>
      </w:r>
      <w:r w:rsidR="00707636">
        <w:rPr>
          <w:rFonts w:hint="cs"/>
          <w:color w:val="000080"/>
          <w:rtl/>
        </w:rPr>
        <w:t>..</w:t>
      </w:r>
      <w:r w:rsidR="00707636" w:rsidRPr="00707636">
        <w:rPr>
          <w:rStyle w:val="Heading3Char"/>
          <w:rFonts w:eastAsia="Calibri"/>
          <w:color w:val="000080"/>
          <w:rtl/>
        </w:rPr>
        <w:t xml:space="preserve"> </w:t>
      </w:r>
      <w:r w:rsidR="00707636">
        <w:rPr>
          <w:rStyle w:val="FootnoteReference"/>
          <w:color w:val="000080"/>
          <w:rtl/>
        </w:rPr>
        <w:footnoteReference w:id="6"/>
      </w:r>
      <w:r w:rsidR="00E95171">
        <w:rPr>
          <w:rFonts w:hint="cs"/>
          <w:color w:val="000080"/>
          <w:rtl/>
        </w:rPr>
        <w:t xml:space="preserve"> </w:t>
      </w:r>
    </w:p>
    <w:p w:rsidR="008E6451" w:rsidRDefault="005859FC" w:rsidP="0062441B">
      <w:pPr>
        <w:jc w:val="both"/>
        <w:rPr>
          <w:rtl/>
        </w:rPr>
      </w:pPr>
      <w:r>
        <w:rPr>
          <w:rFonts w:hint="cs"/>
          <w:rtl/>
        </w:rPr>
        <w:t>ایشان درباره جواز رجوع در این دو قسم بحث کرده است. ایشان در فصل فی الصدقه می نویسد:</w:t>
      </w:r>
    </w:p>
    <w:p w:rsidR="00707636" w:rsidRDefault="00707636" w:rsidP="0062441B">
      <w:pPr>
        <w:jc w:val="both"/>
        <w:rPr>
          <w:color w:val="000080"/>
          <w:rtl/>
        </w:rPr>
      </w:pPr>
      <w:r w:rsidRPr="00707636">
        <w:rPr>
          <w:color w:val="000080"/>
          <w:rtl/>
        </w:rPr>
        <w:t>الصدقة وجه لتحريم التصرف على المتصدق و إباحته للمتصدق عليه، و انما يكون كذلك بأن يقع بما يصح التصرف فيه بملك أو اذن، على من تصح القربة في</w:t>
      </w:r>
      <w:r>
        <w:rPr>
          <w:color w:val="000080"/>
          <w:rtl/>
        </w:rPr>
        <w:t>ه، بشرط القبض أو ما يقوم مقامه</w:t>
      </w:r>
      <w:r>
        <w:rPr>
          <w:rFonts w:hint="cs"/>
          <w:color w:val="000080"/>
          <w:rtl/>
        </w:rPr>
        <w:t xml:space="preserve"> </w:t>
      </w:r>
      <w:r w:rsidRPr="00707636">
        <w:rPr>
          <w:color w:val="000080"/>
          <w:rtl/>
        </w:rPr>
        <w:t>و إيقاعها للوجه الذ</w:t>
      </w:r>
      <w:r>
        <w:rPr>
          <w:color w:val="000080"/>
          <w:rtl/>
        </w:rPr>
        <w:t>ي له شرعت، مخلصا بها لله تعالى</w:t>
      </w:r>
      <w:r>
        <w:rPr>
          <w:rFonts w:hint="cs"/>
          <w:color w:val="000080"/>
          <w:rtl/>
        </w:rPr>
        <w:t xml:space="preserve"> </w:t>
      </w:r>
      <w:r w:rsidRPr="00707636">
        <w:rPr>
          <w:color w:val="000080"/>
          <w:rtl/>
        </w:rPr>
        <w:t>فاذا تكاملت هذه الشروط فهي صدقة ماضية لا يجوز الرجوع فيها، و ان اختل شرط فهي على ملك المتصدق.</w:t>
      </w:r>
      <w:r>
        <w:rPr>
          <w:rStyle w:val="FootnoteReference"/>
          <w:color w:val="000080"/>
          <w:rtl/>
        </w:rPr>
        <w:footnoteReference w:id="7"/>
      </w:r>
    </w:p>
    <w:p w:rsidR="00707636" w:rsidRDefault="00707636" w:rsidP="0062441B">
      <w:pPr>
        <w:jc w:val="both"/>
        <w:rPr>
          <w:rtl/>
        </w:rPr>
      </w:pPr>
      <w:r>
        <w:rPr>
          <w:rFonts w:hint="cs"/>
          <w:rtl/>
        </w:rPr>
        <w:t>ایشان درباره صدقه ای که متصدّق علیه دارد، قبض را معتبر می داند و آن را شرط صحت می داند. ایشان اقسام صدقه را ذکر کرده، می نویسد:</w:t>
      </w:r>
    </w:p>
    <w:p w:rsidR="00707636" w:rsidRDefault="00707636" w:rsidP="0062441B">
      <w:pPr>
        <w:jc w:val="both"/>
        <w:rPr>
          <w:color w:val="000080"/>
          <w:rtl/>
        </w:rPr>
      </w:pPr>
      <w:r w:rsidRPr="00707636">
        <w:rPr>
          <w:color w:val="000080"/>
          <w:rtl/>
        </w:rPr>
        <w:t>و إذا تصدق على أحد الوجوه المذكورة و أشهد على نفسه بذلك و مات قبل التسليم فكانت الصدقة على مسجد أو مصلحة فهي ماضية،</w:t>
      </w:r>
      <w:r>
        <w:rPr>
          <w:rStyle w:val="FootnoteReference"/>
          <w:color w:val="000080"/>
          <w:rtl/>
        </w:rPr>
        <w:footnoteReference w:id="8"/>
      </w:r>
    </w:p>
    <w:p w:rsidR="00707636" w:rsidRPr="00707636" w:rsidRDefault="00707636" w:rsidP="0062441B">
      <w:pPr>
        <w:jc w:val="both"/>
        <w:rPr>
          <w:rtl/>
        </w:rPr>
      </w:pPr>
      <w:r>
        <w:rPr>
          <w:rFonts w:hint="cs"/>
          <w:rtl/>
        </w:rPr>
        <w:t xml:space="preserve">ایشان در صورتی که صدقه بر مسجد یا مصلحت یعنی مصالح عامه باشد را به صرف تصدّق و اشهاد ماضی می دانند. </w:t>
      </w:r>
    </w:p>
    <w:p w:rsidR="00707636" w:rsidRDefault="00707636" w:rsidP="0062441B">
      <w:pPr>
        <w:jc w:val="both"/>
        <w:rPr>
          <w:color w:val="000080"/>
          <w:rtl/>
        </w:rPr>
      </w:pPr>
      <w:r w:rsidRPr="00707636">
        <w:rPr>
          <w:color w:val="000080"/>
          <w:rtl/>
        </w:rPr>
        <w:t xml:space="preserve"> و ان كانت على من يصح قبضه أو وليه فهي وصية يحكم فيها بأحكام الوصايا.</w:t>
      </w:r>
    </w:p>
    <w:p w:rsidR="00707636" w:rsidRDefault="00707636" w:rsidP="0062441B">
      <w:pPr>
        <w:jc w:val="both"/>
        <w:rPr>
          <w:rtl/>
        </w:rPr>
      </w:pPr>
      <w:r>
        <w:rPr>
          <w:rFonts w:hint="cs"/>
          <w:rtl/>
        </w:rPr>
        <w:t xml:space="preserve">اگر متصدّق علیه داشته باشد، چون این صدقه قبض نشده ماضی نیست اما حکم وصیّت را دارد و احکام وصایا بر آن بار می شود. </w:t>
      </w:r>
    </w:p>
    <w:p w:rsidR="00707636" w:rsidRDefault="00D254DB" w:rsidP="0062441B">
      <w:pPr>
        <w:jc w:val="both"/>
        <w:rPr>
          <w:rtl/>
        </w:rPr>
      </w:pPr>
      <w:r>
        <w:rPr>
          <w:rFonts w:hint="cs"/>
          <w:rtl/>
        </w:rPr>
        <w:t xml:space="preserve">ایشان در قسم اول که صدقه بر مسجد یا مصلحت بود، </w:t>
      </w:r>
      <w:r w:rsidR="00513A32">
        <w:rPr>
          <w:rFonts w:hint="cs"/>
          <w:rtl/>
        </w:rPr>
        <w:t xml:space="preserve">تصریح دارد که قبض معتبر نیست. همچنین با وجود صحبت از اشتراط قبول در نحله، در این فرض سخنی از اعتبار قبول نکرده است. </w:t>
      </w:r>
    </w:p>
    <w:p w:rsidR="006138FC" w:rsidRDefault="006138FC" w:rsidP="0062441B">
      <w:pPr>
        <w:jc w:val="both"/>
        <w:rPr>
          <w:rtl/>
        </w:rPr>
      </w:pPr>
      <w:r>
        <w:rPr>
          <w:rFonts w:hint="cs"/>
          <w:rtl/>
        </w:rPr>
        <w:t xml:space="preserve">ایشان در فصل فی الهدیه این بحث را مطرح کرده که به وسیله قبول، ملک مهدی الیه می شود. ایشان بحث مفصّلی را در این باره دارد که آیا قبول مهدی علیه، واجب است یا مستحب است؟ ایشان می نویسد: </w:t>
      </w:r>
    </w:p>
    <w:p w:rsidR="006138FC" w:rsidRDefault="006138FC" w:rsidP="0062441B">
      <w:pPr>
        <w:jc w:val="both"/>
        <w:rPr>
          <w:color w:val="000080"/>
          <w:rtl/>
        </w:rPr>
      </w:pPr>
      <w:r w:rsidRPr="006138FC">
        <w:rPr>
          <w:rFonts w:hint="cs"/>
          <w:color w:val="000080"/>
          <w:rtl/>
        </w:rPr>
        <w:t>فصل في الهدية من وكيد السنة و كريم الأخلاق الإهداء. و قبول الهدية على ضروب ثلاثة: أحدها أن يدعو إليها داعي الولاية الدينية فيقصد بها وجهها قربة اليه سبحانه، فيلزم في السنة قبولها</w:t>
      </w:r>
      <w:r>
        <w:rPr>
          <w:rStyle w:val="FootnoteReference"/>
          <w:color w:val="000080"/>
          <w:rtl/>
        </w:rPr>
        <w:footnoteReference w:id="9"/>
      </w:r>
    </w:p>
    <w:p w:rsidR="006138FC" w:rsidRDefault="006138FC" w:rsidP="0062441B">
      <w:pPr>
        <w:jc w:val="both"/>
        <w:rPr>
          <w:rtl/>
        </w:rPr>
      </w:pPr>
      <w:r>
        <w:rPr>
          <w:rFonts w:hint="cs"/>
          <w:rtl/>
        </w:rPr>
        <w:t>ایشان در این قسم از هدیه، قبول را واجب دانسته است. ایشان در ادامه می نویسد:</w:t>
      </w:r>
    </w:p>
    <w:p w:rsidR="006138FC" w:rsidRDefault="006138FC" w:rsidP="0062441B">
      <w:pPr>
        <w:jc w:val="both"/>
        <w:rPr>
          <w:color w:val="000080"/>
          <w:rtl/>
        </w:rPr>
      </w:pPr>
      <w:r w:rsidRPr="006138FC">
        <w:rPr>
          <w:rFonts w:hint="cs"/>
          <w:color w:val="000080"/>
          <w:rtl/>
        </w:rPr>
        <w:t>و يخرج بالقبول عن يد المهدى و يحرم الرجوع فيها و التعوض ع</w:t>
      </w:r>
      <w:r w:rsidR="00C272EF">
        <w:rPr>
          <w:rFonts w:hint="cs"/>
          <w:color w:val="000080"/>
          <w:rtl/>
        </w:rPr>
        <w:t xml:space="preserve">نها، و ان لم يقبلها خالف السنة </w:t>
      </w:r>
      <w:r w:rsidRPr="006138FC">
        <w:rPr>
          <w:rFonts w:hint="cs"/>
          <w:color w:val="000080"/>
          <w:rtl/>
        </w:rPr>
        <w:t>و للمُهدي التصرف فيها و ان كان قد فصلها عن ماله</w:t>
      </w:r>
    </w:p>
    <w:p w:rsidR="006138FC" w:rsidRDefault="005F070E" w:rsidP="0062441B">
      <w:pPr>
        <w:jc w:val="both"/>
        <w:rPr>
          <w:rtl/>
        </w:rPr>
      </w:pPr>
      <w:r>
        <w:rPr>
          <w:rFonts w:hint="cs"/>
          <w:rtl/>
        </w:rPr>
        <w:t xml:space="preserve">به نظر ایشان، </w:t>
      </w:r>
      <w:r w:rsidR="0060399D">
        <w:rPr>
          <w:rFonts w:hint="cs"/>
          <w:rtl/>
        </w:rPr>
        <w:t xml:space="preserve">هر چند قبول واجب است اما وجوب آن تکلیفی است و تا قبول صورت نگیرد، از مال مُهدی خارج نمی شود. پس حتی اگر مال را از مالش جدا کرده باشد نیز به ملک مهدی الیه داخل نشده است و مُهدی می تواند در آن تصرّف کند. ایشان در ادامه می نویسد: </w:t>
      </w:r>
    </w:p>
    <w:p w:rsidR="0060399D" w:rsidRDefault="0060399D" w:rsidP="0062441B">
      <w:pPr>
        <w:jc w:val="both"/>
        <w:rPr>
          <w:color w:val="000080"/>
          <w:rtl/>
        </w:rPr>
      </w:pPr>
      <w:r w:rsidRPr="0060399D">
        <w:rPr>
          <w:rFonts w:hint="cs"/>
          <w:color w:val="000080"/>
          <w:rtl/>
        </w:rPr>
        <w:t>و لیست کالصدقه</w:t>
      </w:r>
    </w:p>
    <w:p w:rsidR="005F070E" w:rsidRDefault="0060399D" w:rsidP="005F070E">
      <w:pPr>
        <w:jc w:val="both"/>
        <w:rPr>
          <w:rtl/>
        </w:rPr>
      </w:pPr>
      <w:r>
        <w:rPr>
          <w:rFonts w:hint="cs"/>
          <w:rtl/>
        </w:rPr>
        <w:t xml:space="preserve">ظاهر </w:t>
      </w:r>
      <w:r w:rsidR="005F070E">
        <w:rPr>
          <w:rFonts w:hint="cs"/>
          <w:rtl/>
        </w:rPr>
        <w:t>این عبارت آن</w:t>
      </w:r>
      <w:r>
        <w:rPr>
          <w:rFonts w:hint="cs"/>
          <w:rtl/>
        </w:rPr>
        <w:t xml:space="preserve"> است که</w:t>
      </w:r>
      <w:r w:rsidR="00C272EF">
        <w:rPr>
          <w:rFonts w:hint="cs"/>
          <w:rtl/>
        </w:rPr>
        <w:t xml:space="preserve"> در صدقه</w:t>
      </w:r>
      <w:r>
        <w:rPr>
          <w:rFonts w:hint="cs"/>
          <w:rtl/>
        </w:rPr>
        <w:t xml:space="preserve"> اگر از مالش جدا کرده باشد، بدون ق</w:t>
      </w:r>
      <w:r w:rsidR="00C272EF">
        <w:rPr>
          <w:rFonts w:hint="cs"/>
          <w:rtl/>
        </w:rPr>
        <w:t xml:space="preserve">بول از ملک مُتصدِّق خارج می شود. باید دقت داشت که دو بحث وجود دارد: </w:t>
      </w:r>
    </w:p>
    <w:p w:rsidR="005F070E" w:rsidRDefault="00C272EF" w:rsidP="005F070E">
      <w:pPr>
        <w:pStyle w:val="ListParagraph"/>
        <w:numPr>
          <w:ilvl w:val="0"/>
          <w:numId w:val="24"/>
        </w:numPr>
        <w:jc w:val="both"/>
      </w:pPr>
      <w:r>
        <w:rPr>
          <w:rFonts w:hint="cs"/>
          <w:rtl/>
        </w:rPr>
        <w:t>آیا بدون قبول مُتصّدق علیه مال به ملک او داخل می شود؟ ایشان بیان می کند که برای دخول در ملک متصدّق علیه، قبول و قبض معتبر است.</w:t>
      </w:r>
    </w:p>
    <w:p w:rsidR="00C272EF" w:rsidRDefault="00C272EF" w:rsidP="005F070E">
      <w:pPr>
        <w:pStyle w:val="ListParagraph"/>
        <w:numPr>
          <w:ilvl w:val="0"/>
          <w:numId w:val="24"/>
        </w:numPr>
        <w:jc w:val="both"/>
        <w:rPr>
          <w:rtl/>
        </w:rPr>
      </w:pPr>
      <w:r>
        <w:rPr>
          <w:rFonts w:hint="cs"/>
          <w:rtl/>
        </w:rPr>
        <w:t xml:space="preserve">آیا بدون قبول متصدّق علیه مال از ملک متصدّق خارج می شود؟ گویا ایشان با «و لیست کالصدقه» بیان می کند که از ملک متصدّق خارج می شود هر چند داخل در ملک متصدّق علیه نمی شود. </w:t>
      </w:r>
    </w:p>
    <w:p w:rsidR="00C272EF" w:rsidRDefault="00C272EF" w:rsidP="0062441B">
      <w:pPr>
        <w:jc w:val="both"/>
        <w:rPr>
          <w:rtl/>
        </w:rPr>
      </w:pPr>
      <w:r>
        <w:rPr>
          <w:rFonts w:hint="cs"/>
          <w:rtl/>
        </w:rPr>
        <w:t xml:space="preserve">در ادامه می نویسد: </w:t>
      </w:r>
    </w:p>
    <w:p w:rsidR="00C272EF" w:rsidRPr="00C272EF" w:rsidRDefault="00C272EF" w:rsidP="0062441B">
      <w:pPr>
        <w:jc w:val="both"/>
        <w:rPr>
          <w:color w:val="000080"/>
          <w:rtl/>
        </w:rPr>
      </w:pPr>
      <w:r w:rsidRPr="00C272EF">
        <w:rPr>
          <w:rFonts w:hint="cs"/>
          <w:color w:val="000080"/>
          <w:rtl/>
        </w:rPr>
        <w:t>و ثانيها أن يدعو إليها داعي المودة الدنيوية و التكرم، فيحس قبولها إذا عريت من وجوه القبح، و يقبح القبول مع ثبوته، و يخرج بالقبول عن يد المهدى و له الرجوع فيها ما لم يتصرف فيها من أهديت اليه، و إمضاؤها أفضل، و لا تجب المكافاة عليها، و فعلها أفضل.</w:t>
      </w:r>
    </w:p>
    <w:p w:rsidR="00C272EF" w:rsidRPr="00C272EF" w:rsidRDefault="00C272EF" w:rsidP="0062441B">
      <w:pPr>
        <w:jc w:val="both"/>
        <w:rPr>
          <w:color w:val="000080"/>
          <w:rtl/>
        </w:rPr>
      </w:pPr>
      <w:r w:rsidRPr="00C272EF">
        <w:rPr>
          <w:rFonts w:hint="cs"/>
          <w:color w:val="000080"/>
          <w:rtl/>
        </w:rPr>
        <w:t>و ثالثها ان تدعو إليها الرغبة في العوض عنها،</w:t>
      </w:r>
    </w:p>
    <w:p w:rsidR="00C272EF" w:rsidRDefault="000F0971" w:rsidP="0062441B">
      <w:pPr>
        <w:jc w:val="both"/>
        <w:rPr>
          <w:rtl/>
        </w:rPr>
      </w:pPr>
      <w:r>
        <w:rPr>
          <w:rFonts w:hint="cs"/>
          <w:rtl/>
        </w:rPr>
        <w:t xml:space="preserve">خلاصه کلام ایشان این است که هدیه سه قسم است: </w:t>
      </w:r>
    </w:p>
    <w:p w:rsidR="000F0971" w:rsidRDefault="000F0971" w:rsidP="0062441B">
      <w:pPr>
        <w:pStyle w:val="ListParagraph"/>
        <w:numPr>
          <w:ilvl w:val="0"/>
          <w:numId w:val="20"/>
        </w:numPr>
        <w:jc w:val="both"/>
      </w:pPr>
      <w:r>
        <w:rPr>
          <w:rFonts w:hint="cs"/>
          <w:rtl/>
        </w:rPr>
        <w:t>به خاطر خدا هدیه می دهد، بر مُهدی الیه قبول واجب است.</w:t>
      </w:r>
    </w:p>
    <w:p w:rsidR="000F0971" w:rsidRDefault="000F0971" w:rsidP="0062441B">
      <w:pPr>
        <w:pStyle w:val="ListParagraph"/>
        <w:numPr>
          <w:ilvl w:val="0"/>
          <w:numId w:val="20"/>
        </w:numPr>
        <w:jc w:val="both"/>
      </w:pPr>
      <w:r>
        <w:rPr>
          <w:rFonts w:hint="cs"/>
          <w:rtl/>
        </w:rPr>
        <w:t xml:space="preserve">به خاطر محبّت و امور دینی هدیه می دهد، بر مُهدی الیه قبول مستحب است. </w:t>
      </w:r>
    </w:p>
    <w:p w:rsidR="000F0971" w:rsidRDefault="000F0971" w:rsidP="0062441B">
      <w:pPr>
        <w:pStyle w:val="ListParagraph"/>
        <w:numPr>
          <w:ilvl w:val="0"/>
          <w:numId w:val="20"/>
        </w:numPr>
        <w:jc w:val="both"/>
      </w:pPr>
      <w:r>
        <w:rPr>
          <w:rFonts w:hint="cs"/>
          <w:rtl/>
        </w:rPr>
        <w:t xml:space="preserve">به خاطر </w:t>
      </w:r>
      <w:r w:rsidR="005F070E">
        <w:rPr>
          <w:rFonts w:hint="cs"/>
          <w:rtl/>
        </w:rPr>
        <w:t>عوض گرفتن</w:t>
      </w:r>
      <w:r w:rsidR="009D6A0E">
        <w:rPr>
          <w:rFonts w:hint="cs"/>
          <w:rtl/>
        </w:rPr>
        <w:t xml:space="preserve"> هدیه می دهد، بر مُهدی الیه قبول مستحب نیست و در قبول مخیّر است.</w:t>
      </w:r>
    </w:p>
    <w:p w:rsidR="009D6A0E" w:rsidRDefault="009D6A0E" w:rsidP="0062441B">
      <w:pPr>
        <w:jc w:val="both"/>
        <w:rPr>
          <w:rtl/>
        </w:rPr>
      </w:pPr>
      <w:r>
        <w:rPr>
          <w:rFonts w:hint="cs"/>
          <w:rtl/>
        </w:rPr>
        <w:t xml:space="preserve">در هر سه قسم، دخول هدیه در ملک مُهدی الیه، متوقف بر قبول است. </w:t>
      </w:r>
    </w:p>
    <w:p w:rsidR="009D6A0E" w:rsidRDefault="009D6A0E" w:rsidP="005F070E">
      <w:pPr>
        <w:jc w:val="both"/>
        <w:rPr>
          <w:rtl/>
        </w:rPr>
      </w:pPr>
      <w:r>
        <w:rPr>
          <w:rFonts w:hint="cs"/>
          <w:rtl/>
        </w:rPr>
        <w:t>ایشان تصریح می کند که در هدیه و نحله، قبول شرط است. اما در صدقه صحبتی درباره لزوم قبول نکرده است در حالی که این فصول پشت سرهم است. مجموع عبارت ایشان کالصریح است که ایشان قبول را شرط ملکیّت متصدّق علیه می داند نه شرط خروج از ملک متصدّق علیه. به نظر می رسد ایشان صدقه را ایقاع می داند</w:t>
      </w:r>
      <w:r w:rsidR="00A53683">
        <w:rPr>
          <w:rFonts w:hint="cs"/>
          <w:rtl/>
        </w:rPr>
        <w:t xml:space="preserve"> و به شرط عزل، صدقه را از ملک متصدّق خارج می داند هر چند متصدّق علیه قبول نکرده باشد. در روایات نیز وارد شده که اگر قصد کردید مالی را به عنوان صدقه به متصدّق علیه مشخّصی </w:t>
      </w:r>
      <w:r w:rsidR="005F070E">
        <w:rPr>
          <w:rFonts w:hint="cs"/>
          <w:rtl/>
        </w:rPr>
        <w:t xml:space="preserve">پرداخت کنید اما او </w:t>
      </w:r>
      <w:r w:rsidR="00A53683">
        <w:rPr>
          <w:rFonts w:hint="cs"/>
          <w:rtl/>
        </w:rPr>
        <w:t>را نیافتید یا او قبول نکرد، دیگر نمی توانید در این مال تصرّف کنید و باید آن را در جای دیگری مصرف کنید. از این روایت استفاده می شود که</w:t>
      </w:r>
      <w:r w:rsidR="005F070E">
        <w:rPr>
          <w:rFonts w:hint="cs"/>
          <w:rtl/>
        </w:rPr>
        <w:t xml:space="preserve"> مال</w:t>
      </w:r>
      <w:r w:rsidR="00A53683">
        <w:rPr>
          <w:rFonts w:hint="cs"/>
          <w:rtl/>
        </w:rPr>
        <w:t xml:space="preserve"> از ملک متصدّق خارج شده و یا متعیّن للصدقه شده یا ملک خداوند شده است. </w:t>
      </w:r>
    </w:p>
    <w:p w:rsidR="00A53683" w:rsidRDefault="00A53683" w:rsidP="0062441B">
      <w:pPr>
        <w:jc w:val="both"/>
        <w:rPr>
          <w:rtl/>
        </w:rPr>
      </w:pPr>
      <w:r>
        <w:rPr>
          <w:rFonts w:hint="cs"/>
          <w:rtl/>
        </w:rPr>
        <w:t xml:space="preserve">بنابراین </w:t>
      </w:r>
      <w:r w:rsidR="00FE3F05">
        <w:rPr>
          <w:rFonts w:hint="cs"/>
          <w:rtl/>
        </w:rPr>
        <w:t>نسبت به صدقه بر مسجد و مصلحت عامه، عبارت ابوالصلاح کالتصریح در عدم اعتبار قبض است. نسبت به قبول نیز می توان با</w:t>
      </w:r>
      <w:r w:rsidR="005F070E">
        <w:rPr>
          <w:rFonts w:hint="cs"/>
          <w:rtl/>
        </w:rPr>
        <w:t xml:space="preserve"> عبارات قب</w:t>
      </w:r>
      <w:r w:rsidR="00FE3F05">
        <w:rPr>
          <w:rFonts w:hint="cs"/>
          <w:rtl/>
        </w:rPr>
        <w:t>ل و بعد، به ایشان نسبت داد که قبول معتبر نیست. در صدقه</w:t>
      </w:r>
      <w:r w:rsidR="005F070E">
        <w:rPr>
          <w:rFonts w:hint="cs"/>
          <w:rtl/>
        </w:rPr>
        <w:t xml:space="preserve"> بر متصدّق علیه خاص بعد از عزل نیز به نظر ایشان </w:t>
      </w:r>
      <w:r w:rsidR="00FE3F05">
        <w:rPr>
          <w:rFonts w:hint="cs"/>
          <w:rtl/>
        </w:rPr>
        <w:t xml:space="preserve">قبول معتبر نیست. پس به نظر می رسد ایشان صدقه را ایقاع می داند نه آنکه صدقه را عقد بداند. </w:t>
      </w:r>
    </w:p>
    <w:p w:rsidR="005F070E" w:rsidRDefault="005F070E" w:rsidP="005F070E">
      <w:pPr>
        <w:pStyle w:val="Heading2"/>
        <w:rPr>
          <w:rtl/>
        </w:rPr>
      </w:pPr>
      <w:bookmarkStart w:id="8" w:name="_Toc123534340"/>
      <w:r>
        <w:rPr>
          <w:rFonts w:hint="cs"/>
          <w:rtl/>
        </w:rPr>
        <w:t>بررسی حجیت اجماع بر فرض وجود آن</w:t>
      </w:r>
      <w:bookmarkEnd w:id="8"/>
      <w:r>
        <w:rPr>
          <w:rFonts w:hint="cs"/>
          <w:rtl/>
        </w:rPr>
        <w:t xml:space="preserve"> </w:t>
      </w:r>
    </w:p>
    <w:p w:rsidR="00FE3F05" w:rsidRDefault="003E77F1" w:rsidP="0062441B">
      <w:pPr>
        <w:jc w:val="both"/>
        <w:rPr>
          <w:rtl/>
        </w:rPr>
      </w:pPr>
      <w:r>
        <w:rPr>
          <w:rFonts w:hint="cs"/>
          <w:rtl/>
        </w:rPr>
        <w:t xml:space="preserve">از نظر کبروی باید بحث کرد، آیا بر فرض اجماع در این مسأله، اجماع اعتبار دارد؟ </w:t>
      </w:r>
    </w:p>
    <w:p w:rsidR="003E77F1" w:rsidRDefault="00C357C2" w:rsidP="0062441B">
      <w:pPr>
        <w:jc w:val="both"/>
        <w:rPr>
          <w:rtl/>
        </w:rPr>
      </w:pPr>
      <w:r>
        <w:rPr>
          <w:rFonts w:hint="cs"/>
          <w:rtl/>
        </w:rPr>
        <w:t>در وجه حجیت اجماع، دو مبنا مبنای قابل توجّه است:</w:t>
      </w:r>
    </w:p>
    <w:p w:rsidR="00C357C2" w:rsidRDefault="00C357C2" w:rsidP="0062441B">
      <w:pPr>
        <w:pStyle w:val="ListParagraph"/>
        <w:numPr>
          <w:ilvl w:val="0"/>
          <w:numId w:val="21"/>
        </w:numPr>
        <w:jc w:val="both"/>
      </w:pPr>
      <w:r>
        <w:rPr>
          <w:rFonts w:hint="cs"/>
          <w:rtl/>
        </w:rPr>
        <w:t xml:space="preserve">مبنای شهید صدر: اجماع کاشف از ارتکاز مطلب در زمان امام علیه السلام است. هر چند ما این مبنا را قبول نداریم اما مبنای قابل توجهی است. </w:t>
      </w:r>
    </w:p>
    <w:p w:rsidR="00C357C2" w:rsidRDefault="00C357C2" w:rsidP="0062441B">
      <w:pPr>
        <w:pStyle w:val="ListParagraph"/>
        <w:numPr>
          <w:ilvl w:val="0"/>
          <w:numId w:val="21"/>
        </w:numPr>
        <w:jc w:val="both"/>
      </w:pPr>
      <w:r>
        <w:rPr>
          <w:rFonts w:hint="cs"/>
          <w:rtl/>
        </w:rPr>
        <w:t>مبنای آیت الله والد: اجماع از باب تقریر حجت است و شرط آن اتصال به زمان معصوم</w:t>
      </w:r>
      <w:r w:rsidR="00684A53">
        <w:rPr>
          <w:rFonts w:hint="cs"/>
          <w:rtl/>
        </w:rPr>
        <w:t xml:space="preserve"> علیه السلام </w:t>
      </w:r>
      <w:r>
        <w:rPr>
          <w:rFonts w:hint="cs"/>
          <w:rtl/>
        </w:rPr>
        <w:t xml:space="preserve">است. </w:t>
      </w:r>
    </w:p>
    <w:p w:rsidR="00C357C2" w:rsidRDefault="00C357C2" w:rsidP="0062441B">
      <w:pPr>
        <w:jc w:val="both"/>
        <w:rPr>
          <w:rtl/>
        </w:rPr>
      </w:pPr>
      <w:r>
        <w:rPr>
          <w:rFonts w:hint="cs"/>
          <w:rtl/>
        </w:rPr>
        <w:t>طبق این</w:t>
      </w:r>
      <w:r w:rsidR="00C305C4">
        <w:rPr>
          <w:rFonts w:hint="cs"/>
          <w:rtl/>
        </w:rPr>
        <w:t xml:space="preserve"> دو مبنا، اگر قول ابی الصلاح نبود، آیا مطابق مبنای شهید صدر همین میزان برای کشف ارتکاز مطلب </w:t>
      </w:r>
      <w:r w:rsidR="005F070E">
        <w:rPr>
          <w:rFonts w:hint="cs"/>
          <w:rtl/>
        </w:rPr>
        <w:t xml:space="preserve">کافی </w:t>
      </w:r>
      <w:r w:rsidR="00C305C4">
        <w:rPr>
          <w:rFonts w:hint="cs"/>
          <w:rtl/>
        </w:rPr>
        <w:t xml:space="preserve">است؟ و آیا مطابق مبنای آیت الله والد می توان اجماع </w:t>
      </w:r>
      <w:r w:rsidR="005F070E">
        <w:rPr>
          <w:rFonts w:hint="cs"/>
          <w:rtl/>
        </w:rPr>
        <w:t>معاصر ائمه معصومین</w:t>
      </w:r>
      <w:r w:rsidR="00684A53">
        <w:rPr>
          <w:rFonts w:hint="cs"/>
          <w:rtl/>
        </w:rPr>
        <w:t xml:space="preserve"> علیهم السلام </w:t>
      </w:r>
      <w:r w:rsidR="005F070E">
        <w:rPr>
          <w:rFonts w:hint="cs"/>
          <w:rtl/>
        </w:rPr>
        <w:t>را کشف کرد</w:t>
      </w:r>
      <w:r w:rsidR="00C305C4">
        <w:rPr>
          <w:rFonts w:hint="cs"/>
          <w:rtl/>
        </w:rPr>
        <w:t xml:space="preserve"> و از سویی دیگر، از تقریر امام معصوم</w:t>
      </w:r>
      <w:r w:rsidR="00684A53">
        <w:rPr>
          <w:rFonts w:hint="cs"/>
          <w:rtl/>
        </w:rPr>
        <w:t xml:space="preserve"> علیه السلام </w:t>
      </w:r>
      <w:r w:rsidR="00C305C4">
        <w:rPr>
          <w:rFonts w:hint="cs"/>
          <w:rtl/>
        </w:rPr>
        <w:t>اعتبار این اجماع را ثابت کرد؟</w:t>
      </w:r>
    </w:p>
    <w:p w:rsidR="000A716E" w:rsidRDefault="000A716E" w:rsidP="0062441B">
      <w:pPr>
        <w:jc w:val="both"/>
        <w:rPr>
          <w:rtl/>
        </w:rPr>
      </w:pPr>
      <w:r>
        <w:rPr>
          <w:rFonts w:hint="cs"/>
          <w:rtl/>
        </w:rPr>
        <w:t xml:space="preserve">به نظر می رسد مطابق هیچ یک از این دو مبنا، اجماع در اینجا کارساز نیست. </w:t>
      </w:r>
    </w:p>
    <w:p w:rsidR="005F070E" w:rsidRDefault="007F4170" w:rsidP="005F070E">
      <w:pPr>
        <w:pStyle w:val="Heading4"/>
        <w:rPr>
          <w:rtl/>
        </w:rPr>
      </w:pPr>
      <w:bookmarkStart w:id="9" w:name="_Toc123534341"/>
      <w:r>
        <w:rPr>
          <w:rFonts w:hint="cs"/>
          <w:rtl/>
        </w:rPr>
        <w:t xml:space="preserve">عدم حجیت اجماع به ملاک </w:t>
      </w:r>
      <w:r w:rsidR="005F070E">
        <w:rPr>
          <w:rFonts w:hint="cs"/>
          <w:rtl/>
        </w:rPr>
        <w:t>کش</w:t>
      </w:r>
      <w:r>
        <w:rPr>
          <w:rFonts w:hint="cs"/>
          <w:rtl/>
        </w:rPr>
        <w:t>ف ارتکاز معاصر معصوم</w:t>
      </w:r>
      <w:r w:rsidR="00684A53">
        <w:rPr>
          <w:rFonts w:hint="cs"/>
          <w:rtl/>
        </w:rPr>
        <w:t xml:space="preserve"> علیه السلام</w:t>
      </w:r>
      <w:bookmarkEnd w:id="9"/>
      <w:r w:rsidR="00684A53">
        <w:rPr>
          <w:rFonts w:hint="cs"/>
          <w:rtl/>
        </w:rPr>
        <w:t xml:space="preserve"> </w:t>
      </w:r>
    </w:p>
    <w:p w:rsidR="007F4170" w:rsidRDefault="000A716E" w:rsidP="007F4170">
      <w:pPr>
        <w:jc w:val="both"/>
        <w:rPr>
          <w:rtl/>
        </w:rPr>
      </w:pPr>
      <w:r>
        <w:rPr>
          <w:rFonts w:hint="cs"/>
          <w:rtl/>
        </w:rPr>
        <w:t xml:space="preserve">مطابق </w:t>
      </w:r>
      <w:r w:rsidR="007F4170">
        <w:rPr>
          <w:rFonts w:hint="cs"/>
          <w:rtl/>
        </w:rPr>
        <w:t>مبنای شهید صدر، به دو دلیل نمی توان ارتکاز معاصر معصوم</w:t>
      </w:r>
      <w:r w:rsidR="00684A53">
        <w:rPr>
          <w:rFonts w:hint="cs"/>
          <w:rtl/>
        </w:rPr>
        <w:t xml:space="preserve"> علیه السلام </w:t>
      </w:r>
      <w:r w:rsidR="007F4170">
        <w:rPr>
          <w:rFonts w:hint="cs"/>
          <w:rtl/>
        </w:rPr>
        <w:t xml:space="preserve">را کشف کرد. </w:t>
      </w:r>
    </w:p>
    <w:p w:rsidR="007F4170" w:rsidRDefault="007F4170" w:rsidP="007F4170">
      <w:pPr>
        <w:pStyle w:val="Heading5"/>
        <w:rPr>
          <w:rtl/>
        </w:rPr>
      </w:pPr>
      <w:bookmarkStart w:id="10" w:name="_Toc123534342"/>
      <w:r>
        <w:rPr>
          <w:rFonts w:hint="cs"/>
          <w:rtl/>
        </w:rPr>
        <w:t>دلیل اول: عدم اعتبار قبول و قبض پیش از مبسوط</w:t>
      </w:r>
      <w:bookmarkEnd w:id="10"/>
      <w:r>
        <w:rPr>
          <w:rFonts w:hint="cs"/>
          <w:rtl/>
        </w:rPr>
        <w:t xml:space="preserve"> </w:t>
      </w:r>
    </w:p>
    <w:p w:rsidR="007F4170" w:rsidRDefault="00565B9A" w:rsidP="007F4170">
      <w:pPr>
        <w:jc w:val="both"/>
        <w:rPr>
          <w:rtl/>
        </w:rPr>
      </w:pPr>
      <w:r>
        <w:rPr>
          <w:rFonts w:hint="cs"/>
          <w:rtl/>
        </w:rPr>
        <w:t xml:space="preserve"> گفت: اولین فتوا در این مسأله، در کتاب مبسوط شیخ طوس</w:t>
      </w:r>
      <w:r w:rsidR="00007977">
        <w:rPr>
          <w:rFonts w:hint="cs"/>
          <w:rtl/>
        </w:rPr>
        <w:t>ی بود که اولین کتاب تفریعی است و نمی توان از فتوای فقهای در کتب تفریعی، وجود ارتکاز در زمان معصوم</w:t>
      </w:r>
      <w:r w:rsidR="00684A53">
        <w:rPr>
          <w:rFonts w:hint="cs"/>
          <w:rtl/>
        </w:rPr>
        <w:t xml:space="preserve"> علیه السلام </w:t>
      </w:r>
      <w:r w:rsidR="00007977">
        <w:rPr>
          <w:rFonts w:hint="cs"/>
          <w:rtl/>
        </w:rPr>
        <w:t>را کشف کرد. اشتراط قبول و قبض در صدقه در مبسوط وارد شده و مهذّب و فقه القرآن عین عبارات مبسوط را دارند. قبل از مبسوط، این مطلب در کلمات مشاهده نشد هر چند باید تتبّع بیشتری در این باره داشت.</w:t>
      </w:r>
      <w:r w:rsidR="007F4170">
        <w:rPr>
          <w:rFonts w:hint="cs"/>
          <w:rtl/>
        </w:rPr>
        <w:t xml:space="preserve"> پس</w:t>
      </w:r>
      <w:r w:rsidR="00007977">
        <w:rPr>
          <w:rFonts w:hint="cs"/>
          <w:rtl/>
        </w:rPr>
        <w:t xml:space="preserve"> نمی توان از میزان عباراتی که نقل نشد، وجود ارتکاز معاصر معصوم</w:t>
      </w:r>
      <w:r w:rsidR="00684A53">
        <w:rPr>
          <w:rFonts w:hint="cs"/>
          <w:rtl/>
        </w:rPr>
        <w:t xml:space="preserve"> علیه السلام </w:t>
      </w:r>
      <w:r w:rsidR="00007977">
        <w:rPr>
          <w:rFonts w:hint="cs"/>
          <w:rtl/>
        </w:rPr>
        <w:t xml:space="preserve">را کشف کرد. </w:t>
      </w:r>
    </w:p>
    <w:p w:rsidR="007F4170" w:rsidRDefault="007F4170" w:rsidP="007F4170">
      <w:pPr>
        <w:pStyle w:val="Heading5"/>
        <w:rPr>
          <w:rtl/>
        </w:rPr>
      </w:pPr>
      <w:bookmarkStart w:id="11" w:name="_Toc123534343"/>
      <w:r>
        <w:rPr>
          <w:rFonts w:hint="cs"/>
          <w:rtl/>
        </w:rPr>
        <w:t>دلیل دوم: مانعیت روایات از کشف ارتکاز</w:t>
      </w:r>
      <w:bookmarkEnd w:id="11"/>
      <w:r>
        <w:rPr>
          <w:rFonts w:hint="cs"/>
          <w:rtl/>
        </w:rPr>
        <w:t xml:space="preserve"> </w:t>
      </w:r>
    </w:p>
    <w:p w:rsidR="000A716E" w:rsidRDefault="00EC2DED" w:rsidP="0062441B">
      <w:pPr>
        <w:jc w:val="both"/>
        <w:rPr>
          <w:rtl/>
        </w:rPr>
      </w:pPr>
      <w:r>
        <w:rPr>
          <w:rFonts w:hint="cs"/>
          <w:rtl/>
        </w:rPr>
        <w:t xml:space="preserve">اگر همین میزان در کشف ارتکاز کافی بود، </w:t>
      </w:r>
      <w:r w:rsidR="000A76F6">
        <w:rPr>
          <w:rFonts w:hint="cs"/>
          <w:rtl/>
        </w:rPr>
        <w:t xml:space="preserve">روایاتی که </w:t>
      </w:r>
      <w:r>
        <w:rPr>
          <w:rFonts w:hint="cs"/>
          <w:rtl/>
        </w:rPr>
        <w:t xml:space="preserve">وجود دارد و از آنها عدم شرطیت قبول و قبض در صدقه استظهار می شود، مانع از کشف ارتکاز بر اعتبار قبول و قبض است. </w:t>
      </w:r>
      <w:r w:rsidR="006B0284">
        <w:rPr>
          <w:rFonts w:hint="cs"/>
          <w:rtl/>
        </w:rPr>
        <w:t xml:space="preserve">اینکه اصحاب </w:t>
      </w:r>
      <w:r w:rsidR="00BE15AE">
        <w:rPr>
          <w:rFonts w:hint="cs"/>
          <w:rtl/>
        </w:rPr>
        <w:t>به این روایات برخورد نکردند یا با وجود دیدن آنها از آن اعراض کردند، احتمال بعید</w:t>
      </w:r>
      <w:r w:rsidR="007F4170">
        <w:rPr>
          <w:rFonts w:hint="cs"/>
          <w:rtl/>
        </w:rPr>
        <w:t>ی</w:t>
      </w:r>
      <w:r w:rsidR="00BE15AE">
        <w:rPr>
          <w:rFonts w:hint="cs"/>
          <w:rtl/>
        </w:rPr>
        <w:t xml:space="preserve"> است و همین روایات مانع کشف ارتکاز معاصر معصوم</w:t>
      </w:r>
      <w:r w:rsidR="00684A53">
        <w:rPr>
          <w:rFonts w:hint="cs"/>
          <w:rtl/>
        </w:rPr>
        <w:t xml:space="preserve"> علیه السلام </w:t>
      </w:r>
      <w:r w:rsidR="00BE15AE">
        <w:rPr>
          <w:rFonts w:hint="cs"/>
          <w:rtl/>
        </w:rPr>
        <w:t xml:space="preserve">است. </w:t>
      </w:r>
    </w:p>
    <w:p w:rsidR="007F4170" w:rsidRPr="007F4170" w:rsidRDefault="007F4170" w:rsidP="007F4170">
      <w:pPr>
        <w:pStyle w:val="Heading4"/>
        <w:rPr>
          <w:rtl/>
        </w:rPr>
      </w:pPr>
      <w:bookmarkStart w:id="12" w:name="_Toc123534344"/>
      <w:r>
        <w:rPr>
          <w:rFonts w:hint="cs"/>
          <w:rtl/>
        </w:rPr>
        <w:t>عدم حجیت اجماع به ملاک تقریر</w:t>
      </w:r>
      <w:bookmarkEnd w:id="12"/>
    </w:p>
    <w:p w:rsidR="007F4170" w:rsidRDefault="007F4170" w:rsidP="007F4170">
      <w:pPr>
        <w:jc w:val="both"/>
        <w:rPr>
          <w:rtl/>
        </w:rPr>
      </w:pPr>
      <w:r>
        <w:rPr>
          <w:rFonts w:hint="cs"/>
          <w:rtl/>
        </w:rPr>
        <w:t>برای حجیت اجماع به ملاک تقریر، باید دو مقدمه اثبات شود:</w:t>
      </w:r>
    </w:p>
    <w:p w:rsidR="007F4170" w:rsidRDefault="007F4170" w:rsidP="007F4170">
      <w:pPr>
        <w:pStyle w:val="ListParagraph"/>
        <w:numPr>
          <w:ilvl w:val="0"/>
          <w:numId w:val="22"/>
        </w:numPr>
        <w:jc w:val="both"/>
      </w:pPr>
      <w:r>
        <w:rPr>
          <w:rFonts w:hint="cs"/>
          <w:rtl/>
        </w:rPr>
        <w:t>اتصال اجماع به زمان معصوم ع؛ این میزان فتاوا اتصال را به زمان معصوم</w:t>
      </w:r>
      <w:r w:rsidR="00684A53">
        <w:rPr>
          <w:rFonts w:hint="cs"/>
          <w:rtl/>
        </w:rPr>
        <w:t xml:space="preserve"> علیه السلام </w:t>
      </w:r>
      <w:r>
        <w:rPr>
          <w:rFonts w:hint="cs"/>
          <w:rtl/>
        </w:rPr>
        <w:t xml:space="preserve">اثبات نمی کند. </w:t>
      </w:r>
    </w:p>
    <w:p w:rsidR="007F4170" w:rsidRDefault="007F4170" w:rsidP="007F4170">
      <w:pPr>
        <w:pStyle w:val="ListParagraph"/>
        <w:numPr>
          <w:ilvl w:val="0"/>
          <w:numId w:val="22"/>
        </w:numPr>
        <w:jc w:val="both"/>
      </w:pPr>
      <w:r>
        <w:rPr>
          <w:rFonts w:hint="cs"/>
          <w:rtl/>
        </w:rPr>
        <w:t xml:space="preserve">تقریر اجماع؛ با وجود روایاتی که تصریح به عدم اعتبار قبول و قبض کرده، کاشف از عدم تقریر است. </w:t>
      </w:r>
    </w:p>
    <w:p w:rsidR="007F4170" w:rsidRDefault="007F4170" w:rsidP="007F4170">
      <w:pPr>
        <w:pStyle w:val="Heading5"/>
        <w:rPr>
          <w:rtl/>
        </w:rPr>
      </w:pPr>
      <w:bookmarkStart w:id="13" w:name="_Toc123534345"/>
      <w:r>
        <w:rPr>
          <w:rFonts w:hint="cs"/>
          <w:rtl/>
        </w:rPr>
        <w:t>دلیل اول: عدم احراز اتصال اجماع به زمان معصوم</w:t>
      </w:r>
      <w:r w:rsidR="00684A53">
        <w:rPr>
          <w:rFonts w:hint="cs"/>
          <w:rtl/>
        </w:rPr>
        <w:t xml:space="preserve"> علیه السلام</w:t>
      </w:r>
      <w:bookmarkEnd w:id="13"/>
      <w:r w:rsidR="00684A53">
        <w:rPr>
          <w:rFonts w:hint="cs"/>
          <w:rtl/>
        </w:rPr>
        <w:t xml:space="preserve"> </w:t>
      </w:r>
    </w:p>
    <w:p w:rsidR="00BA2043" w:rsidRDefault="00213BED" w:rsidP="007F4170">
      <w:pPr>
        <w:jc w:val="both"/>
        <w:rPr>
          <w:rtl/>
        </w:rPr>
      </w:pPr>
      <w:r>
        <w:rPr>
          <w:rFonts w:hint="cs"/>
          <w:rtl/>
        </w:rPr>
        <w:t>نکته</w:t>
      </w:r>
      <w:r w:rsidR="007F4170">
        <w:rPr>
          <w:rFonts w:hint="cs"/>
          <w:rtl/>
        </w:rPr>
        <w:t xml:space="preserve"> ای که مطابق مبنای شهید صدر بیان شد،</w:t>
      </w:r>
      <w:r>
        <w:rPr>
          <w:rFonts w:hint="cs"/>
          <w:rtl/>
        </w:rPr>
        <w:t xml:space="preserve"> درباره مبنای آیت الله </w:t>
      </w:r>
      <w:r w:rsidR="006B0284">
        <w:rPr>
          <w:rFonts w:hint="cs"/>
          <w:rtl/>
        </w:rPr>
        <w:t>والد نیز مطرح می شود که با این فرض که اولین کتاب مذکور، مبسوط است نمی توان نظر اصحاب را کشف کرد. دقت به</w:t>
      </w:r>
      <w:r w:rsidR="00DB62FD">
        <w:rPr>
          <w:rFonts w:hint="cs"/>
          <w:rtl/>
        </w:rPr>
        <w:t xml:space="preserve"> این نکته ضروری است که مبسوط بر</w:t>
      </w:r>
      <w:r w:rsidR="006B0284">
        <w:rPr>
          <w:rFonts w:hint="cs"/>
          <w:rtl/>
        </w:rPr>
        <w:t xml:space="preserve">گرفته از فقه عامه است. </w:t>
      </w:r>
      <w:r w:rsidR="00487E40">
        <w:rPr>
          <w:rFonts w:hint="cs"/>
          <w:rtl/>
        </w:rPr>
        <w:t xml:space="preserve">منابع اصلی مبسوط، فقه شافعی است و برخی از کتبی که شرح و حاشیه کتاب الام شافعی است، منابع مبسوط هستند. </w:t>
      </w:r>
      <w:r w:rsidR="00DB62FD">
        <w:rPr>
          <w:rFonts w:hint="cs"/>
          <w:rtl/>
        </w:rPr>
        <w:t xml:space="preserve">یکی از رفقا مقاله ای درباره منابع مبسوط نوشته است. </w:t>
      </w:r>
      <w:r w:rsidR="007605E1">
        <w:rPr>
          <w:rFonts w:hint="cs"/>
          <w:rtl/>
        </w:rPr>
        <w:t>در الطبقات الشافعیه سبکی</w:t>
      </w:r>
      <w:r w:rsidR="00195AE1">
        <w:rPr>
          <w:rStyle w:val="FootnoteReference"/>
          <w:rtl/>
        </w:rPr>
        <w:footnoteReference w:id="10"/>
      </w:r>
      <w:r w:rsidR="007605E1">
        <w:rPr>
          <w:rFonts w:hint="cs"/>
          <w:rtl/>
        </w:rPr>
        <w:t xml:space="preserve"> شیخ طوسی را جزو شافعیه نام برده است. علت اصلی آن است که شیخ طوسی را نمی شناخته و به کتاب شیخ طوسی که ساختار آن شبیه ساختار کتب شافعی است، برخورد کرده است. </w:t>
      </w:r>
      <w:r w:rsidR="00195AE1">
        <w:rPr>
          <w:rFonts w:hint="cs"/>
          <w:rtl/>
        </w:rPr>
        <w:t>هر یک از فقهای اربعه، یک سبک تبویب و نگارش داشتند و اصطلاحات متفاوتی دارند. تنظیم ابواب و تنظیم مسائل هر یک از ابواب</w:t>
      </w:r>
      <w:r w:rsidR="007F4170">
        <w:rPr>
          <w:rFonts w:hint="cs"/>
          <w:rtl/>
        </w:rPr>
        <w:t xml:space="preserve"> بین مذاهب اربعه</w:t>
      </w:r>
      <w:r w:rsidR="00195AE1">
        <w:rPr>
          <w:rFonts w:hint="cs"/>
          <w:rtl/>
        </w:rPr>
        <w:t xml:space="preserve"> با یکدیگر متفاوت است. خیلی از مواقع می توان با دقت در این تفاوت ها، مذهب نویسنده را کشف کرد. </w:t>
      </w:r>
      <w:r w:rsidR="00BA2043">
        <w:rPr>
          <w:rFonts w:hint="cs"/>
          <w:rtl/>
        </w:rPr>
        <w:t>پس کتاب مبسوط از فقه شافعی گرفته شده و شیخ طوس</w:t>
      </w:r>
      <w:r w:rsidR="007F4170">
        <w:rPr>
          <w:rFonts w:hint="cs"/>
          <w:rtl/>
        </w:rPr>
        <w:t xml:space="preserve">ی نظرات خودش را اعمال کرده است و اهمیتی ندارد که بدانیم چرا شیخ طوسی کتاب شافعی را پذیرفته است. </w:t>
      </w:r>
      <w:r w:rsidR="00CB6841">
        <w:rPr>
          <w:rFonts w:hint="cs"/>
          <w:rtl/>
        </w:rPr>
        <w:t>بر خلاف «النهایه» که کلمات علمای پیشین شیعه است که در آن منتقل شده است. خلاصه آنکه، متن اصلی مبسوط فقه شافعی است و شیخ طوسی آن را پذیرفته است. از عبارت مبسوط نمی توان کشف کرد که فقهای اصحاب ائمه</w:t>
      </w:r>
      <w:r w:rsidR="00684A53">
        <w:rPr>
          <w:rFonts w:hint="cs"/>
          <w:rtl/>
        </w:rPr>
        <w:t xml:space="preserve"> علیهم السلام </w:t>
      </w:r>
      <w:r w:rsidR="00CB6841">
        <w:rPr>
          <w:rFonts w:hint="cs"/>
          <w:rtl/>
        </w:rPr>
        <w:t xml:space="preserve">این مطلب را پذیرفته باشند. به خصوص آنکه سبک مبسوط به قول شیخ طوسی، بر خلاف متعارف فقه شیعه بوده است و از فقه مأثور فاصله گرفته است. ایشان در مقدمه مبسوط اشاره می کند که علت تأخیر کتاب مبسوط این بود: </w:t>
      </w:r>
    </w:p>
    <w:p w:rsidR="00CB6841" w:rsidRDefault="00CB6841" w:rsidP="0062441B">
      <w:pPr>
        <w:jc w:val="both"/>
        <w:rPr>
          <w:color w:val="000080"/>
          <w:rtl/>
        </w:rPr>
      </w:pPr>
      <w:r w:rsidRPr="00CB6841">
        <w:rPr>
          <w:color w:val="000080"/>
          <w:rtl/>
        </w:rPr>
        <w:t>و تضعف نيتي أيضا فيه قلة رغبة هذه الطائفة فيه، و ترك عنايتهم به لأنهم ألقوا الأخبار و ما رووه من صريح الألفاظ حتى أن مسئلة لو غير لفظها و عبر عن معناها بغير اللفظ المعتاد لهم لعجبوا [تعجبوا خ ل] منها و قصر فهمهم عنها</w:t>
      </w:r>
      <w:r>
        <w:rPr>
          <w:rStyle w:val="FootnoteReference"/>
          <w:color w:val="000080"/>
          <w:rtl/>
        </w:rPr>
        <w:footnoteReference w:id="11"/>
      </w:r>
    </w:p>
    <w:p w:rsidR="00CB6841" w:rsidRDefault="00CB6841" w:rsidP="0062441B">
      <w:pPr>
        <w:jc w:val="both"/>
        <w:rPr>
          <w:rtl/>
        </w:rPr>
      </w:pPr>
      <w:r>
        <w:rPr>
          <w:rFonts w:hint="cs"/>
          <w:rtl/>
        </w:rPr>
        <w:t xml:space="preserve">امامیه علاقه مند نبودند که کتابی شبیه مبسوط نوشته شود و علاقه آنها بیشتر به فقه مأثور است. </w:t>
      </w:r>
    </w:p>
    <w:p w:rsidR="00CB6841" w:rsidRDefault="00CB6841" w:rsidP="0062441B">
      <w:pPr>
        <w:jc w:val="both"/>
        <w:rPr>
          <w:rtl/>
        </w:rPr>
      </w:pPr>
      <w:r>
        <w:rPr>
          <w:rFonts w:hint="cs"/>
          <w:rtl/>
        </w:rPr>
        <w:t>بنابراین نمی توان از مطلبی که آغاز آن عبارت مبسوط است و علما آن را ذکر کردند، کشف کرد که فقهای اصحاب ائمه</w:t>
      </w:r>
      <w:r w:rsidR="00684A53">
        <w:rPr>
          <w:rFonts w:hint="cs"/>
          <w:rtl/>
        </w:rPr>
        <w:t xml:space="preserve"> علیهم السلام </w:t>
      </w:r>
      <w:r>
        <w:rPr>
          <w:rFonts w:hint="cs"/>
          <w:rtl/>
        </w:rPr>
        <w:t xml:space="preserve">نیز مطابق آن عمل می کردند. </w:t>
      </w:r>
    </w:p>
    <w:p w:rsidR="007F4170" w:rsidRDefault="007F4170" w:rsidP="007F4170">
      <w:pPr>
        <w:pStyle w:val="Heading5"/>
        <w:rPr>
          <w:rtl/>
        </w:rPr>
      </w:pPr>
      <w:bookmarkStart w:id="14" w:name="_Toc123534346"/>
      <w:r>
        <w:rPr>
          <w:rFonts w:hint="cs"/>
          <w:rtl/>
        </w:rPr>
        <w:t>دلیل دوم: ردع اجماع در روایات</w:t>
      </w:r>
      <w:bookmarkEnd w:id="14"/>
      <w:r>
        <w:rPr>
          <w:rFonts w:hint="cs"/>
          <w:rtl/>
        </w:rPr>
        <w:t xml:space="preserve"> </w:t>
      </w:r>
    </w:p>
    <w:p w:rsidR="007F4170" w:rsidRPr="007F4170" w:rsidRDefault="007F4170" w:rsidP="007F4170">
      <w:pPr>
        <w:rPr>
          <w:rtl/>
        </w:rPr>
      </w:pPr>
      <w:r>
        <w:rPr>
          <w:rFonts w:hint="cs"/>
          <w:rtl/>
        </w:rPr>
        <w:t>دومین مقدمه برای اثبات حجیت اجماع به ملاک تقریر، اثبات تقریر معصومین</w:t>
      </w:r>
      <w:r w:rsidR="00684A53">
        <w:rPr>
          <w:rFonts w:hint="cs"/>
          <w:rtl/>
        </w:rPr>
        <w:t xml:space="preserve"> علیهم السلام </w:t>
      </w:r>
      <w:r>
        <w:rPr>
          <w:rFonts w:hint="cs"/>
          <w:rtl/>
        </w:rPr>
        <w:t>نسبت به اجماع فقهای معاصر ائمه</w:t>
      </w:r>
      <w:r w:rsidR="00684A53">
        <w:rPr>
          <w:rFonts w:hint="cs"/>
          <w:rtl/>
        </w:rPr>
        <w:t xml:space="preserve"> علیهم السلام </w:t>
      </w:r>
      <w:r>
        <w:rPr>
          <w:rFonts w:hint="cs"/>
          <w:rtl/>
        </w:rPr>
        <w:t xml:space="preserve">بود. حتی اگر بتوان از کلام شیخ طوسی در مبسوط، </w:t>
      </w:r>
      <w:r w:rsidR="00E0090D">
        <w:rPr>
          <w:rFonts w:hint="cs"/>
          <w:rtl/>
        </w:rPr>
        <w:t>اجماع اصحاب ائمه</w:t>
      </w:r>
      <w:r w:rsidR="00684A53">
        <w:rPr>
          <w:rFonts w:hint="cs"/>
          <w:rtl/>
        </w:rPr>
        <w:t xml:space="preserve"> علیهم السلام </w:t>
      </w:r>
      <w:r w:rsidR="00E0090D">
        <w:rPr>
          <w:rFonts w:hint="cs"/>
          <w:rtl/>
        </w:rPr>
        <w:t xml:space="preserve">را کشف کرد، اما با روایات این اجماع را ردع کردند و با وجود روایات نمی توان تقریر را اثبات کرد. </w:t>
      </w:r>
    </w:p>
    <w:p w:rsidR="00533429" w:rsidRDefault="00533429" w:rsidP="0062441B">
      <w:pPr>
        <w:jc w:val="both"/>
        <w:rPr>
          <w:rtl/>
        </w:rPr>
      </w:pPr>
      <w:r>
        <w:rPr>
          <w:rFonts w:hint="cs"/>
          <w:rtl/>
        </w:rPr>
        <w:t>در جلسات قبل بر جهت دوم تکیه شد و به همین دلیل وارد جزئیات نشدیم. به ن</w:t>
      </w:r>
      <w:r w:rsidR="007670D4">
        <w:rPr>
          <w:rFonts w:hint="cs"/>
          <w:rtl/>
        </w:rPr>
        <w:t xml:space="preserve">ظر می رسد نکته اول، مهم تر است زیرا </w:t>
      </w:r>
      <w:r>
        <w:rPr>
          <w:rFonts w:hint="cs"/>
          <w:rtl/>
        </w:rPr>
        <w:t>اگر فرض کنیم همه فقهای اصحاب ائمه</w:t>
      </w:r>
      <w:r w:rsidR="00684A53">
        <w:rPr>
          <w:rFonts w:hint="cs"/>
          <w:rtl/>
        </w:rPr>
        <w:t xml:space="preserve"> علیهم السلام </w:t>
      </w:r>
      <w:r>
        <w:rPr>
          <w:rFonts w:hint="cs"/>
          <w:rtl/>
        </w:rPr>
        <w:t xml:space="preserve">قبول و قبض را در صدقه معتبر دانسته باشند، </w:t>
      </w:r>
      <w:r w:rsidR="007670D4">
        <w:rPr>
          <w:rFonts w:hint="cs"/>
          <w:rtl/>
        </w:rPr>
        <w:t xml:space="preserve">همین مطلب </w:t>
      </w:r>
      <w:r>
        <w:rPr>
          <w:rFonts w:hint="cs"/>
          <w:rtl/>
        </w:rPr>
        <w:t xml:space="preserve">می تواند شاهد بر عدم صحت فهم </w:t>
      </w:r>
      <w:r w:rsidR="007670D4">
        <w:rPr>
          <w:rFonts w:hint="cs"/>
          <w:rtl/>
        </w:rPr>
        <w:t xml:space="preserve">ما </w:t>
      </w:r>
      <w:r>
        <w:rPr>
          <w:rFonts w:hint="cs"/>
          <w:rtl/>
        </w:rPr>
        <w:t xml:space="preserve">از روایات باشد. </w:t>
      </w:r>
      <w:r w:rsidR="007670D4">
        <w:rPr>
          <w:rFonts w:hint="cs"/>
          <w:rtl/>
        </w:rPr>
        <w:t xml:space="preserve">هر چند </w:t>
      </w:r>
      <w:r w:rsidR="00790515">
        <w:rPr>
          <w:rFonts w:hint="cs"/>
          <w:rtl/>
        </w:rPr>
        <w:t>به نظر ما ظاهر روایات این است که قبول و قبض در صدقه معتبر نیست. حال اگر فقهای اصحاب ائمه</w:t>
      </w:r>
      <w:r w:rsidR="00684A53">
        <w:rPr>
          <w:rFonts w:hint="cs"/>
          <w:rtl/>
        </w:rPr>
        <w:t xml:space="preserve"> علیهم السلام </w:t>
      </w:r>
      <w:r w:rsidR="00790515">
        <w:rPr>
          <w:rFonts w:hint="cs"/>
          <w:rtl/>
        </w:rPr>
        <w:t xml:space="preserve">که خودشان این روایات را نقل کردند و قائل به اعتبار قبول و قبض نشدند، کاشف از آن است که فهم آنها از روایات به نحوی دیگر بوده است. </w:t>
      </w:r>
    </w:p>
    <w:p w:rsidR="00790515" w:rsidRDefault="00790515" w:rsidP="0062441B">
      <w:pPr>
        <w:jc w:val="both"/>
        <w:rPr>
          <w:rtl/>
        </w:rPr>
      </w:pPr>
      <w:r>
        <w:rPr>
          <w:rFonts w:hint="cs"/>
          <w:rtl/>
        </w:rPr>
        <w:t xml:space="preserve">بنابراین عمده نکته اول است که با توجه </w:t>
      </w:r>
      <w:r w:rsidR="00794A91">
        <w:rPr>
          <w:rFonts w:hint="cs"/>
          <w:rtl/>
        </w:rPr>
        <w:t>به اینکه این فتاوا از مبسوط شروع شد و روایات بر خلاف است، نمی توان اثبات کرد که فقهای معاصر ائمه</w:t>
      </w:r>
      <w:r w:rsidR="00684A53">
        <w:rPr>
          <w:rFonts w:hint="cs"/>
          <w:rtl/>
        </w:rPr>
        <w:t xml:space="preserve"> علیهم السلام </w:t>
      </w:r>
      <w:r w:rsidR="00794A91">
        <w:rPr>
          <w:rFonts w:hint="cs"/>
          <w:rtl/>
        </w:rPr>
        <w:t>در صدقه قب</w:t>
      </w:r>
      <w:r w:rsidR="007670D4">
        <w:rPr>
          <w:rFonts w:hint="cs"/>
          <w:rtl/>
        </w:rPr>
        <w:t xml:space="preserve">ول و قبض را معتبر دانسته باشند و </w:t>
      </w:r>
      <w:r w:rsidR="00167DE0">
        <w:rPr>
          <w:rFonts w:hint="cs"/>
          <w:rtl/>
        </w:rPr>
        <w:t xml:space="preserve">بحث دوم ذوقی </w:t>
      </w:r>
      <w:r w:rsidR="007670D4">
        <w:rPr>
          <w:rFonts w:hint="cs"/>
          <w:rtl/>
        </w:rPr>
        <w:t xml:space="preserve">و مبنایی </w:t>
      </w:r>
      <w:r w:rsidR="00167DE0">
        <w:rPr>
          <w:rFonts w:hint="cs"/>
          <w:rtl/>
        </w:rPr>
        <w:t xml:space="preserve">است که دو مشی مختلف میان فقها درباره آن وجود دارد: </w:t>
      </w:r>
    </w:p>
    <w:p w:rsidR="00167DE0" w:rsidRDefault="00167DE0" w:rsidP="0062441B">
      <w:pPr>
        <w:pStyle w:val="ListParagraph"/>
        <w:numPr>
          <w:ilvl w:val="0"/>
          <w:numId w:val="23"/>
        </w:numPr>
        <w:jc w:val="both"/>
      </w:pPr>
      <w:r>
        <w:rPr>
          <w:rFonts w:hint="cs"/>
          <w:rtl/>
        </w:rPr>
        <w:t>مشی مشهوری ها؛ به این معنا که با وجود فتوای مشهور، روایت بر خلاف را با اعراض مشهور از حجیت ساقط می دانند و اگر از روایت به نحوی دیگر استظهار شود، با تمسک به ف</w:t>
      </w:r>
      <w:r w:rsidR="00D31D04">
        <w:rPr>
          <w:rFonts w:hint="cs"/>
          <w:rtl/>
        </w:rPr>
        <w:t xml:space="preserve">هم مشهور وهن دلالت روایت را جبران می کنند. این نوع مشی در کلام علمایی مانند صاحب جواهر مشاهده می شود. </w:t>
      </w:r>
    </w:p>
    <w:p w:rsidR="00D31D04" w:rsidRDefault="00D31D04" w:rsidP="0062441B">
      <w:pPr>
        <w:pStyle w:val="ListParagraph"/>
        <w:numPr>
          <w:ilvl w:val="0"/>
          <w:numId w:val="23"/>
        </w:numPr>
        <w:jc w:val="both"/>
      </w:pPr>
      <w:r>
        <w:rPr>
          <w:rFonts w:hint="cs"/>
          <w:rtl/>
        </w:rPr>
        <w:t>مشی دیگر؛ علمایی مانند آقای خویی به راحتی ا</w:t>
      </w:r>
      <w:r w:rsidR="007670D4">
        <w:rPr>
          <w:rFonts w:hint="cs"/>
          <w:rtl/>
        </w:rPr>
        <w:t xml:space="preserve">شتباه را به مشهور نسبت می دهند و با وجود فهم متفاوت مشهور از روایت، مطابق فهم خودشان از روایت فتوا می دهند. </w:t>
      </w:r>
    </w:p>
    <w:p w:rsidR="00D31D04" w:rsidRDefault="006D1A5B" w:rsidP="0062441B">
      <w:pPr>
        <w:jc w:val="both"/>
        <w:rPr>
          <w:rtl/>
        </w:rPr>
      </w:pPr>
      <w:r>
        <w:rPr>
          <w:rFonts w:hint="cs"/>
          <w:rtl/>
        </w:rPr>
        <w:t>در مقام داوری بین این دو مبنا نیستیم و تنها مقصود این است که اشکال دوم مبنایی است. اگر مطابق مبنای آقای خویی مشی شود، اشکال دوم نیز وارد است و روایات با اعراض مشهور از حجیت ساقط نمی شود.</w:t>
      </w:r>
      <w:r w:rsidR="0062441B">
        <w:rPr>
          <w:rStyle w:val="FootnoteReference"/>
          <w:rtl/>
        </w:rPr>
        <w:footnoteReference w:id="12"/>
      </w:r>
      <w:r>
        <w:rPr>
          <w:rFonts w:hint="cs"/>
          <w:rtl/>
        </w:rPr>
        <w:t xml:space="preserve"> </w:t>
      </w:r>
    </w:p>
    <w:p w:rsidR="007670D4" w:rsidRDefault="007670D4" w:rsidP="007670D4">
      <w:pPr>
        <w:pStyle w:val="Heading2"/>
        <w:rPr>
          <w:rtl/>
        </w:rPr>
      </w:pPr>
      <w:bookmarkStart w:id="15" w:name="_Toc123534347"/>
      <w:r>
        <w:rPr>
          <w:rFonts w:hint="cs"/>
          <w:rtl/>
        </w:rPr>
        <w:t>جمع بندی و نتیجه گیری</w:t>
      </w:r>
      <w:bookmarkEnd w:id="15"/>
      <w:r>
        <w:rPr>
          <w:rFonts w:hint="cs"/>
          <w:rtl/>
        </w:rPr>
        <w:t xml:space="preserve"> </w:t>
      </w:r>
    </w:p>
    <w:p w:rsidR="00C85B60" w:rsidRDefault="00C85B60" w:rsidP="0062441B">
      <w:pPr>
        <w:jc w:val="both"/>
        <w:rPr>
          <w:rtl/>
        </w:rPr>
      </w:pPr>
      <w:r>
        <w:rPr>
          <w:rFonts w:hint="cs"/>
          <w:rtl/>
        </w:rPr>
        <w:t>برای اینکه بحث متوقف بر مبنای خاص نشود، تکیه بر اشکال اول است که آغاز این مطلب در مبسوط است و در فقه مأثور اثری از آن مشاهده نمی شود، به خصوص آنکه ابوالصلاح حلبی بر خلاف آن دارد، نمی توان فتوای فقهای معاصر ائمه</w:t>
      </w:r>
      <w:r w:rsidR="00684A53">
        <w:rPr>
          <w:rFonts w:hint="cs"/>
          <w:rtl/>
        </w:rPr>
        <w:t xml:space="preserve"> علیهم السلام </w:t>
      </w:r>
      <w:r>
        <w:rPr>
          <w:rFonts w:hint="cs"/>
          <w:rtl/>
        </w:rPr>
        <w:t xml:space="preserve">را کشف کرد. ابوالصلاح بزرگ تر از شیخ طوسی بوده اما شاگرد شیخ نیز بوده است. ظاهرا تنها کسی از معاصرین شیخ طوسی که ایشان در رجال از او نام برده، ابوالصلاح است. علت آن این است که ابوالصلاح بزرگ تر بوده است اما در درس شیخ طوسی شرکت می کرده است. شیخ طوسی در رجال می نویسد: </w:t>
      </w:r>
    </w:p>
    <w:p w:rsidR="00C85B60" w:rsidRDefault="00C85B60" w:rsidP="0062441B">
      <w:pPr>
        <w:jc w:val="both"/>
        <w:rPr>
          <w:color w:val="000080"/>
          <w:rtl/>
        </w:rPr>
      </w:pPr>
      <w:r w:rsidRPr="00C85B60">
        <w:rPr>
          <w:color w:val="000080"/>
          <w:rtl/>
        </w:rPr>
        <w:t>تقي بن نجم الحلبي ثقة له كتب قرأ علينا و على المرتضى.</w:t>
      </w:r>
      <w:r>
        <w:rPr>
          <w:rStyle w:val="FootnoteReference"/>
          <w:color w:val="000080"/>
          <w:rtl/>
        </w:rPr>
        <w:footnoteReference w:id="13"/>
      </w:r>
    </w:p>
    <w:p w:rsidR="00C85B60" w:rsidRDefault="00C85B60" w:rsidP="0062441B">
      <w:pPr>
        <w:jc w:val="both"/>
        <w:rPr>
          <w:rtl/>
        </w:rPr>
      </w:pPr>
      <w:r>
        <w:rPr>
          <w:rFonts w:hint="cs"/>
          <w:rtl/>
        </w:rPr>
        <w:t>حلبی متولد 334 و متوفی 447 است و شیخ طوسی متولد 38</w:t>
      </w:r>
      <w:r w:rsidR="007670D4">
        <w:rPr>
          <w:rFonts w:hint="cs"/>
          <w:rtl/>
        </w:rPr>
        <w:t>5 و متوفی 460 است. با این وجود،</w:t>
      </w:r>
      <w:r>
        <w:rPr>
          <w:rFonts w:hint="cs"/>
          <w:rtl/>
        </w:rPr>
        <w:t xml:space="preserve"> ابوا</w:t>
      </w:r>
      <w:r w:rsidR="007670D4">
        <w:rPr>
          <w:rFonts w:hint="cs"/>
          <w:rtl/>
        </w:rPr>
        <w:t xml:space="preserve">لصلاح شاگرد شیخ طوسی بوده است. هر چند </w:t>
      </w:r>
      <w:r>
        <w:rPr>
          <w:rFonts w:hint="cs"/>
          <w:rtl/>
        </w:rPr>
        <w:t xml:space="preserve">شاید پیش او فقه نخوانده باشد. در آن دوره، زعیم امامیه کسی بوده که متکلّم و فقیه باشد و متکلّم بودن از فقاهت مهم تر بوده است. تعبیراتی که در برخی از نسخ قدیمی از شیخ طوسی تعبیر شده، رئیس المتکلمین است. </w:t>
      </w:r>
      <w:r w:rsidR="007670D4">
        <w:rPr>
          <w:rFonts w:hint="cs"/>
          <w:rtl/>
        </w:rPr>
        <w:t>همچنین</w:t>
      </w:r>
      <w:r w:rsidR="00BE7059">
        <w:rPr>
          <w:rFonts w:hint="cs"/>
          <w:rtl/>
        </w:rPr>
        <w:t xml:space="preserve"> کتاب جمل العلم </w:t>
      </w:r>
      <w:r w:rsidR="007670D4">
        <w:rPr>
          <w:rFonts w:hint="cs"/>
          <w:rtl/>
        </w:rPr>
        <w:t xml:space="preserve">و العمل توسط دو نفر از شاگردان سید مرتضی، </w:t>
      </w:r>
      <w:r w:rsidR="00BE7059">
        <w:rPr>
          <w:rFonts w:hint="cs"/>
          <w:rtl/>
        </w:rPr>
        <w:t xml:space="preserve">شرح شده است. قسمت فقه توسط ابن برّاج و قسمت کلام توسط شیخ طوسی شرح شده است. احتمالا هر دو به توصیه سید مرتضی صورت گرفته و چون شیخ طوسی مبرّزتر بوده، قسمت کلام به او واگذار شده است. شاید ابوالصلاح نزد شیخ طوسی و سید مرتضی، کلام خوانده باشد. به </w:t>
      </w:r>
      <w:r>
        <w:rPr>
          <w:rFonts w:hint="cs"/>
          <w:rtl/>
        </w:rPr>
        <w:t>هر حال کتاب ابوالصلاح کاملا مستقل از</w:t>
      </w:r>
      <w:r w:rsidR="00BE7059">
        <w:rPr>
          <w:rFonts w:hint="cs"/>
          <w:rtl/>
        </w:rPr>
        <w:t xml:space="preserve"> کتاب شیخ طوسی است.</w:t>
      </w:r>
    </w:p>
    <w:p w:rsidR="00BE7059" w:rsidRDefault="00DB17A2" w:rsidP="0062441B">
      <w:pPr>
        <w:jc w:val="both"/>
        <w:rPr>
          <w:rtl/>
        </w:rPr>
      </w:pPr>
      <w:r>
        <w:rPr>
          <w:rFonts w:hint="cs"/>
          <w:rtl/>
        </w:rPr>
        <w:t xml:space="preserve">بعد از شیخ طوسی، بسیار از فقها مانند ابن برّاج و راوندی اتباع الشیخ هستند. محقق حلی نیز با وجود استقلالی که دارد، در مکتب شیخ طوسی می گنجد. در نتیجه، این فتوا در مکتب شیخ طوسی است. به همین دلیل نمی توان با مکتب شیخ طوسی، نظر فقهایی که مستقل از این مکتب هستند را کشف کرد. </w:t>
      </w:r>
    </w:p>
    <w:p w:rsidR="00000F51" w:rsidRPr="00C85B60" w:rsidRDefault="00DB17A2" w:rsidP="00DC3FE6">
      <w:pPr>
        <w:pStyle w:val="2"/>
        <w:rPr>
          <w:rtl/>
        </w:rPr>
      </w:pPr>
      <w:r>
        <w:rPr>
          <w:rFonts w:hint="cs"/>
          <w:rtl/>
        </w:rPr>
        <w:t>در نتیجه نمی توان اجماع معاصر معاصر معصومین</w:t>
      </w:r>
      <w:r w:rsidR="00684A53">
        <w:rPr>
          <w:rFonts w:hint="cs"/>
          <w:rtl/>
        </w:rPr>
        <w:t xml:space="preserve"> علیهم السلام </w:t>
      </w:r>
      <w:r>
        <w:rPr>
          <w:rFonts w:hint="cs"/>
          <w:rtl/>
        </w:rPr>
        <w:t>یا ار</w:t>
      </w:r>
      <w:r w:rsidR="007670D4">
        <w:rPr>
          <w:rFonts w:hint="cs"/>
          <w:rtl/>
        </w:rPr>
        <w:t>تکاز معاصر معصومین</w:t>
      </w:r>
      <w:r w:rsidR="00684A53">
        <w:rPr>
          <w:rFonts w:hint="cs"/>
          <w:rtl/>
        </w:rPr>
        <w:t xml:space="preserve"> علیهم السلام </w:t>
      </w:r>
      <w:r w:rsidR="007670D4">
        <w:rPr>
          <w:rFonts w:hint="cs"/>
          <w:rtl/>
        </w:rPr>
        <w:t>را</w:t>
      </w:r>
      <w:r>
        <w:rPr>
          <w:rFonts w:hint="cs"/>
          <w:rtl/>
        </w:rPr>
        <w:t xml:space="preserve"> کشف کرد. بنابراین باید ب</w:t>
      </w:r>
      <w:r w:rsidR="0062441B">
        <w:rPr>
          <w:rFonts w:hint="cs"/>
          <w:rtl/>
        </w:rPr>
        <w:t xml:space="preserve">ه خود روایات توجه کرد و به جمع بندی به روایات باید اخذ کرد. </w:t>
      </w:r>
    </w:p>
    <w:sectPr w:rsidR="00000F51" w:rsidRPr="00C85B60" w:rsidSect="00F91B85">
      <w:headerReference w:type="default"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687" w:rsidRDefault="00645687" w:rsidP="008B750B">
      <w:pPr>
        <w:spacing w:line="240" w:lineRule="auto"/>
      </w:pPr>
      <w:r>
        <w:separator/>
      </w:r>
    </w:p>
  </w:endnote>
  <w:endnote w:type="continuationSeparator" w:id="0">
    <w:p w:rsidR="00645687" w:rsidRDefault="0064568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altName w:val="Arial"/>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Alaem">
    <w:altName w:val="Times New Roman"/>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5F070E" w:rsidRPr="006D44C1" w:rsidTr="0020241A">
      <w:tc>
        <w:tcPr>
          <w:tcW w:w="3382" w:type="dxa"/>
          <w:tcBorders>
            <w:top w:val="nil"/>
            <w:left w:val="nil"/>
            <w:bottom w:val="nil"/>
            <w:right w:val="nil"/>
          </w:tcBorders>
        </w:tcPr>
        <w:p w:rsidR="005F070E" w:rsidRDefault="005F070E"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5F070E" w:rsidRDefault="005F070E" w:rsidP="006D44C1">
          <w:pPr>
            <w:pStyle w:val="Footer"/>
            <w:jc w:val="right"/>
            <w:rPr>
              <w:rtl/>
            </w:rPr>
          </w:pPr>
          <w:r>
            <w:rPr>
              <w:rFonts w:hint="cs"/>
              <w:rtl/>
            </w:rPr>
            <w:t xml:space="preserve">صفحه </w:t>
          </w:r>
          <w:r>
            <w:fldChar w:fldCharType="begin"/>
          </w:r>
          <w:r>
            <w:instrText>PAGE   \* MERGEFORMAT</w:instrText>
          </w:r>
          <w:r>
            <w:fldChar w:fldCharType="separate"/>
          </w:r>
          <w:r w:rsidR="00B82FD3" w:rsidRPr="00B82FD3">
            <w:rPr>
              <w:noProof/>
              <w:rtl/>
              <w:lang w:val="fa-IR"/>
            </w:rPr>
            <w:t>1</w:t>
          </w:r>
          <w:r>
            <w:rPr>
              <w:noProof/>
            </w:rPr>
            <w:fldChar w:fldCharType="end"/>
          </w:r>
        </w:p>
      </w:tc>
      <w:tc>
        <w:tcPr>
          <w:tcW w:w="4786" w:type="dxa"/>
          <w:tcBorders>
            <w:top w:val="nil"/>
            <w:left w:val="nil"/>
            <w:bottom w:val="nil"/>
            <w:right w:val="nil"/>
          </w:tcBorders>
          <w:vAlign w:val="center"/>
        </w:tcPr>
        <w:p w:rsidR="005F070E" w:rsidRPr="006D44C1" w:rsidRDefault="005F070E" w:rsidP="001B6799">
          <w:pPr>
            <w:pStyle w:val="Footer"/>
            <w:bidi w:val="0"/>
            <w:rPr>
              <w:color w:val="808080" w:themeColor="background1" w:themeShade="80"/>
              <w:rtl/>
            </w:rPr>
          </w:pPr>
          <w:bookmarkStart w:id="23" w:name="BokAdres"/>
          <w:bookmarkEnd w:id="23"/>
          <w:r>
            <w:rPr>
              <w:color w:val="808080" w:themeColor="background1" w:themeShade="80"/>
            </w:rPr>
            <w:t>F1js1_14011010-051_mk3_mfeb.ir</w:t>
          </w:r>
        </w:p>
      </w:tc>
    </w:tr>
  </w:tbl>
  <w:p w:rsidR="005F070E" w:rsidRDefault="005F070E"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687" w:rsidRDefault="00645687" w:rsidP="008B750B">
      <w:pPr>
        <w:spacing w:line="240" w:lineRule="auto"/>
      </w:pPr>
      <w:r>
        <w:separator/>
      </w:r>
    </w:p>
  </w:footnote>
  <w:footnote w:type="continuationSeparator" w:id="0">
    <w:p w:rsidR="00645687" w:rsidRDefault="00645687" w:rsidP="008B750B">
      <w:pPr>
        <w:spacing w:line="240" w:lineRule="auto"/>
      </w:pPr>
      <w:r>
        <w:continuationSeparator/>
      </w:r>
    </w:p>
  </w:footnote>
  <w:footnote w:id="1">
    <w:p w:rsidR="005F070E" w:rsidRPr="00990406" w:rsidRDefault="005F070E" w:rsidP="00990406">
      <w:pPr>
        <w:pStyle w:val="FootnoteText"/>
      </w:pPr>
      <w:r w:rsidRPr="00990406">
        <w:footnoteRef/>
      </w:r>
      <w:r w:rsidRPr="00990406">
        <w:rPr>
          <w:rtl/>
        </w:rPr>
        <w:t xml:space="preserve"> </w:t>
      </w:r>
      <w:hyperlink r:id="rId1" w:history="1">
        <w:r w:rsidRPr="00990406">
          <w:rPr>
            <w:rStyle w:val="Hyperlink"/>
            <w:rtl/>
          </w:rPr>
          <w:t>المبسوط ف</w:t>
        </w:r>
        <w:r w:rsidRPr="00990406">
          <w:rPr>
            <w:rStyle w:val="Hyperlink"/>
            <w:rFonts w:hint="cs"/>
            <w:rtl/>
          </w:rPr>
          <w:t>ی</w:t>
        </w:r>
        <w:r w:rsidRPr="00990406">
          <w:rPr>
            <w:rStyle w:val="Hyperlink"/>
            <w:rtl/>
          </w:rPr>
          <w:t xml:space="preserve"> فقه الإمام</w:t>
        </w:r>
        <w:r w:rsidRPr="00990406">
          <w:rPr>
            <w:rStyle w:val="Hyperlink"/>
            <w:rFonts w:hint="cs"/>
            <w:rtl/>
          </w:rPr>
          <w:t>ی</w:t>
        </w:r>
        <w:r w:rsidRPr="00990406">
          <w:rPr>
            <w:rStyle w:val="Hyperlink"/>
            <w:rFonts w:hint="eastAsia"/>
            <w:rtl/>
          </w:rPr>
          <w:t>ة،</w:t>
        </w:r>
        <w:r w:rsidRPr="00990406">
          <w:rPr>
            <w:rStyle w:val="Hyperlink"/>
            <w:rtl/>
          </w:rPr>
          <w:t xml:space="preserve"> ش</w:t>
        </w:r>
        <w:r w:rsidRPr="00990406">
          <w:rPr>
            <w:rStyle w:val="Hyperlink"/>
            <w:rFonts w:hint="cs"/>
            <w:rtl/>
          </w:rPr>
          <w:t>ی</w:t>
        </w:r>
        <w:r w:rsidRPr="00990406">
          <w:rPr>
            <w:rStyle w:val="Hyperlink"/>
            <w:rFonts w:hint="eastAsia"/>
            <w:rtl/>
          </w:rPr>
          <w:t>خ</w:t>
        </w:r>
        <w:r w:rsidRPr="00990406">
          <w:rPr>
            <w:rStyle w:val="Hyperlink"/>
            <w:rtl/>
          </w:rPr>
          <w:t xml:space="preserve"> طوس</w:t>
        </w:r>
        <w:r w:rsidRPr="00990406">
          <w:rPr>
            <w:rStyle w:val="Hyperlink"/>
            <w:rFonts w:hint="cs"/>
            <w:rtl/>
          </w:rPr>
          <w:t>ی</w:t>
        </w:r>
        <w:r w:rsidRPr="00990406">
          <w:rPr>
            <w:rStyle w:val="Hyperlink"/>
            <w:rFonts w:hint="eastAsia"/>
            <w:rtl/>
          </w:rPr>
          <w:t>،</w:t>
        </w:r>
        <w:r w:rsidRPr="00990406">
          <w:rPr>
            <w:rStyle w:val="Hyperlink"/>
            <w:rtl/>
          </w:rPr>
          <w:t xml:space="preserve"> ج3، ص314</w:t>
        </w:r>
        <w:r w:rsidRPr="00990406">
          <w:rPr>
            <w:rStyle w:val="Hyperlink"/>
          </w:rPr>
          <w:t>.</w:t>
        </w:r>
      </w:hyperlink>
    </w:p>
  </w:footnote>
  <w:footnote w:id="2">
    <w:p w:rsidR="005F070E" w:rsidRPr="00A4473D" w:rsidRDefault="005F070E" w:rsidP="00A4473D">
      <w:pPr>
        <w:pStyle w:val="FootnoteText"/>
      </w:pPr>
      <w:r w:rsidRPr="00A4473D">
        <w:footnoteRef/>
      </w:r>
      <w:r w:rsidRPr="00A4473D">
        <w:rPr>
          <w:rtl/>
        </w:rPr>
        <w:t xml:space="preserve"> </w:t>
      </w:r>
      <w:hyperlink r:id="rId2" w:history="1">
        <w:r w:rsidRPr="00A4473D">
          <w:rPr>
            <w:rStyle w:val="Hyperlink"/>
            <w:rtl/>
          </w:rPr>
          <w:t>المهذب، ابن البرّاج، ج2، ص86</w:t>
        </w:r>
        <w:r w:rsidRPr="00A4473D">
          <w:rPr>
            <w:rStyle w:val="Hyperlink"/>
          </w:rPr>
          <w:t>.</w:t>
        </w:r>
      </w:hyperlink>
    </w:p>
  </w:footnote>
  <w:footnote w:id="3">
    <w:p w:rsidR="005F070E" w:rsidRPr="00511876" w:rsidRDefault="005F070E" w:rsidP="00511876">
      <w:pPr>
        <w:pStyle w:val="FootnoteText"/>
      </w:pPr>
      <w:r w:rsidRPr="00511876">
        <w:footnoteRef/>
      </w:r>
      <w:r w:rsidRPr="00511876">
        <w:rPr>
          <w:rtl/>
        </w:rPr>
        <w:t xml:space="preserve"> </w:t>
      </w:r>
      <w:hyperlink r:id="rId3" w:history="1">
        <w:r w:rsidRPr="00511876">
          <w:rPr>
            <w:rStyle w:val="Hyperlink"/>
            <w:rtl/>
          </w:rPr>
          <w:t xml:space="preserve">شرائع الإسلام، جعفر بن الحسن بن </w:t>
        </w:r>
        <w:r w:rsidRPr="00511876">
          <w:rPr>
            <w:rStyle w:val="Hyperlink"/>
            <w:rFonts w:hint="cs"/>
            <w:rtl/>
          </w:rPr>
          <w:t>ی</w:t>
        </w:r>
        <w:r w:rsidRPr="00511876">
          <w:rPr>
            <w:rStyle w:val="Hyperlink"/>
            <w:rFonts w:hint="eastAsia"/>
            <w:rtl/>
          </w:rPr>
          <w:t>ح</w:t>
        </w:r>
        <w:r w:rsidRPr="00511876">
          <w:rPr>
            <w:rStyle w:val="Hyperlink"/>
            <w:rFonts w:hint="cs"/>
            <w:rtl/>
          </w:rPr>
          <w:t>یی</w:t>
        </w:r>
        <w:r w:rsidRPr="00511876">
          <w:rPr>
            <w:rStyle w:val="Hyperlink"/>
            <w:rtl/>
          </w:rPr>
          <w:t xml:space="preserve"> (المحقق الحلّ</w:t>
        </w:r>
        <w:r w:rsidRPr="00511876">
          <w:rPr>
            <w:rStyle w:val="Hyperlink"/>
            <w:rFonts w:hint="cs"/>
            <w:rtl/>
          </w:rPr>
          <w:t>ی</w:t>
        </w:r>
        <w:r w:rsidRPr="00511876">
          <w:rPr>
            <w:rStyle w:val="Hyperlink"/>
            <w:rtl/>
          </w:rPr>
          <w:t>)، ج2، ص176</w:t>
        </w:r>
        <w:r w:rsidRPr="00511876">
          <w:rPr>
            <w:rStyle w:val="Hyperlink"/>
          </w:rPr>
          <w:t>.</w:t>
        </w:r>
      </w:hyperlink>
    </w:p>
  </w:footnote>
  <w:footnote w:id="4">
    <w:p w:rsidR="005F070E" w:rsidRPr="00511876" w:rsidRDefault="005F070E" w:rsidP="00511876">
      <w:pPr>
        <w:pStyle w:val="FootnoteText"/>
      </w:pPr>
      <w:r w:rsidRPr="00511876">
        <w:footnoteRef/>
      </w:r>
      <w:r w:rsidRPr="00511876">
        <w:rPr>
          <w:rtl/>
        </w:rPr>
        <w:t xml:space="preserve"> </w:t>
      </w:r>
      <w:hyperlink r:id="rId4" w:history="1">
        <w:r w:rsidRPr="00511876">
          <w:rPr>
            <w:rStyle w:val="Hyperlink"/>
            <w:rtl/>
          </w:rPr>
          <w:t xml:space="preserve">شرائع الإسلام، جعفر بن الحسن بن </w:t>
        </w:r>
        <w:r w:rsidRPr="00511876">
          <w:rPr>
            <w:rStyle w:val="Hyperlink"/>
            <w:rFonts w:hint="cs"/>
            <w:rtl/>
          </w:rPr>
          <w:t>ی</w:t>
        </w:r>
        <w:r w:rsidRPr="00511876">
          <w:rPr>
            <w:rStyle w:val="Hyperlink"/>
            <w:rFonts w:hint="eastAsia"/>
            <w:rtl/>
          </w:rPr>
          <w:t>ح</w:t>
        </w:r>
        <w:r w:rsidRPr="00511876">
          <w:rPr>
            <w:rStyle w:val="Hyperlink"/>
            <w:rFonts w:hint="cs"/>
            <w:rtl/>
          </w:rPr>
          <w:t>یی</w:t>
        </w:r>
        <w:r w:rsidRPr="00511876">
          <w:rPr>
            <w:rStyle w:val="Hyperlink"/>
            <w:rtl/>
          </w:rPr>
          <w:t xml:space="preserve"> (المحقق الحلّ</w:t>
        </w:r>
        <w:r w:rsidRPr="00511876">
          <w:rPr>
            <w:rStyle w:val="Hyperlink"/>
            <w:rFonts w:hint="cs"/>
            <w:rtl/>
          </w:rPr>
          <w:t>ی</w:t>
        </w:r>
        <w:r w:rsidRPr="00511876">
          <w:rPr>
            <w:rStyle w:val="Hyperlink"/>
            <w:rtl/>
          </w:rPr>
          <w:t>)، ج2، ص176</w:t>
        </w:r>
        <w:r w:rsidRPr="00511876">
          <w:rPr>
            <w:rStyle w:val="Hyperlink"/>
          </w:rPr>
          <w:t>.</w:t>
        </w:r>
      </w:hyperlink>
    </w:p>
  </w:footnote>
  <w:footnote w:id="5">
    <w:p w:rsidR="005F070E" w:rsidRPr="001E5AF4" w:rsidRDefault="005F070E" w:rsidP="001E5AF4">
      <w:pPr>
        <w:pStyle w:val="FootnoteText"/>
      </w:pPr>
      <w:r w:rsidRPr="001E5AF4">
        <w:footnoteRef/>
      </w:r>
      <w:r w:rsidRPr="001E5AF4">
        <w:rPr>
          <w:rtl/>
        </w:rPr>
        <w:t xml:space="preserve"> </w:t>
      </w:r>
      <w:hyperlink r:id="rId5" w:history="1">
        <w:r w:rsidRPr="001E5AF4">
          <w:rPr>
            <w:rStyle w:val="Hyperlink"/>
            <w:rtl/>
          </w:rPr>
          <w:t>تهذ</w:t>
        </w:r>
        <w:r w:rsidRPr="001E5AF4">
          <w:rPr>
            <w:rStyle w:val="Hyperlink"/>
            <w:rFonts w:hint="cs"/>
            <w:rtl/>
          </w:rPr>
          <w:t>ی</w:t>
        </w:r>
        <w:r w:rsidRPr="001E5AF4">
          <w:rPr>
            <w:rStyle w:val="Hyperlink"/>
            <w:rFonts w:hint="eastAsia"/>
            <w:rtl/>
          </w:rPr>
          <w:t>ب</w:t>
        </w:r>
        <w:r w:rsidRPr="001E5AF4">
          <w:rPr>
            <w:rStyle w:val="Hyperlink"/>
            <w:rtl/>
          </w:rPr>
          <w:t xml:space="preserve"> الاحکام، ش</w:t>
        </w:r>
        <w:r w:rsidRPr="001E5AF4">
          <w:rPr>
            <w:rStyle w:val="Hyperlink"/>
            <w:rFonts w:hint="cs"/>
            <w:rtl/>
          </w:rPr>
          <w:t>ی</w:t>
        </w:r>
        <w:r w:rsidRPr="001E5AF4">
          <w:rPr>
            <w:rStyle w:val="Hyperlink"/>
            <w:rFonts w:hint="eastAsia"/>
            <w:rtl/>
          </w:rPr>
          <w:t>خ</w:t>
        </w:r>
        <w:r w:rsidRPr="001E5AF4">
          <w:rPr>
            <w:rStyle w:val="Hyperlink"/>
            <w:rtl/>
          </w:rPr>
          <w:t xml:space="preserve"> طوس</w:t>
        </w:r>
        <w:r w:rsidRPr="001E5AF4">
          <w:rPr>
            <w:rStyle w:val="Hyperlink"/>
            <w:rFonts w:hint="cs"/>
            <w:rtl/>
          </w:rPr>
          <w:t>ی</w:t>
        </w:r>
        <w:r w:rsidRPr="001E5AF4">
          <w:rPr>
            <w:rStyle w:val="Hyperlink"/>
            <w:rFonts w:hint="eastAsia"/>
            <w:rtl/>
          </w:rPr>
          <w:t>،</w:t>
        </w:r>
        <w:r w:rsidRPr="001E5AF4">
          <w:rPr>
            <w:rStyle w:val="Hyperlink"/>
            <w:rtl/>
          </w:rPr>
          <w:t xml:space="preserve"> ج9، ص136</w:t>
        </w:r>
        <w:r w:rsidRPr="001E5AF4">
          <w:rPr>
            <w:rStyle w:val="Hyperlink"/>
          </w:rPr>
          <w:t>.</w:t>
        </w:r>
      </w:hyperlink>
    </w:p>
  </w:footnote>
  <w:footnote w:id="6">
    <w:p w:rsidR="005F070E" w:rsidRPr="008E6451" w:rsidRDefault="005F070E" w:rsidP="00707636">
      <w:pPr>
        <w:pStyle w:val="FootnoteText"/>
      </w:pPr>
      <w:r w:rsidRPr="008E6451">
        <w:footnoteRef/>
      </w:r>
      <w:r w:rsidRPr="008E6451">
        <w:rPr>
          <w:rtl/>
        </w:rPr>
        <w:t xml:space="preserve"> </w:t>
      </w:r>
      <w:hyperlink r:id="rId6" w:history="1">
        <w:r w:rsidRPr="008E6451">
          <w:rPr>
            <w:rStyle w:val="Hyperlink"/>
            <w:rtl/>
          </w:rPr>
          <w:t>الکاف</w:t>
        </w:r>
        <w:r w:rsidRPr="008E6451">
          <w:rPr>
            <w:rStyle w:val="Hyperlink"/>
            <w:rFonts w:hint="cs"/>
            <w:rtl/>
          </w:rPr>
          <w:t>ی</w:t>
        </w:r>
        <w:r w:rsidRPr="008E6451">
          <w:rPr>
            <w:rStyle w:val="Hyperlink"/>
            <w:rtl/>
          </w:rPr>
          <w:t xml:space="preserve"> للحلب</w:t>
        </w:r>
        <w:r w:rsidRPr="008E6451">
          <w:rPr>
            <w:rStyle w:val="Hyperlink"/>
            <w:rFonts w:hint="cs"/>
            <w:rtl/>
          </w:rPr>
          <w:t>ی</w:t>
        </w:r>
        <w:r w:rsidRPr="008E6451">
          <w:rPr>
            <w:rStyle w:val="Hyperlink"/>
            <w:rFonts w:hint="eastAsia"/>
            <w:rtl/>
          </w:rPr>
          <w:t>،</w:t>
        </w:r>
        <w:r w:rsidRPr="008E6451">
          <w:rPr>
            <w:rStyle w:val="Hyperlink"/>
            <w:rtl/>
          </w:rPr>
          <w:t xml:space="preserve"> أبو الصلاح الحلب</w:t>
        </w:r>
        <w:r w:rsidRPr="008E6451">
          <w:rPr>
            <w:rStyle w:val="Hyperlink"/>
            <w:rFonts w:hint="cs"/>
            <w:rtl/>
          </w:rPr>
          <w:t>ی</w:t>
        </w:r>
        <w:r w:rsidRPr="008E6451">
          <w:rPr>
            <w:rStyle w:val="Hyperlink"/>
            <w:rFonts w:hint="eastAsia"/>
            <w:rtl/>
          </w:rPr>
          <w:t>،</w:t>
        </w:r>
        <w:r w:rsidRPr="008E6451">
          <w:rPr>
            <w:rStyle w:val="Hyperlink"/>
            <w:rtl/>
          </w:rPr>
          <w:t xml:space="preserve"> ج، ص322</w:t>
        </w:r>
        <w:r w:rsidRPr="008E6451">
          <w:rPr>
            <w:rStyle w:val="Hyperlink"/>
          </w:rPr>
          <w:t>.</w:t>
        </w:r>
      </w:hyperlink>
    </w:p>
  </w:footnote>
  <w:footnote w:id="7">
    <w:p w:rsidR="005F070E" w:rsidRPr="00707636" w:rsidRDefault="005F070E" w:rsidP="00707636">
      <w:pPr>
        <w:pStyle w:val="FootnoteText"/>
      </w:pPr>
      <w:r w:rsidRPr="00707636">
        <w:footnoteRef/>
      </w:r>
      <w:r w:rsidRPr="00707636">
        <w:rPr>
          <w:rtl/>
        </w:rPr>
        <w:t xml:space="preserve"> </w:t>
      </w:r>
      <w:hyperlink r:id="rId7" w:history="1">
        <w:r w:rsidRPr="00707636">
          <w:rPr>
            <w:rStyle w:val="Hyperlink"/>
            <w:rtl/>
          </w:rPr>
          <w:t>الکاف</w:t>
        </w:r>
        <w:r w:rsidRPr="00707636">
          <w:rPr>
            <w:rStyle w:val="Hyperlink"/>
            <w:rFonts w:hint="cs"/>
            <w:rtl/>
          </w:rPr>
          <w:t>ی</w:t>
        </w:r>
        <w:r w:rsidRPr="00707636">
          <w:rPr>
            <w:rStyle w:val="Hyperlink"/>
            <w:rtl/>
          </w:rPr>
          <w:t xml:space="preserve"> للحلب</w:t>
        </w:r>
        <w:r w:rsidRPr="00707636">
          <w:rPr>
            <w:rStyle w:val="Hyperlink"/>
            <w:rFonts w:hint="cs"/>
            <w:rtl/>
          </w:rPr>
          <w:t>ی</w:t>
        </w:r>
        <w:r w:rsidRPr="00707636">
          <w:rPr>
            <w:rStyle w:val="Hyperlink"/>
            <w:rFonts w:hint="eastAsia"/>
            <w:rtl/>
          </w:rPr>
          <w:t>،</w:t>
        </w:r>
        <w:r w:rsidRPr="00707636">
          <w:rPr>
            <w:rStyle w:val="Hyperlink"/>
            <w:rtl/>
          </w:rPr>
          <w:t xml:space="preserve"> أبو الصلاح الحلب</w:t>
        </w:r>
        <w:r w:rsidRPr="00707636">
          <w:rPr>
            <w:rStyle w:val="Hyperlink"/>
            <w:rFonts w:hint="cs"/>
            <w:rtl/>
          </w:rPr>
          <w:t>ی</w:t>
        </w:r>
        <w:r>
          <w:rPr>
            <w:rStyle w:val="Hyperlink"/>
            <w:rFonts w:hint="cs"/>
            <w:rtl/>
          </w:rPr>
          <w:t xml:space="preserve"> ج</w:t>
        </w:r>
        <w:r w:rsidRPr="00707636">
          <w:rPr>
            <w:rStyle w:val="Hyperlink"/>
            <w:rtl/>
          </w:rPr>
          <w:t>، ص324</w:t>
        </w:r>
        <w:r w:rsidRPr="00707636">
          <w:rPr>
            <w:rStyle w:val="Hyperlink"/>
          </w:rPr>
          <w:t>.</w:t>
        </w:r>
      </w:hyperlink>
    </w:p>
  </w:footnote>
  <w:footnote w:id="8">
    <w:p w:rsidR="005F070E" w:rsidRPr="00707636" w:rsidRDefault="005F070E" w:rsidP="00707636">
      <w:pPr>
        <w:pStyle w:val="FootnoteText"/>
      </w:pPr>
      <w:r w:rsidRPr="00707636">
        <w:footnoteRef/>
      </w:r>
      <w:r w:rsidRPr="00707636">
        <w:rPr>
          <w:rtl/>
        </w:rPr>
        <w:t xml:space="preserve"> </w:t>
      </w:r>
      <w:hyperlink r:id="rId8" w:history="1">
        <w:r w:rsidRPr="00707636">
          <w:rPr>
            <w:rStyle w:val="Hyperlink"/>
            <w:rtl/>
          </w:rPr>
          <w:t>الکاف</w:t>
        </w:r>
        <w:r w:rsidRPr="00707636">
          <w:rPr>
            <w:rStyle w:val="Hyperlink"/>
            <w:rFonts w:hint="cs"/>
            <w:rtl/>
          </w:rPr>
          <w:t>ی</w:t>
        </w:r>
        <w:r w:rsidRPr="00707636">
          <w:rPr>
            <w:rStyle w:val="Hyperlink"/>
            <w:rtl/>
          </w:rPr>
          <w:t xml:space="preserve"> للحلب</w:t>
        </w:r>
        <w:r w:rsidRPr="00707636">
          <w:rPr>
            <w:rStyle w:val="Hyperlink"/>
            <w:rFonts w:hint="cs"/>
            <w:rtl/>
          </w:rPr>
          <w:t>ی</w:t>
        </w:r>
        <w:r w:rsidRPr="00707636">
          <w:rPr>
            <w:rStyle w:val="Hyperlink"/>
            <w:rFonts w:hint="eastAsia"/>
            <w:rtl/>
          </w:rPr>
          <w:t>،</w:t>
        </w:r>
        <w:r w:rsidRPr="00707636">
          <w:rPr>
            <w:rStyle w:val="Hyperlink"/>
            <w:rtl/>
          </w:rPr>
          <w:t xml:space="preserve"> أبو الصلاح الحلب</w:t>
        </w:r>
        <w:r w:rsidRPr="00707636">
          <w:rPr>
            <w:rStyle w:val="Hyperlink"/>
            <w:rFonts w:hint="cs"/>
            <w:rtl/>
          </w:rPr>
          <w:t>ی</w:t>
        </w:r>
        <w:r w:rsidRPr="00707636">
          <w:rPr>
            <w:rStyle w:val="Hyperlink"/>
            <w:rFonts w:hint="eastAsia"/>
            <w:rtl/>
          </w:rPr>
          <w:t>،</w:t>
        </w:r>
        <w:r w:rsidRPr="00707636">
          <w:rPr>
            <w:rStyle w:val="Hyperlink"/>
            <w:rtl/>
          </w:rPr>
          <w:t xml:space="preserve"> ج، ص325</w:t>
        </w:r>
        <w:r w:rsidRPr="00707636">
          <w:rPr>
            <w:rStyle w:val="Hyperlink"/>
          </w:rPr>
          <w:t>.</w:t>
        </w:r>
      </w:hyperlink>
    </w:p>
  </w:footnote>
  <w:footnote w:id="9">
    <w:p w:rsidR="005F070E" w:rsidRPr="006138FC" w:rsidRDefault="005F070E" w:rsidP="006138FC">
      <w:pPr>
        <w:pStyle w:val="FootnoteText"/>
      </w:pPr>
      <w:r w:rsidRPr="006138FC">
        <w:footnoteRef/>
      </w:r>
      <w:r w:rsidRPr="006138FC">
        <w:rPr>
          <w:rtl/>
        </w:rPr>
        <w:t xml:space="preserve"> </w:t>
      </w:r>
      <w:hyperlink r:id="rId9" w:history="1">
        <w:r w:rsidRPr="006138FC">
          <w:rPr>
            <w:rStyle w:val="Hyperlink"/>
            <w:rtl/>
          </w:rPr>
          <w:t>الکاف</w:t>
        </w:r>
        <w:r w:rsidRPr="006138FC">
          <w:rPr>
            <w:rStyle w:val="Hyperlink"/>
            <w:rFonts w:hint="cs"/>
            <w:rtl/>
          </w:rPr>
          <w:t>ی</w:t>
        </w:r>
        <w:r w:rsidRPr="006138FC">
          <w:rPr>
            <w:rStyle w:val="Hyperlink"/>
            <w:rtl/>
          </w:rPr>
          <w:t xml:space="preserve"> للحلب</w:t>
        </w:r>
        <w:r w:rsidRPr="006138FC">
          <w:rPr>
            <w:rStyle w:val="Hyperlink"/>
            <w:rFonts w:hint="cs"/>
            <w:rtl/>
          </w:rPr>
          <w:t>ی</w:t>
        </w:r>
        <w:r w:rsidRPr="006138FC">
          <w:rPr>
            <w:rStyle w:val="Hyperlink"/>
            <w:rFonts w:hint="eastAsia"/>
            <w:rtl/>
          </w:rPr>
          <w:t>،</w:t>
        </w:r>
        <w:r w:rsidRPr="006138FC">
          <w:rPr>
            <w:rStyle w:val="Hyperlink"/>
            <w:rtl/>
          </w:rPr>
          <w:t xml:space="preserve"> أبو الصلاح الحلب</w:t>
        </w:r>
        <w:r w:rsidRPr="006138FC">
          <w:rPr>
            <w:rStyle w:val="Hyperlink"/>
            <w:rFonts w:hint="cs"/>
            <w:rtl/>
          </w:rPr>
          <w:t>ی</w:t>
        </w:r>
        <w:r w:rsidRPr="006138FC">
          <w:rPr>
            <w:rStyle w:val="Hyperlink"/>
            <w:rFonts w:hint="eastAsia"/>
            <w:rtl/>
          </w:rPr>
          <w:t>،</w:t>
        </w:r>
        <w:r w:rsidRPr="006138FC">
          <w:rPr>
            <w:rStyle w:val="Hyperlink"/>
            <w:rtl/>
          </w:rPr>
          <w:t xml:space="preserve"> ج، ص328</w:t>
        </w:r>
        <w:r w:rsidRPr="006138FC">
          <w:rPr>
            <w:rStyle w:val="Hyperlink"/>
          </w:rPr>
          <w:t>.</w:t>
        </w:r>
      </w:hyperlink>
    </w:p>
  </w:footnote>
  <w:footnote w:id="10">
    <w:p w:rsidR="005F070E" w:rsidRDefault="005F070E">
      <w:pPr>
        <w:pStyle w:val="FootnoteText"/>
        <w:rPr>
          <w:rtl/>
        </w:rPr>
      </w:pPr>
      <w:r>
        <w:rPr>
          <w:rStyle w:val="FootnoteReference"/>
        </w:rPr>
        <w:footnoteRef/>
      </w:r>
      <w:r>
        <w:rPr>
          <w:rtl/>
        </w:rPr>
        <w:t xml:space="preserve"> </w:t>
      </w:r>
      <w:hyperlink r:id="rId10" w:history="1">
        <w:r w:rsidRPr="00195AE1">
          <w:rPr>
            <w:rStyle w:val="Hyperlink"/>
            <w:rFonts w:hint="cs"/>
            <w:rtl/>
          </w:rPr>
          <w:t>الطبقات الشافعیه؛ ج 4، ص: 126</w:t>
        </w:r>
      </w:hyperlink>
    </w:p>
    <w:p w:rsidR="005F070E" w:rsidRPr="00195AE1" w:rsidRDefault="005F070E" w:rsidP="00195AE1">
      <w:pPr>
        <w:pStyle w:val="FootnoteText"/>
        <w:rPr>
          <w:color w:val="000080"/>
        </w:rPr>
      </w:pPr>
      <w:r w:rsidRPr="00195AE1">
        <w:rPr>
          <w:color w:val="000080"/>
          <w:rtl/>
        </w:rPr>
        <w:t>مُحَمَّد بن الْحسن بن عَليّ أَبُو جَعْفَر الطوسي</w:t>
      </w:r>
      <w:r w:rsidRPr="00195AE1">
        <w:rPr>
          <w:rFonts w:hint="cs"/>
          <w:color w:val="000080"/>
          <w:rtl/>
        </w:rPr>
        <w:t xml:space="preserve"> </w:t>
      </w:r>
      <w:r w:rsidRPr="00195AE1">
        <w:rPr>
          <w:color w:val="000080"/>
          <w:rtl/>
        </w:rPr>
        <w:t>فَقِيه الشِّيعَة ومصنفهم</w:t>
      </w:r>
      <w:r w:rsidRPr="00195AE1">
        <w:rPr>
          <w:rFonts w:hint="cs"/>
          <w:color w:val="000080"/>
          <w:rtl/>
        </w:rPr>
        <w:t xml:space="preserve"> </w:t>
      </w:r>
      <w:r w:rsidRPr="00195AE1">
        <w:rPr>
          <w:color w:val="000080"/>
          <w:rtl/>
        </w:rPr>
        <w:t>كَانَ ينتمي إِلَى مَذْهَب الشَّافِعِي</w:t>
      </w:r>
      <w:r w:rsidRPr="00195AE1">
        <w:rPr>
          <w:rFonts w:hint="cs"/>
          <w:color w:val="000080"/>
          <w:rtl/>
        </w:rPr>
        <w:t xml:space="preserve"> </w:t>
      </w:r>
      <w:r w:rsidRPr="00195AE1">
        <w:rPr>
          <w:color w:val="000080"/>
          <w:rtl/>
        </w:rPr>
        <w:t>لَهُ تَفْسِير الْقُرْآن وأملى أَحَادِيث وحكايات تشْتَمل على مجلدين</w:t>
      </w:r>
      <w:r w:rsidRPr="00195AE1">
        <w:rPr>
          <w:rFonts w:hint="cs"/>
          <w:color w:val="000080"/>
          <w:rtl/>
        </w:rPr>
        <w:t xml:space="preserve"> </w:t>
      </w:r>
      <w:r w:rsidRPr="00195AE1">
        <w:rPr>
          <w:color w:val="000080"/>
          <w:rtl/>
        </w:rPr>
        <w:t>قدم بَغْدَاد وتفقه على مَذْهَب الشَّافِعِي</w:t>
      </w:r>
    </w:p>
  </w:footnote>
  <w:footnote w:id="11">
    <w:p w:rsidR="005F070E" w:rsidRPr="00CB6841" w:rsidRDefault="005F070E" w:rsidP="00CB6841">
      <w:pPr>
        <w:pStyle w:val="FootnoteText"/>
      </w:pPr>
      <w:r w:rsidRPr="00CB6841">
        <w:footnoteRef/>
      </w:r>
      <w:r w:rsidRPr="00CB6841">
        <w:rPr>
          <w:rtl/>
        </w:rPr>
        <w:t xml:space="preserve"> </w:t>
      </w:r>
      <w:hyperlink r:id="rId11" w:history="1">
        <w:r w:rsidRPr="00CB6841">
          <w:rPr>
            <w:rStyle w:val="Hyperlink"/>
            <w:rtl/>
          </w:rPr>
          <w:t>المبسوط ف</w:t>
        </w:r>
        <w:r w:rsidRPr="00CB6841">
          <w:rPr>
            <w:rStyle w:val="Hyperlink"/>
            <w:rFonts w:hint="cs"/>
            <w:rtl/>
          </w:rPr>
          <w:t>ی</w:t>
        </w:r>
        <w:r w:rsidRPr="00CB6841">
          <w:rPr>
            <w:rStyle w:val="Hyperlink"/>
            <w:rtl/>
          </w:rPr>
          <w:t xml:space="preserve"> فقه الإمام</w:t>
        </w:r>
        <w:r w:rsidRPr="00CB6841">
          <w:rPr>
            <w:rStyle w:val="Hyperlink"/>
            <w:rFonts w:hint="cs"/>
            <w:rtl/>
          </w:rPr>
          <w:t>ی</w:t>
        </w:r>
        <w:r w:rsidRPr="00CB6841">
          <w:rPr>
            <w:rStyle w:val="Hyperlink"/>
            <w:rFonts w:hint="eastAsia"/>
            <w:rtl/>
          </w:rPr>
          <w:t>ة،</w:t>
        </w:r>
        <w:r w:rsidRPr="00CB6841">
          <w:rPr>
            <w:rStyle w:val="Hyperlink"/>
            <w:rtl/>
          </w:rPr>
          <w:t xml:space="preserve"> ش</w:t>
        </w:r>
        <w:r w:rsidRPr="00CB6841">
          <w:rPr>
            <w:rStyle w:val="Hyperlink"/>
            <w:rFonts w:hint="cs"/>
            <w:rtl/>
          </w:rPr>
          <w:t>ی</w:t>
        </w:r>
        <w:r w:rsidRPr="00CB6841">
          <w:rPr>
            <w:rStyle w:val="Hyperlink"/>
            <w:rFonts w:hint="eastAsia"/>
            <w:rtl/>
          </w:rPr>
          <w:t>خ</w:t>
        </w:r>
        <w:r w:rsidRPr="00CB6841">
          <w:rPr>
            <w:rStyle w:val="Hyperlink"/>
            <w:rtl/>
          </w:rPr>
          <w:t xml:space="preserve"> طوس</w:t>
        </w:r>
        <w:r w:rsidRPr="00CB6841">
          <w:rPr>
            <w:rStyle w:val="Hyperlink"/>
            <w:rFonts w:hint="cs"/>
            <w:rtl/>
          </w:rPr>
          <w:t>ی</w:t>
        </w:r>
        <w:r w:rsidRPr="00CB6841">
          <w:rPr>
            <w:rStyle w:val="Hyperlink"/>
            <w:rFonts w:hint="eastAsia"/>
            <w:rtl/>
          </w:rPr>
          <w:t>،</w:t>
        </w:r>
        <w:r w:rsidRPr="00CB6841">
          <w:rPr>
            <w:rStyle w:val="Hyperlink"/>
            <w:rtl/>
          </w:rPr>
          <w:t xml:space="preserve"> ج1، ص2</w:t>
        </w:r>
        <w:r w:rsidRPr="00CB6841">
          <w:rPr>
            <w:rStyle w:val="Hyperlink"/>
          </w:rPr>
          <w:t>.</w:t>
        </w:r>
      </w:hyperlink>
    </w:p>
  </w:footnote>
  <w:footnote w:id="12">
    <w:p w:rsidR="005F070E" w:rsidRDefault="005F070E" w:rsidP="0062441B">
      <w:pPr>
        <w:pStyle w:val="FootnoteText"/>
      </w:pPr>
      <w:r>
        <w:rPr>
          <w:rStyle w:val="FootnoteReference"/>
        </w:rPr>
        <w:footnoteRef/>
      </w:r>
      <w:r>
        <w:rPr>
          <w:rtl/>
        </w:rPr>
        <w:t xml:space="preserve"> ا</w:t>
      </w:r>
      <w:r>
        <w:rPr>
          <w:rFonts w:hint="cs"/>
          <w:rtl/>
        </w:rPr>
        <w:t>ی</w:t>
      </w:r>
      <w:r>
        <w:rPr>
          <w:rFonts w:hint="eastAsia"/>
          <w:rtl/>
        </w:rPr>
        <w:t>ن</w:t>
      </w:r>
      <w:r>
        <w:rPr>
          <w:rtl/>
        </w:rPr>
        <w:t xml:space="preserve"> نکته ن</w:t>
      </w:r>
      <w:r>
        <w:rPr>
          <w:rFonts w:hint="cs"/>
          <w:rtl/>
        </w:rPr>
        <w:t>ی</w:t>
      </w:r>
      <w:r>
        <w:rPr>
          <w:rFonts w:hint="eastAsia"/>
          <w:rtl/>
        </w:rPr>
        <w:t>ازمند</w:t>
      </w:r>
      <w:r>
        <w:rPr>
          <w:rtl/>
        </w:rPr>
        <w:t xml:space="preserve"> ضم</w:t>
      </w:r>
      <w:r>
        <w:rPr>
          <w:rFonts w:hint="cs"/>
          <w:rtl/>
        </w:rPr>
        <w:t>ی</w:t>
      </w:r>
      <w:r>
        <w:rPr>
          <w:rFonts w:hint="eastAsia"/>
          <w:rtl/>
        </w:rPr>
        <w:t>مه</w:t>
      </w:r>
      <w:r>
        <w:rPr>
          <w:rtl/>
        </w:rPr>
        <w:t xml:space="preserve"> است که اعتبار قبض در صدقه، ب</w:t>
      </w:r>
      <w:r>
        <w:rPr>
          <w:rFonts w:hint="cs"/>
          <w:rtl/>
        </w:rPr>
        <w:t>ی</w:t>
      </w:r>
      <w:r>
        <w:rPr>
          <w:rFonts w:hint="eastAsia"/>
          <w:rtl/>
        </w:rPr>
        <w:t>ن</w:t>
      </w:r>
      <w:r>
        <w:rPr>
          <w:rtl/>
        </w:rPr>
        <w:t xml:space="preserve"> عامه اختلاف</w:t>
      </w:r>
      <w:r>
        <w:rPr>
          <w:rFonts w:hint="cs"/>
          <w:rtl/>
        </w:rPr>
        <w:t>ی</w:t>
      </w:r>
      <w:r>
        <w:rPr>
          <w:rtl/>
        </w:rPr>
        <w:t xml:space="preserve"> است و ا</w:t>
      </w:r>
      <w:r>
        <w:rPr>
          <w:rFonts w:hint="cs"/>
          <w:rtl/>
        </w:rPr>
        <w:t>ی</w:t>
      </w:r>
      <w:r>
        <w:rPr>
          <w:rFonts w:hint="eastAsia"/>
          <w:rtl/>
        </w:rPr>
        <w:t>نگونه</w:t>
      </w:r>
      <w:r>
        <w:rPr>
          <w:rtl/>
        </w:rPr>
        <w:t xml:space="preserve"> ن</w:t>
      </w:r>
      <w:r>
        <w:rPr>
          <w:rFonts w:hint="cs"/>
          <w:rtl/>
        </w:rPr>
        <w:t>ی</w:t>
      </w:r>
      <w:r>
        <w:rPr>
          <w:rFonts w:hint="eastAsia"/>
          <w:rtl/>
        </w:rPr>
        <w:t>ست</w:t>
      </w:r>
      <w:r>
        <w:rPr>
          <w:rtl/>
        </w:rPr>
        <w:t xml:space="preserve"> که ب</w:t>
      </w:r>
      <w:r>
        <w:rPr>
          <w:rFonts w:hint="cs"/>
          <w:rtl/>
        </w:rPr>
        <w:t>ی</w:t>
      </w:r>
      <w:r>
        <w:rPr>
          <w:rFonts w:hint="eastAsia"/>
          <w:rtl/>
        </w:rPr>
        <w:t>ن</w:t>
      </w:r>
      <w:r>
        <w:rPr>
          <w:rtl/>
        </w:rPr>
        <w:t xml:space="preserve"> عامه اتفاق</w:t>
      </w:r>
      <w:r>
        <w:rPr>
          <w:rFonts w:hint="cs"/>
          <w:rtl/>
        </w:rPr>
        <w:t>ی</w:t>
      </w:r>
      <w:r>
        <w:rPr>
          <w:rtl/>
        </w:rPr>
        <w:t xml:space="preserve"> باشد.</w:t>
      </w:r>
    </w:p>
  </w:footnote>
  <w:footnote w:id="13">
    <w:p w:rsidR="005F070E" w:rsidRPr="00C85B60" w:rsidRDefault="005F070E" w:rsidP="00C85B60">
      <w:pPr>
        <w:pStyle w:val="FootnoteText"/>
      </w:pPr>
      <w:r w:rsidRPr="00C85B60">
        <w:footnoteRef/>
      </w:r>
      <w:r w:rsidRPr="00C85B60">
        <w:rPr>
          <w:rtl/>
        </w:rPr>
        <w:t xml:space="preserve"> </w:t>
      </w:r>
      <w:hyperlink r:id="rId12" w:history="1">
        <w:r w:rsidRPr="00C85B60">
          <w:rPr>
            <w:rStyle w:val="Hyperlink"/>
            <w:rtl/>
          </w:rPr>
          <w:t>رجال الطوس</w:t>
        </w:r>
        <w:r w:rsidRPr="00C85B60">
          <w:rPr>
            <w:rStyle w:val="Hyperlink"/>
            <w:rFonts w:hint="cs"/>
            <w:rtl/>
          </w:rPr>
          <w:t>ی</w:t>
        </w:r>
        <w:r w:rsidRPr="00C85B60">
          <w:rPr>
            <w:rStyle w:val="Hyperlink"/>
            <w:rFonts w:hint="eastAsia"/>
            <w:rtl/>
          </w:rPr>
          <w:t>،</w:t>
        </w:r>
        <w:r w:rsidRPr="00C85B60">
          <w:rPr>
            <w:rStyle w:val="Hyperlink"/>
            <w:rtl/>
          </w:rPr>
          <w:t xml:space="preserve"> ش</w:t>
        </w:r>
        <w:r w:rsidRPr="00C85B60">
          <w:rPr>
            <w:rStyle w:val="Hyperlink"/>
            <w:rFonts w:hint="cs"/>
            <w:rtl/>
          </w:rPr>
          <w:t>ی</w:t>
        </w:r>
        <w:r w:rsidRPr="00C85B60">
          <w:rPr>
            <w:rStyle w:val="Hyperlink"/>
            <w:rFonts w:hint="eastAsia"/>
            <w:rtl/>
          </w:rPr>
          <w:t>خ</w:t>
        </w:r>
        <w:r w:rsidRPr="00C85B60">
          <w:rPr>
            <w:rStyle w:val="Hyperlink"/>
            <w:rtl/>
          </w:rPr>
          <w:t xml:space="preserve"> طوس</w:t>
        </w:r>
        <w:r w:rsidRPr="00C85B60">
          <w:rPr>
            <w:rStyle w:val="Hyperlink"/>
            <w:rFonts w:hint="cs"/>
            <w:rtl/>
          </w:rPr>
          <w:t>ی</w:t>
        </w:r>
        <w:r w:rsidRPr="00C85B60">
          <w:rPr>
            <w:rStyle w:val="Hyperlink"/>
            <w:rFonts w:hint="eastAsia"/>
            <w:rtl/>
          </w:rPr>
          <w:t>،</w:t>
        </w:r>
        <w:r w:rsidRPr="00C85B60">
          <w:rPr>
            <w:rStyle w:val="Hyperlink"/>
            <w:rtl/>
          </w:rPr>
          <w:t xml:space="preserve"> ج، ص417</w:t>
        </w:r>
        <w:r w:rsidRPr="00C85B60">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70E" w:rsidRPr="001D2E9A" w:rsidRDefault="005F070E"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6" w:name="BokNum"/>
    <w:bookmarkEnd w:id="16"/>
    <w:r>
      <w:rPr>
        <w:b/>
        <w:bCs/>
        <w:sz w:val="20"/>
        <w:szCs w:val="24"/>
        <w:rtl/>
      </w:rPr>
      <w:t>051</w:t>
    </w:r>
    <w:r>
      <w:rPr>
        <w:rFonts w:hint="cs"/>
        <w:b/>
        <w:bCs/>
        <w:sz w:val="20"/>
        <w:szCs w:val="24"/>
        <w:rtl/>
      </w:rPr>
      <w:tab/>
    </w:r>
    <w:r w:rsidRPr="00C32A7E">
      <w:rPr>
        <w:rFonts w:hint="cs"/>
        <w:b/>
        <w:bCs/>
        <w:color w:val="632423" w:themeColor="accent2" w:themeShade="80"/>
        <w:sz w:val="20"/>
        <w:szCs w:val="24"/>
        <w:rtl/>
      </w:rPr>
      <w:t xml:space="preserve">درس خارج </w:t>
    </w:r>
    <w:bookmarkStart w:id="17" w:name="Bokdars"/>
    <w:bookmarkEnd w:id="17"/>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8" w:name="Bokostad"/>
    <w:bookmarkEnd w:id="18"/>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9" w:name="BokTarikh"/>
    <w:bookmarkEnd w:id="19"/>
    <w:r>
      <w:rPr>
        <w:sz w:val="24"/>
        <w:szCs w:val="24"/>
        <w:rtl/>
      </w:rPr>
      <w:t>10 /10 /1401</w:t>
    </w:r>
  </w:p>
  <w:p w:rsidR="005F070E" w:rsidRPr="00F16B53" w:rsidRDefault="005F070E" w:rsidP="002F56F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20" w:name="BokSabj"/>
    <w:bookmarkEnd w:id="20"/>
    <w:r>
      <w:rPr>
        <w:color w:val="000000" w:themeColor="text1"/>
        <w:sz w:val="24"/>
        <w:szCs w:val="24"/>
        <w:rtl/>
      </w:rPr>
      <w:t>زکات منذور الصدقه</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21" w:name="Bokmoqarer"/>
    <w:bookmarkEnd w:id="21"/>
    <w:r>
      <w:rPr>
        <w:rFonts w:hint="cs"/>
        <w:sz w:val="24"/>
        <w:szCs w:val="24"/>
        <w:rtl/>
      </w:rPr>
      <w:t xml:space="preserve">غلامرضا احسنی آرانی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2" w:name="BokSabj2"/>
    <w:bookmarkEnd w:id="22"/>
    <w:r>
      <w:rPr>
        <w:sz w:val="24"/>
        <w:szCs w:val="24"/>
        <w:rtl/>
      </w:rPr>
      <w:t>حق</w:t>
    </w:r>
    <w:r>
      <w:rPr>
        <w:rFonts w:hint="cs"/>
        <w:sz w:val="24"/>
        <w:szCs w:val="24"/>
        <w:rtl/>
      </w:rPr>
      <w:t>ی</w:t>
    </w:r>
    <w:r>
      <w:rPr>
        <w:rFonts w:hint="eastAsia"/>
        <w:sz w:val="24"/>
        <w:szCs w:val="24"/>
        <w:rtl/>
      </w:rPr>
      <w:t>قت</w:t>
    </w:r>
    <w:r>
      <w:rPr>
        <w:sz w:val="24"/>
        <w:szCs w:val="24"/>
        <w:rtl/>
      </w:rPr>
      <w:t xml:space="preserve"> صدقه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D221D7"/>
    <w:multiLevelType w:val="hybridMultilevel"/>
    <w:tmpl w:val="A756185E"/>
    <w:lvl w:ilvl="0" w:tplc="B4F47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1E192E"/>
    <w:multiLevelType w:val="hybridMultilevel"/>
    <w:tmpl w:val="1D1401D2"/>
    <w:lvl w:ilvl="0" w:tplc="6CEAA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C246C0"/>
    <w:multiLevelType w:val="hybridMultilevel"/>
    <w:tmpl w:val="FED01490"/>
    <w:lvl w:ilvl="0" w:tplc="6B565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0713CC"/>
    <w:multiLevelType w:val="hybridMultilevel"/>
    <w:tmpl w:val="77DEF8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D91C4B"/>
    <w:multiLevelType w:val="hybridMultilevel"/>
    <w:tmpl w:val="612EB10E"/>
    <w:lvl w:ilvl="0" w:tplc="7D7EBD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2A4FF5"/>
    <w:multiLevelType w:val="hybridMultilevel"/>
    <w:tmpl w:val="3A0AE674"/>
    <w:lvl w:ilvl="0" w:tplc="7D7EBD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E36B31"/>
    <w:multiLevelType w:val="hybridMultilevel"/>
    <w:tmpl w:val="63E2374E"/>
    <w:lvl w:ilvl="0" w:tplc="B5E6A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801EE0"/>
    <w:multiLevelType w:val="hybridMultilevel"/>
    <w:tmpl w:val="4E06C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F83249"/>
    <w:multiLevelType w:val="hybridMultilevel"/>
    <w:tmpl w:val="3C20EC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050E39"/>
    <w:multiLevelType w:val="hybridMultilevel"/>
    <w:tmpl w:val="E3E2D9C2"/>
    <w:lvl w:ilvl="0" w:tplc="8BB87C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24"/>
  </w:num>
  <w:num w:numId="14">
    <w:abstractNumId w:val="14"/>
  </w:num>
  <w:num w:numId="15">
    <w:abstractNumId w:val="16"/>
  </w:num>
  <w:num w:numId="16">
    <w:abstractNumId w:val="21"/>
  </w:num>
  <w:num w:numId="17">
    <w:abstractNumId w:val="22"/>
  </w:num>
  <w:num w:numId="18">
    <w:abstractNumId w:val="17"/>
  </w:num>
  <w:num w:numId="19">
    <w:abstractNumId w:val="18"/>
  </w:num>
  <w:num w:numId="20">
    <w:abstractNumId w:val="20"/>
  </w:num>
  <w:num w:numId="21">
    <w:abstractNumId w:val="23"/>
  </w:num>
  <w:num w:numId="22">
    <w:abstractNumId w:val="12"/>
  </w:num>
  <w:num w:numId="23">
    <w:abstractNumId w:val="13"/>
  </w:num>
  <w:num w:numId="24">
    <w:abstractNumId w:val="19"/>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0F51"/>
    <w:rsid w:val="000072A3"/>
    <w:rsid w:val="00007977"/>
    <w:rsid w:val="00025777"/>
    <w:rsid w:val="00025B70"/>
    <w:rsid w:val="000353D7"/>
    <w:rsid w:val="00055496"/>
    <w:rsid w:val="00080A41"/>
    <w:rsid w:val="0008299B"/>
    <w:rsid w:val="000913AA"/>
    <w:rsid w:val="00094847"/>
    <w:rsid w:val="00096C63"/>
    <w:rsid w:val="000A716E"/>
    <w:rsid w:val="000A76F6"/>
    <w:rsid w:val="000B5DB5"/>
    <w:rsid w:val="000C3947"/>
    <w:rsid w:val="000D2A37"/>
    <w:rsid w:val="000D30E9"/>
    <w:rsid w:val="000D6818"/>
    <w:rsid w:val="000D6E5A"/>
    <w:rsid w:val="000E25B9"/>
    <w:rsid w:val="000E335E"/>
    <w:rsid w:val="000F0971"/>
    <w:rsid w:val="000F16CF"/>
    <w:rsid w:val="000F5BAC"/>
    <w:rsid w:val="00102585"/>
    <w:rsid w:val="00114AB7"/>
    <w:rsid w:val="00116B2B"/>
    <w:rsid w:val="00124E3D"/>
    <w:rsid w:val="00127E95"/>
    <w:rsid w:val="00130659"/>
    <w:rsid w:val="001347C7"/>
    <w:rsid w:val="001356B0"/>
    <w:rsid w:val="00151937"/>
    <w:rsid w:val="00167DE0"/>
    <w:rsid w:val="00181844"/>
    <w:rsid w:val="001837E9"/>
    <w:rsid w:val="00187DFA"/>
    <w:rsid w:val="00195AE1"/>
    <w:rsid w:val="001A1BC1"/>
    <w:rsid w:val="001A1EA5"/>
    <w:rsid w:val="001A2574"/>
    <w:rsid w:val="001A27D7"/>
    <w:rsid w:val="001A294E"/>
    <w:rsid w:val="001A4ED8"/>
    <w:rsid w:val="001B2488"/>
    <w:rsid w:val="001B6799"/>
    <w:rsid w:val="001B7EE3"/>
    <w:rsid w:val="001C1362"/>
    <w:rsid w:val="001D2E9A"/>
    <w:rsid w:val="001D597F"/>
    <w:rsid w:val="001E3FD4"/>
    <w:rsid w:val="001E5AF4"/>
    <w:rsid w:val="0020241A"/>
    <w:rsid w:val="00203821"/>
    <w:rsid w:val="00211632"/>
    <w:rsid w:val="00213BED"/>
    <w:rsid w:val="0021630D"/>
    <w:rsid w:val="0024121B"/>
    <w:rsid w:val="00247D2F"/>
    <w:rsid w:val="00256560"/>
    <w:rsid w:val="0027605E"/>
    <w:rsid w:val="00281E00"/>
    <w:rsid w:val="00294A52"/>
    <w:rsid w:val="002B575F"/>
    <w:rsid w:val="002B729B"/>
    <w:rsid w:val="002C23B5"/>
    <w:rsid w:val="002C53A2"/>
    <w:rsid w:val="002D0040"/>
    <w:rsid w:val="002D2FA8"/>
    <w:rsid w:val="002E220F"/>
    <w:rsid w:val="002E7DCB"/>
    <w:rsid w:val="002F56F1"/>
    <w:rsid w:val="00307311"/>
    <w:rsid w:val="0032100F"/>
    <w:rsid w:val="0033402C"/>
    <w:rsid w:val="00340521"/>
    <w:rsid w:val="00345C73"/>
    <w:rsid w:val="00354A99"/>
    <w:rsid w:val="00360311"/>
    <w:rsid w:val="00361922"/>
    <w:rsid w:val="0037339B"/>
    <w:rsid w:val="00386C11"/>
    <w:rsid w:val="00397466"/>
    <w:rsid w:val="003A6148"/>
    <w:rsid w:val="003B1460"/>
    <w:rsid w:val="003C33F6"/>
    <w:rsid w:val="003C3D2E"/>
    <w:rsid w:val="003C43A5"/>
    <w:rsid w:val="003E1C5C"/>
    <w:rsid w:val="003E6650"/>
    <w:rsid w:val="003E77F1"/>
    <w:rsid w:val="003F5B46"/>
    <w:rsid w:val="00401363"/>
    <w:rsid w:val="00402E47"/>
    <w:rsid w:val="00403EA6"/>
    <w:rsid w:val="0040798C"/>
    <w:rsid w:val="00425015"/>
    <w:rsid w:val="00430994"/>
    <w:rsid w:val="00441B6D"/>
    <w:rsid w:val="00453D9D"/>
    <w:rsid w:val="004556EF"/>
    <w:rsid w:val="00462B07"/>
    <w:rsid w:val="00465BD2"/>
    <w:rsid w:val="004715C8"/>
    <w:rsid w:val="00481C31"/>
    <w:rsid w:val="00482FC1"/>
    <w:rsid w:val="00483027"/>
    <w:rsid w:val="004871AA"/>
    <w:rsid w:val="00487E40"/>
    <w:rsid w:val="004918D7"/>
    <w:rsid w:val="004926E1"/>
    <w:rsid w:val="004A2FEA"/>
    <w:rsid w:val="004D2DD7"/>
    <w:rsid w:val="004D75C5"/>
    <w:rsid w:val="004E2186"/>
    <w:rsid w:val="004E66FB"/>
    <w:rsid w:val="004F470A"/>
    <w:rsid w:val="004F4C59"/>
    <w:rsid w:val="00500C8F"/>
    <w:rsid w:val="00501909"/>
    <w:rsid w:val="00507BBB"/>
    <w:rsid w:val="00511876"/>
    <w:rsid w:val="005128DF"/>
    <w:rsid w:val="00513A32"/>
    <w:rsid w:val="0051592A"/>
    <w:rsid w:val="005206FE"/>
    <w:rsid w:val="005257ED"/>
    <w:rsid w:val="005306F8"/>
    <w:rsid w:val="00533429"/>
    <w:rsid w:val="0054023D"/>
    <w:rsid w:val="005426BF"/>
    <w:rsid w:val="0056213C"/>
    <w:rsid w:val="00565B9A"/>
    <w:rsid w:val="00566CCA"/>
    <w:rsid w:val="00580C24"/>
    <w:rsid w:val="005859FC"/>
    <w:rsid w:val="005968EF"/>
    <w:rsid w:val="00596C1E"/>
    <w:rsid w:val="005A2E26"/>
    <w:rsid w:val="005B7BCA"/>
    <w:rsid w:val="005C0DAE"/>
    <w:rsid w:val="005C188E"/>
    <w:rsid w:val="005D2349"/>
    <w:rsid w:val="005E1B60"/>
    <w:rsid w:val="005E5507"/>
    <w:rsid w:val="005E607B"/>
    <w:rsid w:val="005F070E"/>
    <w:rsid w:val="005F0A8D"/>
    <w:rsid w:val="00601229"/>
    <w:rsid w:val="0060399D"/>
    <w:rsid w:val="00603B67"/>
    <w:rsid w:val="006138FC"/>
    <w:rsid w:val="006162A2"/>
    <w:rsid w:val="006240DA"/>
    <w:rsid w:val="0062441B"/>
    <w:rsid w:val="00625AB1"/>
    <w:rsid w:val="0063256E"/>
    <w:rsid w:val="00633F04"/>
    <w:rsid w:val="00635219"/>
    <w:rsid w:val="00635EC0"/>
    <w:rsid w:val="00640B58"/>
    <w:rsid w:val="00645687"/>
    <w:rsid w:val="00651B02"/>
    <w:rsid w:val="00651B19"/>
    <w:rsid w:val="00660A29"/>
    <w:rsid w:val="00684A53"/>
    <w:rsid w:val="00695519"/>
    <w:rsid w:val="006A4134"/>
    <w:rsid w:val="006A5DDA"/>
    <w:rsid w:val="006A6701"/>
    <w:rsid w:val="006B0284"/>
    <w:rsid w:val="006B21F4"/>
    <w:rsid w:val="006B3753"/>
    <w:rsid w:val="006B7AD6"/>
    <w:rsid w:val="006C50FD"/>
    <w:rsid w:val="006D1A5B"/>
    <w:rsid w:val="006D1DD4"/>
    <w:rsid w:val="006D4014"/>
    <w:rsid w:val="006D44C1"/>
    <w:rsid w:val="006E5651"/>
    <w:rsid w:val="006E5B85"/>
    <w:rsid w:val="006F026A"/>
    <w:rsid w:val="0070265B"/>
    <w:rsid w:val="00702670"/>
    <w:rsid w:val="00704813"/>
    <w:rsid w:val="00707636"/>
    <w:rsid w:val="0072290D"/>
    <w:rsid w:val="00723D6D"/>
    <w:rsid w:val="00724537"/>
    <w:rsid w:val="00731724"/>
    <w:rsid w:val="0073474B"/>
    <w:rsid w:val="00735511"/>
    <w:rsid w:val="00737208"/>
    <w:rsid w:val="00744DE6"/>
    <w:rsid w:val="007605E1"/>
    <w:rsid w:val="00762452"/>
    <w:rsid w:val="007639E0"/>
    <w:rsid w:val="007670D4"/>
    <w:rsid w:val="00775507"/>
    <w:rsid w:val="00783473"/>
    <w:rsid w:val="0078594B"/>
    <w:rsid w:val="00790515"/>
    <w:rsid w:val="00794A91"/>
    <w:rsid w:val="00795E02"/>
    <w:rsid w:val="007979D0"/>
    <w:rsid w:val="007A4E18"/>
    <w:rsid w:val="007A7B8C"/>
    <w:rsid w:val="007C6D9E"/>
    <w:rsid w:val="007D1C43"/>
    <w:rsid w:val="007D6C53"/>
    <w:rsid w:val="007E1564"/>
    <w:rsid w:val="007E1E87"/>
    <w:rsid w:val="007E5B3F"/>
    <w:rsid w:val="007F2257"/>
    <w:rsid w:val="007F4170"/>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E6451"/>
    <w:rsid w:val="008F13F7"/>
    <w:rsid w:val="008F5B4D"/>
    <w:rsid w:val="008F7080"/>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0406"/>
    <w:rsid w:val="0099497B"/>
    <w:rsid w:val="009A43BA"/>
    <w:rsid w:val="009B0D05"/>
    <w:rsid w:val="009B4CA6"/>
    <w:rsid w:val="009B79F8"/>
    <w:rsid w:val="009C66D5"/>
    <w:rsid w:val="009D13FD"/>
    <w:rsid w:val="009D266A"/>
    <w:rsid w:val="009D6A0E"/>
    <w:rsid w:val="009F7E07"/>
    <w:rsid w:val="00A01522"/>
    <w:rsid w:val="00A10A11"/>
    <w:rsid w:val="00A13C6A"/>
    <w:rsid w:val="00A17B09"/>
    <w:rsid w:val="00A4473D"/>
    <w:rsid w:val="00A457C6"/>
    <w:rsid w:val="00A46AD0"/>
    <w:rsid w:val="00A47063"/>
    <w:rsid w:val="00A473A8"/>
    <w:rsid w:val="00A513F0"/>
    <w:rsid w:val="00A53683"/>
    <w:rsid w:val="00A61AC8"/>
    <w:rsid w:val="00A6366F"/>
    <w:rsid w:val="00A65D4C"/>
    <w:rsid w:val="00A70512"/>
    <w:rsid w:val="00A82725"/>
    <w:rsid w:val="00AA1F60"/>
    <w:rsid w:val="00AA40D7"/>
    <w:rsid w:val="00AB5F7D"/>
    <w:rsid w:val="00AC0C50"/>
    <w:rsid w:val="00AC6FE2"/>
    <w:rsid w:val="00AF3925"/>
    <w:rsid w:val="00B1296B"/>
    <w:rsid w:val="00B2292F"/>
    <w:rsid w:val="00B43169"/>
    <w:rsid w:val="00B501A8"/>
    <w:rsid w:val="00B55AE4"/>
    <w:rsid w:val="00B668B4"/>
    <w:rsid w:val="00B70B46"/>
    <w:rsid w:val="00B739B0"/>
    <w:rsid w:val="00B814A3"/>
    <w:rsid w:val="00B82FD3"/>
    <w:rsid w:val="00B96F38"/>
    <w:rsid w:val="00BA2043"/>
    <w:rsid w:val="00BC716B"/>
    <w:rsid w:val="00BD0E74"/>
    <w:rsid w:val="00BD5F8C"/>
    <w:rsid w:val="00BE15AE"/>
    <w:rsid w:val="00BE29DD"/>
    <w:rsid w:val="00BE7059"/>
    <w:rsid w:val="00C066AF"/>
    <w:rsid w:val="00C10E06"/>
    <w:rsid w:val="00C145B8"/>
    <w:rsid w:val="00C2438F"/>
    <w:rsid w:val="00C272EF"/>
    <w:rsid w:val="00C305C4"/>
    <w:rsid w:val="00C31AF0"/>
    <w:rsid w:val="00C32A7E"/>
    <w:rsid w:val="00C34F28"/>
    <w:rsid w:val="00C35486"/>
    <w:rsid w:val="00C357C2"/>
    <w:rsid w:val="00C368DF"/>
    <w:rsid w:val="00C442C5"/>
    <w:rsid w:val="00C57B5C"/>
    <w:rsid w:val="00C57C7C"/>
    <w:rsid w:val="00C61049"/>
    <w:rsid w:val="00C63FFE"/>
    <w:rsid w:val="00C85B60"/>
    <w:rsid w:val="00C91EB6"/>
    <w:rsid w:val="00CA10B0"/>
    <w:rsid w:val="00CA2F8E"/>
    <w:rsid w:val="00CA3EE2"/>
    <w:rsid w:val="00CA7FD5"/>
    <w:rsid w:val="00CB3287"/>
    <w:rsid w:val="00CB33E2"/>
    <w:rsid w:val="00CB4E68"/>
    <w:rsid w:val="00CB6841"/>
    <w:rsid w:val="00CC2733"/>
    <w:rsid w:val="00CD0050"/>
    <w:rsid w:val="00CE7481"/>
    <w:rsid w:val="00CF0A8F"/>
    <w:rsid w:val="00D048CE"/>
    <w:rsid w:val="00D10998"/>
    <w:rsid w:val="00D15CBD"/>
    <w:rsid w:val="00D221CB"/>
    <w:rsid w:val="00D23391"/>
    <w:rsid w:val="00D254DB"/>
    <w:rsid w:val="00D31805"/>
    <w:rsid w:val="00D31D04"/>
    <w:rsid w:val="00D32F4B"/>
    <w:rsid w:val="00D552B9"/>
    <w:rsid w:val="00D735B2"/>
    <w:rsid w:val="00D74021"/>
    <w:rsid w:val="00D76D01"/>
    <w:rsid w:val="00D922A9"/>
    <w:rsid w:val="00D9394A"/>
    <w:rsid w:val="00DB0CBB"/>
    <w:rsid w:val="00DB17A2"/>
    <w:rsid w:val="00DB62FD"/>
    <w:rsid w:val="00DB67CC"/>
    <w:rsid w:val="00DC3783"/>
    <w:rsid w:val="00DC3FE6"/>
    <w:rsid w:val="00DE1070"/>
    <w:rsid w:val="00E00219"/>
    <w:rsid w:val="00E0090D"/>
    <w:rsid w:val="00E0316B"/>
    <w:rsid w:val="00E25E10"/>
    <w:rsid w:val="00E50B41"/>
    <w:rsid w:val="00E5219B"/>
    <w:rsid w:val="00E52D07"/>
    <w:rsid w:val="00E5518B"/>
    <w:rsid w:val="00E609FE"/>
    <w:rsid w:val="00E630BE"/>
    <w:rsid w:val="00E67339"/>
    <w:rsid w:val="00E75920"/>
    <w:rsid w:val="00E80D96"/>
    <w:rsid w:val="00E871FA"/>
    <w:rsid w:val="00E936A4"/>
    <w:rsid w:val="00E95171"/>
    <w:rsid w:val="00E954BB"/>
    <w:rsid w:val="00EA45E7"/>
    <w:rsid w:val="00EB78E3"/>
    <w:rsid w:val="00EB7BE3"/>
    <w:rsid w:val="00EC1C4B"/>
    <w:rsid w:val="00EC2DED"/>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45C6A"/>
    <w:rsid w:val="00F500EA"/>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3F05"/>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79331057">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04249492">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59846926">
      <w:bodyDiv w:val="1"/>
      <w:marLeft w:val="0"/>
      <w:marRight w:val="0"/>
      <w:marTop w:val="0"/>
      <w:marBottom w:val="0"/>
      <w:divBdr>
        <w:top w:val="none" w:sz="0" w:space="0" w:color="auto"/>
        <w:left w:val="none" w:sz="0" w:space="0" w:color="auto"/>
        <w:bottom w:val="none" w:sz="0" w:space="0" w:color="auto"/>
        <w:right w:val="none" w:sz="0" w:space="0" w:color="auto"/>
      </w:divBdr>
    </w:div>
    <w:div w:id="830759130">
      <w:bodyDiv w:val="1"/>
      <w:marLeft w:val="0"/>
      <w:marRight w:val="0"/>
      <w:marTop w:val="0"/>
      <w:marBottom w:val="0"/>
      <w:divBdr>
        <w:top w:val="none" w:sz="0" w:space="0" w:color="auto"/>
        <w:left w:val="none" w:sz="0" w:space="0" w:color="auto"/>
        <w:bottom w:val="none" w:sz="0" w:space="0" w:color="auto"/>
        <w:right w:val="none" w:sz="0" w:space="0" w:color="auto"/>
      </w:divBdr>
    </w:div>
    <w:div w:id="941373150">
      <w:bodyDiv w:val="1"/>
      <w:marLeft w:val="0"/>
      <w:marRight w:val="0"/>
      <w:marTop w:val="0"/>
      <w:marBottom w:val="0"/>
      <w:divBdr>
        <w:top w:val="none" w:sz="0" w:space="0" w:color="auto"/>
        <w:left w:val="none" w:sz="0" w:space="0" w:color="auto"/>
        <w:bottom w:val="none" w:sz="0" w:space="0" w:color="auto"/>
        <w:right w:val="none" w:sz="0" w:space="0" w:color="auto"/>
      </w:divBdr>
    </w:div>
    <w:div w:id="1041439676">
      <w:bodyDiv w:val="1"/>
      <w:marLeft w:val="0"/>
      <w:marRight w:val="0"/>
      <w:marTop w:val="0"/>
      <w:marBottom w:val="0"/>
      <w:divBdr>
        <w:top w:val="none" w:sz="0" w:space="0" w:color="auto"/>
        <w:left w:val="none" w:sz="0" w:space="0" w:color="auto"/>
        <w:bottom w:val="none" w:sz="0" w:space="0" w:color="auto"/>
        <w:right w:val="none" w:sz="0" w:space="0" w:color="auto"/>
      </w:divBdr>
    </w:div>
    <w:div w:id="110365061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3768557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59742981">
      <w:bodyDiv w:val="1"/>
      <w:marLeft w:val="0"/>
      <w:marRight w:val="0"/>
      <w:marTop w:val="0"/>
      <w:marBottom w:val="0"/>
      <w:divBdr>
        <w:top w:val="none" w:sz="0" w:space="0" w:color="auto"/>
        <w:left w:val="none" w:sz="0" w:space="0" w:color="auto"/>
        <w:bottom w:val="none" w:sz="0" w:space="0" w:color="auto"/>
        <w:right w:val="none" w:sz="0" w:space="0" w:color="auto"/>
      </w:divBdr>
    </w:div>
    <w:div w:id="145648214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8325535">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033//325/" TargetMode="External"/><Relationship Id="rId3" Type="http://schemas.openxmlformats.org/officeDocument/2006/relationships/hyperlink" Target="http://lib.eshia.ir/71613/2/176/" TargetMode="External"/><Relationship Id="rId7" Type="http://schemas.openxmlformats.org/officeDocument/2006/relationships/hyperlink" Target="http://lib.eshia.ir/10033/3/324/" TargetMode="External"/><Relationship Id="rId12" Type="http://schemas.openxmlformats.org/officeDocument/2006/relationships/hyperlink" Target="http://lib.eshia.ir/14027//417/" TargetMode="External"/><Relationship Id="rId2" Type="http://schemas.openxmlformats.org/officeDocument/2006/relationships/hyperlink" Target="http://lib.eshia.ir/10052/2/86/" TargetMode="External"/><Relationship Id="rId1" Type="http://schemas.openxmlformats.org/officeDocument/2006/relationships/hyperlink" Target="http://lib.eshia.ir/10036/3/314/" TargetMode="External"/><Relationship Id="rId6" Type="http://schemas.openxmlformats.org/officeDocument/2006/relationships/hyperlink" Target="http://lib.eshia.ir/10033//322/" TargetMode="External"/><Relationship Id="rId11" Type="http://schemas.openxmlformats.org/officeDocument/2006/relationships/hyperlink" Target="http://lib.eshia.ir/10036/1/2/" TargetMode="External"/><Relationship Id="rId5" Type="http://schemas.openxmlformats.org/officeDocument/2006/relationships/hyperlink" Target="http://lib.eshia.ir/10083/9/136/" TargetMode="External"/><Relationship Id="rId10" Type="http://schemas.openxmlformats.org/officeDocument/2006/relationships/hyperlink" Target="https://lib.eshia.ir/40395/4/126/%22%D8%A7%D8%A8%D9%88_%D8%AC%D8%B9%D9%81%D8%B1_%D8%A7%D9%84%D8%B7%D9%88%D8%B3%DB%8C%22" TargetMode="External"/><Relationship Id="rId4" Type="http://schemas.openxmlformats.org/officeDocument/2006/relationships/hyperlink" Target="http://lib.eshia.ir/71613/2/176/" TargetMode="External"/><Relationship Id="rId9" Type="http://schemas.openxmlformats.org/officeDocument/2006/relationships/hyperlink" Target="http://lib.eshia.ir/10033//3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4F26F-79D7-4900-99D1-2B2638E6A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TotalTime>
  <Pages>11</Pages>
  <Words>2740</Words>
  <Characters>15621</Characters>
  <Application>Microsoft Office Word</Application>
  <DocSecurity>0</DocSecurity>
  <Lines>130</Lines>
  <Paragraphs>36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18325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محمدمهدی عمادی</cp:lastModifiedBy>
  <cp:revision>5</cp:revision>
  <cp:lastPrinted>2023-01-02T03:16:00Z</cp:lastPrinted>
  <dcterms:created xsi:type="dcterms:W3CDTF">2023-01-02T03:15:00Z</dcterms:created>
  <dcterms:modified xsi:type="dcterms:W3CDTF">2023-06-12T09:57:00Z</dcterms:modified>
  <cp:contentStatus>ویرایش 2.5</cp:contentStatus>
  <cp:version>2.7</cp:version>
</cp:coreProperties>
</file>