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0B" w:rsidRPr="008A522A" w:rsidRDefault="00783473" w:rsidP="00881037">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9">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BE5234" w:rsidRPr="00236620" w:rsidRDefault="00BE5234" w:rsidP="00BE5234">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91EB6" w:rsidRPr="00BE5234" w:rsidRDefault="00BE5234" w:rsidP="00BE5234">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14010922</w:t>
      </w:r>
    </w:p>
    <w:p w:rsidR="00F343FB" w:rsidRPr="00A6366F" w:rsidRDefault="00F842AD" w:rsidP="00881037">
      <w:pPr>
        <w:jc w:val="both"/>
      </w:pPr>
      <w:r w:rsidRPr="001D17AD">
        <w:rPr>
          <w:rStyle w:val="Emphasis"/>
          <w:rFonts w:hint="cs"/>
          <w:b/>
          <w:bCs w:val="0"/>
          <w:color w:val="FF0000"/>
          <w:rtl/>
        </w:rPr>
        <w:t>موضوع</w:t>
      </w:r>
      <w:r w:rsidRPr="001D17AD">
        <w:rPr>
          <w:rStyle w:val="Emphasis"/>
          <w:rFonts w:hint="cs"/>
          <w:color w:val="FF0000"/>
          <w:rtl/>
        </w:rPr>
        <w:t>:</w:t>
      </w:r>
      <w:r w:rsidR="00A6366F" w:rsidRPr="001D17AD">
        <w:rPr>
          <w:rFonts w:hint="cs"/>
          <w:color w:val="FF0000"/>
          <w:rtl/>
        </w:rPr>
        <w:t xml:space="preserve"> </w:t>
      </w:r>
      <w:bookmarkStart w:id="0" w:name="BokSabj2_d"/>
      <w:bookmarkEnd w:id="0"/>
      <w:r w:rsidR="0026118C">
        <w:rPr>
          <w:rtl/>
        </w:rPr>
        <w:t>حق</w:t>
      </w:r>
      <w:r w:rsidR="0026118C">
        <w:rPr>
          <w:rFonts w:hint="cs"/>
          <w:rtl/>
        </w:rPr>
        <w:t>ی</w:t>
      </w:r>
      <w:r w:rsidR="0026118C">
        <w:rPr>
          <w:rFonts w:hint="eastAsia"/>
          <w:rtl/>
        </w:rPr>
        <w:t>قت</w:t>
      </w:r>
      <w:r w:rsidR="0026118C">
        <w:rPr>
          <w:rtl/>
        </w:rPr>
        <w:t xml:space="preserve"> صدقه </w:t>
      </w:r>
      <w:r w:rsidR="00025B70">
        <w:rPr>
          <w:rFonts w:hint="cs"/>
          <w:rtl/>
        </w:rPr>
        <w:t xml:space="preserve"> </w:t>
      </w:r>
      <w:r w:rsidR="00386C11" w:rsidRPr="00A6366F">
        <w:rPr>
          <w:rFonts w:hint="cs"/>
          <w:rtl/>
        </w:rPr>
        <w:t>/</w:t>
      </w:r>
      <w:bookmarkStart w:id="1" w:name="BokSabj_d"/>
      <w:bookmarkEnd w:id="1"/>
      <w:r w:rsidR="0026118C">
        <w:rPr>
          <w:rtl/>
        </w:rPr>
        <w:t xml:space="preserve">زکات منذور الصدقه </w:t>
      </w:r>
      <w:r w:rsidR="00386C11" w:rsidRPr="00A6366F">
        <w:rPr>
          <w:rFonts w:hint="cs"/>
          <w:rtl/>
        </w:rPr>
        <w:t xml:space="preserve"> /</w:t>
      </w:r>
      <w:bookmarkStart w:id="2" w:name="Bokkolli"/>
      <w:bookmarkEnd w:id="2"/>
      <w:r w:rsidR="0026118C">
        <w:rPr>
          <w:rtl/>
        </w:rPr>
        <w:t xml:space="preserve">زکات </w:t>
      </w:r>
      <w:r w:rsidR="001B6799" w:rsidRPr="00A6366F">
        <w:rPr>
          <w:rFonts w:hint="cs"/>
          <w:rtl/>
        </w:rPr>
        <w:t xml:space="preserve"> </w:t>
      </w:r>
    </w:p>
    <w:p w:rsidR="008F5B4D" w:rsidRPr="009C66D5" w:rsidRDefault="008F5B4D" w:rsidP="00881037">
      <w:pPr>
        <w:jc w:val="both"/>
        <w:rPr>
          <w:rStyle w:val="Emphasis"/>
          <w:b/>
          <w:bCs w:val="0"/>
          <w:rtl/>
        </w:rPr>
      </w:pPr>
      <w:r w:rsidRPr="009C66D5">
        <w:rPr>
          <w:rStyle w:val="Emphasis"/>
          <w:rFonts w:hint="cs"/>
          <w:b/>
          <w:bCs w:val="0"/>
          <w:rtl/>
        </w:rPr>
        <w:t>خلاصه مباحث گذشته:</w:t>
      </w:r>
    </w:p>
    <w:p w:rsidR="003A6148" w:rsidRDefault="008F5B4D" w:rsidP="00881037">
      <w:pPr>
        <w:pBdr>
          <w:bottom w:val="double" w:sz="6" w:space="1" w:color="auto"/>
        </w:pBdr>
        <w:jc w:val="both"/>
        <w:rPr>
          <w:rtl/>
        </w:rPr>
      </w:pPr>
      <w:r>
        <w:rPr>
          <w:rFonts w:hint="cs"/>
          <w:rtl/>
        </w:rPr>
        <w:t>متن خلا</w:t>
      </w:r>
      <w:bookmarkStart w:id="3" w:name="_GoBack"/>
      <w:bookmarkEnd w:id="3"/>
      <w:r>
        <w:rPr>
          <w:rFonts w:hint="cs"/>
          <w:rtl/>
        </w:rPr>
        <w:t>صه ...</w:t>
      </w:r>
    </w:p>
    <w:p w:rsidR="00247D2F" w:rsidRPr="003A6148" w:rsidRDefault="00247D2F" w:rsidP="00881037">
      <w:pPr>
        <w:pBdr>
          <w:bottom w:val="double" w:sz="6" w:space="1" w:color="auto"/>
        </w:pBdr>
        <w:jc w:val="both"/>
      </w:pPr>
    </w:p>
    <w:p w:rsidR="008F5B4D" w:rsidRDefault="008F5B4D" w:rsidP="00881037">
      <w:pPr>
        <w:jc w:val="both"/>
      </w:pPr>
    </w:p>
    <w:p w:rsidR="001755AB" w:rsidRDefault="001755AB" w:rsidP="00881037">
      <w:pPr>
        <w:pStyle w:val="Heading2"/>
        <w:jc w:val="both"/>
      </w:pPr>
      <w:bookmarkStart w:id="4" w:name="_Toc122328908"/>
      <w:r>
        <w:rPr>
          <w:rFonts w:hint="cs"/>
          <w:rtl/>
        </w:rPr>
        <w:t>بررسی دلالت صحیحه ابی مریم بر عدم اعتبار قبض در صدقه</w:t>
      </w:r>
      <w:bookmarkEnd w:id="4"/>
      <w:r>
        <w:rPr>
          <w:rFonts w:hint="cs"/>
          <w:rtl/>
        </w:rPr>
        <w:t xml:space="preserve"> </w:t>
      </w:r>
    </w:p>
    <w:p w:rsidR="001755AB" w:rsidRDefault="001A0B0E" w:rsidP="00881037">
      <w:pPr>
        <w:jc w:val="both"/>
        <w:rPr>
          <w:color w:val="008000"/>
          <w:rtl/>
        </w:rPr>
      </w:pPr>
      <w:r>
        <w:rPr>
          <w:rFonts w:hint="cs"/>
          <w:rtl/>
        </w:rPr>
        <w:t xml:space="preserve">در جلسه گذشته درباره روایت ابی مریم بحث می کردیم. </w:t>
      </w:r>
      <w:r w:rsidR="00CE61DF">
        <w:rPr>
          <w:rFonts w:hint="cs"/>
          <w:rtl/>
        </w:rPr>
        <w:t>این روایت به رقم 35166 در جامع الاحادیث وارد شده است:</w:t>
      </w:r>
      <w:r w:rsidR="00CE61DF" w:rsidRPr="00CE61DF">
        <w:rPr>
          <w:color w:val="008000"/>
          <w:rtl/>
        </w:rPr>
        <w:t xml:space="preserve"> </w:t>
      </w:r>
      <w:r w:rsidR="00CE61DF" w:rsidRPr="00B51AF7">
        <w:rPr>
          <w:color w:val="008000"/>
          <w:rtl/>
        </w:rPr>
        <w:t>عَنْ أَبِي مَرْيَمَ عَنْ أَبِي جَعْفَرٍ</w:t>
      </w:r>
      <w:r w:rsidR="00881037">
        <w:rPr>
          <w:color w:val="008000"/>
          <w:rtl/>
        </w:rPr>
        <w:t xml:space="preserve"> علیه السلام </w:t>
      </w:r>
      <w:r w:rsidR="00CE61DF" w:rsidRPr="00B51AF7">
        <w:rPr>
          <w:color w:val="008000"/>
          <w:rtl/>
        </w:rPr>
        <w:t>قَالَ: إِذَا تَصَدَّقَ الرَّجُلُ بِصَدَقَةٍ قَبَضَهَا صَا</w:t>
      </w:r>
      <w:r w:rsidR="00CE61DF">
        <w:rPr>
          <w:color w:val="008000"/>
          <w:rtl/>
        </w:rPr>
        <w:t>حِبُهَا أَوْ لَمْ يَقْبِضْهَا ع</w:t>
      </w:r>
      <w:r w:rsidR="00CE61DF">
        <w:rPr>
          <w:rFonts w:hint="cs"/>
          <w:color w:val="008000"/>
          <w:rtl/>
        </w:rPr>
        <w:t>ُ</w:t>
      </w:r>
      <w:r w:rsidR="00CE61DF">
        <w:rPr>
          <w:color w:val="008000"/>
          <w:rtl/>
        </w:rPr>
        <w:t>لِمَتْ أَوْ لَمْ ت</w:t>
      </w:r>
      <w:r w:rsidR="00CE61DF">
        <w:rPr>
          <w:rFonts w:hint="cs"/>
          <w:color w:val="008000"/>
          <w:rtl/>
        </w:rPr>
        <w:t>ُ</w:t>
      </w:r>
      <w:r w:rsidR="00CE61DF" w:rsidRPr="00B51AF7">
        <w:rPr>
          <w:color w:val="008000"/>
          <w:rtl/>
        </w:rPr>
        <w:t>عْلَمْ فَهِيَ جَائِزَةٌ.</w:t>
      </w:r>
      <w:r w:rsidR="00CE61DF">
        <w:rPr>
          <w:rStyle w:val="FootnoteReference"/>
          <w:color w:val="008000"/>
          <w:rtl/>
        </w:rPr>
        <w:footnoteReference w:id="1"/>
      </w:r>
    </w:p>
    <w:p w:rsidR="001755AB" w:rsidRDefault="001755AB" w:rsidP="00881037">
      <w:pPr>
        <w:pStyle w:val="Heading3"/>
        <w:jc w:val="both"/>
        <w:rPr>
          <w:rtl/>
        </w:rPr>
      </w:pPr>
      <w:bookmarkStart w:id="5" w:name="_Toc122328909"/>
      <w:r>
        <w:rPr>
          <w:rFonts w:hint="cs"/>
          <w:rtl/>
        </w:rPr>
        <w:t>اراده اشهاد از «علمت او لم تعلم» در روایت</w:t>
      </w:r>
      <w:bookmarkEnd w:id="5"/>
    </w:p>
    <w:p w:rsidR="001755AB" w:rsidRPr="001755AB" w:rsidRDefault="00CE61DF" w:rsidP="00881037">
      <w:pPr>
        <w:jc w:val="both"/>
        <w:rPr>
          <w:rtl/>
        </w:rPr>
      </w:pPr>
      <w:r>
        <w:rPr>
          <w:rFonts w:hint="cs"/>
          <w:rtl/>
        </w:rPr>
        <w:t>مراد از «علمت او لم تع</w:t>
      </w:r>
      <w:r w:rsidR="001755AB">
        <w:rPr>
          <w:rFonts w:hint="cs"/>
          <w:rtl/>
        </w:rPr>
        <w:t>لم» یا «عُلّمت او لم تُعلّم» در این روایت چیست</w:t>
      </w:r>
      <w:r>
        <w:rPr>
          <w:rFonts w:hint="cs"/>
          <w:rtl/>
        </w:rPr>
        <w:t>؟</w:t>
      </w:r>
    </w:p>
    <w:p w:rsidR="00CE61DF" w:rsidRDefault="00CE61DF" w:rsidP="00881037">
      <w:pPr>
        <w:jc w:val="both"/>
        <w:rPr>
          <w:rtl/>
        </w:rPr>
      </w:pPr>
      <w:r>
        <w:rPr>
          <w:rFonts w:hint="cs"/>
          <w:rtl/>
        </w:rPr>
        <w:t xml:space="preserve">بیان شد: مرحوم آقای حائری در کتاب الخمس «علمت او لم تعلم» را به معنای اشهاد گرفتند. به نظر ما این معنا غرابت داشت. برخی از رفقا موردی را نشان دادند که باعث تقویت اراده اشهاد از «علمت» می شد. </w:t>
      </w:r>
      <w:r w:rsidR="001755AB">
        <w:rPr>
          <w:rFonts w:hint="cs"/>
          <w:rtl/>
        </w:rPr>
        <w:t xml:space="preserve">تتبّع مختصری شد و </w:t>
      </w:r>
      <w:r w:rsidR="005D650E">
        <w:rPr>
          <w:rFonts w:hint="cs"/>
          <w:rtl/>
        </w:rPr>
        <w:t>برخی از عبارات در این زمینه را یادداشت کردم.</w:t>
      </w:r>
    </w:p>
    <w:p w:rsidR="001755AB" w:rsidRDefault="001755AB" w:rsidP="00881037">
      <w:pPr>
        <w:pStyle w:val="Heading4"/>
        <w:jc w:val="both"/>
        <w:rPr>
          <w:rtl/>
        </w:rPr>
      </w:pPr>
      <w:bookmarkStart w:id="6" w:name="_Toc122328910"/>
      <w:r>
        <w:rPr>
          <w:rFonts w:hint="cs"/>
          <w:rtl/>
        </w:rPr>
        <w:t>اعتبار اشهاد در نحله در دیدگاه مالک</w:t>
      </w:r>
      <w:bookmarkEnd w:id="6"/>
      <w:r>
        <w:rPr>
          <w:rFonts w:hint="cs"/>
          <w:rtl/>
        </w:rPr>
        <w:t xml:space="preserve"> </w:t>
      </w:r>
    </w:p>
    <w:p w:rsidR="00A15790" w:rsidRDefault="005D650E" w:rsidP="00881037">
      <w:pPr>
        <w:jc w:val="both"/>
        <w:rPr>
          <w:rtl/>
        </w:rPr>
      </w:pPr>
      <w:r>
        <w:rPr>
          <w:rFonts w:hint="cs"/>
          <w:rtl/>
        </w:rPr>
        <w:t xml:space="preserve">در الموطأ مالک روایت محمد بن حسن شیبانی چاپ عبد الوهاب عبد اللطیف ج 1 ص 278 و مطابق چاپ دیگر </w:t>
      </w:r>
      <w:r w:rsidR="00A15790">
        <w:rPr>
          <w:rFonts w:hint="cs"/>
          <w:rtl/>
        </w:rPr>
        <w:t xml:space="preserve">ج 3 ص 232 این روایت نقل شده است: </w:t>
      </w:r>
    </w:p>
    <w:p w:rsidR="00A15790" w:rsidRDefault="00A15790" w:rsidP="00881037">
      <w:pPr>
        <w:jc w:val="both"/>
        <w:rPr>
          <w:color w:val="000080"/>
          <w:rtl/>
        </w:rPr>
      </w:pPr>
      <w:r w:rsidRPr="00A15790">
        <w:rPr>
          <w:color w:val="000080"/>
          <w:rtl/>
        </w:rPr>
        <w:t>أَخْبَرَنَا مَالِكٌ، عَنِ ابْنِ شِهَابٍ، عَنْ سَعِيدِ بْنِ الْمُسَيِّبِ، أَنَّ عُثْمَانَ بْنَ عَفَّانَ، قَالَ: «مَنْ نَحَلَ وَلَدًا لَهُ صَغِيرًا لَمْ يَبْلُغْ أَنْ يَحُوزَ نُحْلَةٌ فَأَعْلَنَ بِهَا وَأَشْهَدَ عَلَيْهَا فَهِيَ جَائِز</w:t>
      </w:r>
      <w:r w:rsidR="009E129C">
        <w:rPr>
          <w:color w:val="000080"/>
          <w:rtl/>
        </w:rPr>
        <w:t>َةٌ، وَإِنْ وَلِيَهَا أَبُوهُ»</w:t>
      </w:r>
      <w:r w:rsidR="009E129C">
        <w:rPr>
          <w:rStyle w:val="FootnoteReference"/>
          <w:color w:val="000080"/>
          <w:rtl/>
        </w:rPr>
        <w:footnoteReference w:id="2"/>
      </w:r>
    </w:p>
    <w:p w:rsidR="001755AB" w:rsidRDefault="00A15790" w:rsidP="00881037">
      <w:pPr>
        <w:jc w:val="both"/>
        <w:rPr>
          <w:rtl/>
        </w:rPr>
      </w:pPr>
      <w:r>
        <w:rPr>
          <w:rFonts w:hint="cs"/>
          <w:rtl/>
        </w:rPr>
        <w:lastRenderedPageBreak/>
        <w:t>عبارت «</w:t>
      </w:r>
      <w:r w:rsidRPr="00A15790">
        <w:rPr>
          <w:rtl/>
        </w:rPr>
        <w:t xml:space="preserve"> نُحْلَةٌ</w:t>
      </w:r>
      <w:r>
        <w:rPr>
          <w:rFonts w:hint="cs"/>
          <w:rtl/>
        </w:rPr>
        <w:t>» یا «نُحلُهُ» می تواند باشد و هر دو صحیح</w:t>
      </w:r>
      <w:r w:rsidR="001755AB">
        <w:rPr>
          <w:rFonts w:hint="cs"/>
          <w:rtl/>
        </w:rPr>
        <w:t xml:space="preserve"> است</w:t>
      </w:r>
      <w:r>
        <w:rPr>
          <w:rFonts w:hint="cs"/>
          <w:rtl/>
        </w:rPr>
        <w:t xml:space="preserve"> و تفاوت معنایی ندارد. </w:t>
      </w:r>
    </w:p>
    <w:p w:rsidR="00A15790" w:rsidRDefault="001755AB" w:rsidP="00881037">
      <w:pPr>
        <w:jc w:val="both"/>
        <w:rPr>
          <w:rtl/>
        </w:rPr>
      </w:pPr>
      <w:r>
        <w:rPr>
          <w:rFonts w:hint="cs"/>
          <w:rtl/>
        </w:rPr>
        <w:t>در این نقل آمده:</w:t>
      </w:r>
      <w:r w:rsidR="00A15790">
        <w:rPr>
          <w:rFonts w:hint="cs"/>
          <w:rtl/>
        </w:rPr>
        <w:t xml:space="preserve"> اگر کسی به ولد صغیر خود که به سنی نرسیده که بتواند آن را قبض کند نحله ای بدهد، جواز این نحله مشروط به اعلان و اشهاد است. </w:t>
      </w:r>
    </w:p>
    <w:p w:rsidR="00A15790" w:rsidRDefault="00A15790" w:rsidP="00881037">
      <w:pPr>
        <w:jc w:val="both"/>
        <w:rPr>
          <w:rtl/>
        </w:rPr>
      </w:pPr>
      <w:r>
        <w:rPr>
          <w:rFonts w:hint="cs"/>
          <w:rtl/>
        </w:rPr>
        <w:t>ادامه عبارت اگر «انّ ولیَّها ابوه» باشد بیان می کند: ولیّ این نحله پدر است و قبض پدر، قبض فرزند است. اگر «ان وَل</w:t>
      </w:r>
      <w:r w:rsidR="0063713E">
        <w:rPr>
          <w:rFonts w:hint="cs"/>
          <w:rtl/>
        </w:rPr>
        <w:t xml:space="preserve">ِیَها ابوه» باشد نیز همین مطلب را بیان می کند که پدر او سرپرستی نحله را بر عهده دارد و قبض پدر به منزله فرزند و کافی است. </w:t>
      </w:r>
    </w:p>
    <w:p w:rsidR="00FD51FB" w:rsidRDefault="009E129C" w:rsidP="00881037">
      <w:pPr>
        <w:jc w:val="both"/>
        <w:rPr>
          <w:rtl/>
        </w:rPr>
      </w:pPr>
      <w:r>
        <w:rPr>
          <w:rFonts w:hint="cs"/>
          <w:rtl/>
        </w:rPr>
        <w:t xml:space="preserve">مطابق این تعبیر در نحله دو شرط را قائل هستند: قبض و اشهاد. </w:t>
      </w:r>
      <w:r w:rsidR="00FD51FB">
        <w:rPr>
          <w:rFonts w:hint="cs"/>
          <w:rtl/>
        </w:rPr>
        <w:t xml:space="preserve">از سایر عبارات استفاده می شود که لااقل برای لزوم نحله، اشهاد شرط است و پیش از اشهاد، می تواند رجوع کند. </w:t>
      </w:r>
    </w:p>
    <w:p w:rsidR="00FD51FB" w:rsidRPr="00A15790" w:rsidRDefault="00FD51FB" w:rsidP="00881037">
      <w:pPr>
        <w:jc w:val="both"/>
        <w:rPr>
          <w:rtl/>
        </w:rPr>
      </w:pPr>
      <w:r>
        <w:rPr>
          <w:rFonts w:hint="cs"/>
          <w:rtl/>
        </w:rPr>
        <w:t xml:space="preserve">در ادامه آمده است: </w:t>
      </w:r>
    </w:p>
    <w:p w:rsidR="00A15790" w:rsidRPr="00A15790" w:rsidRDefault="00A15790" w:rsidP="00881037">
      <w:pPr>
        <w:jc w:val="both"/>
        <w:rPr>
          <w:color w:val="000080"/>
          <w:rtl/>
        </w:rPr>
      </w:pPr>
      <w:r w:rsidRPr="00A15790">
        <w:rPr>
          <w:color w:val="000080"/>
          <w:rtl/>
        </w:rPr>
        <w:t>قَالَ مُحَمَّدٌ: وَبِهَذَا كُلِّهِ نَأْخُذُ، يَنْبَغِي لِلرَّجُلِ أَنْ يُسَوِّيَ بَيْنَ وَلَدِهِ فِي النُّحْلَةِ، وَلا يُفَضِّلُ بَعْضَهُمْ عَلَى بَعْضٍ، فَمَنْ نَحَلَ نُحْلَةً وَلَدًا أَوْ غَيْرَهُ فَلَمْ يَقْبِضْهَا الَّذِي ن</w:t>
      </w:r>
      <w:r w:rsidR="000E4620">
        <w:rPr>
          <w:color w:val="000080"/>
          <w:rtl/>
        </w:rPr>
        <w:t>ح</w:t>
      </w:r>
      <w:r w:rsidRPr="00A15790">
        <w:rPr>
          <w:color w:val="000080"/>
          <w:rtl/>
        </w:rPr>
        <w:t>لَهَا حَتَّى مَاتَ النَّاحِلُ وَالْمَنْحُولُ فَهِيَ مَرْدُودَةٌ عَلَى النَّاحِلِ وَعَلَى وَرَثَتِهِ، وَلا تَجُوزُ لِلْمَنْحُولِ حَتَّى يَقْبِضَهَا، إِلا الْوَلَدَ الصَّغِيرَ، فَإ</w:t>
      </w:r>
      <w:r w:rsidR="000E4620">
        <w:rPr>
          <w:color w:val="000080"/>
          <w:rtl/>
        </w:rPr>
        <w:t>ِن</w:t>
      </w:r>
      <w:r w:rsidR="000E4620">
        <w:rPr>
          <w:rFonts w:hint="cs"/>
          <w:color w:val="000080"/>
          <w:rtl/>
        </w:rPr>
        <w:t>ّ</w:t>
      </w:r>
      <w:r w:rsidR="000E4620">
        <w:rPr>
          <w:color w:val="000080"/>
          <w:rtl/>
        </w:rPr>
        <w:t xml:space="preserve"> قَبَضَ وَالِد</w:t>
      </w:r>
      <w:r w:rsidR="000E4620">
        <w:rPr>
          <w:rFonts w:hint="cs"/>
          <w:color w:val="000080"/>
          <w:rtl/>
        </w:rPr>
        <w:t>ِ</w:t>
      </w:r>
      <w:r w:rsidR="000E4620">
        <w:rPr>
          <w:color w:val="000080"/>
          <w:rtl/>
        </w:rPr>
        <w:t>ه</w:t>
      </w:r>
      <w:r w:rsidRPr="00A15790">
        <w:rPr>
          <w:color w:val="000080"/>
          <w:rtl/>
        </w:rPr>
        <w:t xml:space="preserve"> لَهُ قَبْضٌ فَإِذَا أَعْلَنَهَا وَأَشْهَدَ بِهَا فَهِيَ جَائِزَةٌ لِوَلَدِهِ، وَلا سَبِيلَ لِلْوَالِدِ إِلَى الرَّجْعَةِ فِيهَا، وَلا إِلَى اغْتِصَابِهَا بَعْدَ أَنْ أَشْهَدَ عَلَيْهَا.</w:t>
      </w:r>
      <w:r w:rsidRPr="00A15790">
        <w:rPr>
          <w:rFonts w:hint="cs"/>
          <w:color w:val="000080"/>
          <w:rtl/>
        </w:rPr>
        <w:t xml:space="preserve"> </w:t>
      </w:r>
      <w:r w:rsidRPr="00A15790">
        <w:rPr>
          <w:color w:val="000080"/>
          <w:rtl/>
        </w:rPr>
        <w:t>وَهُوَ قَوْلُ أَبِي حَنِيفَةَ وَالْعَامَّةِ مِنْ فُقَهَائِنَا</w:t>
      </w:r>
    </w:p>
    <w:p w:rsidR="001A1EA5" w:rsidRDefault="00FD51FB" w:rsidP="00881037">
      <w:pPr>
        <w:jc w:val="both"/>
        <w:rPr>
          <w:rtl/>
        </w:rPr>
      </w:pPr>
      <w:r>
        <w:rPr>
          <w:rFonts w:hint="cs"/>
          <w:rtl/>
        </w:rPr>
        <w:t xml:space="preserve">مراد از «محمد» محمد بن حسن شیبانی است. </w:t>
      </w:r>
    </w:p>
    <w:p w:rsidR="000E4620" w:rsidRDefault="000E4620" w:rsidP="00881037">
      <w:pPr>
        <w:jc w:val="both"/>
        <w:rPr>
          <w:rtl/>
        </w:rPr>
      </w:pPr>
      <w:r>
        <w:rPr>
          <w:rFonts w:hint="cs"/>
          <w:rtl/>
        </w:rPr>
        <w:t xml:space="preserve">در این عبارت، قبض والد، قبض فرزند شمرده شده است اما بیان می کند: قبض کافی نیست و باید اعلان و اشهاد نیز بکند. «جائزه» به معنای «لازمه» است و به همین دلیل والد بعد از اشهاد حق رجوع ندارد و لازم می شود. </w:t>
      </w:r>
      <w:r w:rsidR="00501A67">
        <w:rPr>
          <w:rFonts w:hint="cs"/>
          <w:rtl/>
        </w:rPr>
        <w:t xml:space="preserve">علی القاعده مراد از «فقهائنا» فقهای حنفیه است زیرا محمد بن حسن شیبانی فقیه معروف حنفی است. </w:t>
      </w:r>
    </w:p>
    <w:p w:rsidR="00501A67" w:rsidRDefault="0094065E" w:rsidP="00881037">
      <w:pPr>
        <w:jc w:val="both"/>
        <w:rPr>
          <w:rtl/>
        </w:rPr>
      </w:pPr>
      <w:r>
        <w:rPr>
          <w:rFonts w:hint="cs"/>
          <w:rtl/>
        </w:rPr>
        <w:t xml:space="preserve">برخی از قطعات این عبارت در این منابع نیز آمده است: معرفة السنن و الآثار للبیهقی، جلد ۱۰، صفحۀ ۲۴۴؛ الجامع لمسائل المدونه، ۱۹/ ۵۵۲ و ۵۶۴؛ استذکار ابن عبد البر، ۷/ ۳۰۷؛ </w:t>
      </w:r>
      <w:r w:rsidR="000B43F0">
        <w:rPr>
          <w:rFonts w:hint="cs"/>
          <w:rtl/>
        </w:rPr>
        <w:t xml:space="preserve">البته علی القاعده این مطلب در منابع دیگر عامه نیز آمده است که باید با رجوع به آنها، آدرس ها تکمیل شود. </w:t>
      </w:r>
    </w:p>
    <w:p w:rsidR="000B43F0" w:rsidRDefault="000B43F0" w:rsidP="00881037">
      <w:pPr>
        <w:jc w:val="both"/>
        <w:rPr>
          <w:rtl/>
        </w:rPr>
      </w:pPr>
      <w:r>
        <w:rPr>
          <w:rFonts w:hint="cs"/>
          <w:rtl/>
        </w:rPr>
        <w:t xml:space="preserve">در الجامع لسمائل المدونه ج 19، ص: 552 </w:t>
      </w:r>
      <w:r w:rsidR="00C34834">
        <w:rPr>
          <w:rFonts w:hint="cs"/>
          <w:rtl/>
        </w:rPr>
        <w:t xml:space="preserve">عبارت دیگری نیز وجود دارد. در آن آمده است: </w:t>
      </w:r>
    </w:p>
    <w:p w:rsidR="00E56E17" w:rsidRPr="00E56E17" w:rsidRDefault="00E56E17" w:rsidP="00881037">
      <w:pPr>
        <w:jc w:val="both"/>
        <w:rPr>
          <w:color w:val="000080"/>
          <w:rtl/>
        </w:rPr>
      </w:pPr>
      <w:r w:rsidRPr="00E56E17">
        <w:rPr>
          <w:rFonts w:hint="cs"/>
          <w:color w:val="000080"/>
          <w:rtl/>
        </w:rPr>
        <w:t>قال مالک فالاب یحوز للصغار من ولده و لمن بلغ من ابکار بناته ما وهبهم هو و اشهد. قال ابو محمد یرید فی ما یعرف او کان دارا و لم یسکن منها ما له قدر و بال.</w:t>
      </w:r>
    </w:p>
    <w:p w:rsidR="00B67C75" w:rsidRDefault="00E56E17" w:rsidP="00881037">
      <w:pPr>
        <w:jc w:val="both"/>
        <w:rPr>
          <w:rtl/>
        </w:rPr>
      </w:pPr>
      <w:r>
        <w:rPr>
          <w:rFonts w:hint="cs"/>
          <w:rtl/>
        </w:rPr>
        <w:lastRenderedPageBreak/>
        <w:t>عامه دختر باکره را محجور می دانند و ولایت او را با پدر می دانند. در این عبارت «اشهد» قید شده است.</w:t>
      </w:r>
      <w:r w:rsidR="00B67C75">
        <w:rPr>
          <w:rFonts w:hint="cs"/>
          <w:rtl/>
        </w:rPr>
        <w:t xml:space="preserve"> باید درباره مراد از قیودی که ذکر شده، دقت کرد. </w:t>
      </w:r>
    </w:p>
    <w:p w:rsidR="004C41AE" w:rsidRDefault="00B67C75" w:rsidP="00881037">
      <w:pPr>
        <w:jc w:val="both"/>
        <w:rPr>
          <w:rtl/>
        </w:rPr>
      </w:pPr>
      <w:r>
        <w:rPr>
          <w:rFonts w:hint="cs"/>
          <w:rtl/>
        </w:rPr>
        <w:t xml:space="preserve">در ص: 609 </w:t>
      </w:r>
      <w:r w:rsidR="004C41AE">
        <w:rPr>
          <w:rFonts w:hint="cs"/>
          <w:rtl/>
        </w:rPr>
        <w:t>مطلبی را از مالک نقل کرده است:</w:t>
      </w:r>
    </w:p>
    <w:p w:rsidR="004C41AE" w:rsidRPr="004C41AE" w:rsidRDefault="004C41AE" w:rsidP="00881037">
      <w:pPr>
        <w:jc w:val="both"/>
        <w:rPr>
          <w:color w:val="000080"/>
          <w:rtl/>
        </w:rPr>
      </w:pPr>
      <w:r w:rsidRPr="004C41AE">
        <w:rPr>
          <w:rFonts w:hint="cs"/>
          <w:color w:val="000080"/>
          <w:rtl/>
        </w:rPr>
        <w:t>قال مالک و لا تکون الام حائزة لما تصدقت او وهبت للصغار بنیها و ان اشهدت بخلاف الاب الا ان تکون وصیة للوالد او وصیة وصی الوالد فیتم حوزها لهم</w:t>
      </w:r>
    </w:p>
    <w:p w:rsidR="004C41AE" w:rsidRDefault="004C41AE" w:rsidP="00881037">
      <w:pPr>
        <w:jc w:val="both"/>
        <w:rPr>
          <w:rtl/>
        </w:rPr>
      </w:pPr>
      <w:r>
        <w:rPr>
          <w:rFonts w:hint="cs"/>
          <w:rtl/>
        </w:rPr>
        <w:t>به این مع</w:t>
      </w:r>
      <w:r w:rsidR="001755AB">
        <w:rPr>
          <w:rFonts w:hint="cs"/>
          <w:rtl/>
        </w:rPr>
        <w:t>نا که مادر نمی تواند به جای فرزندان صغیرش</w:t>
      </w:r>
      <w:r>
        <w:rPr>
          <w:rFonts w:hint="cs"/>
          <w:rtl/>
        </w:rPr>
        <w:t xml:space="preserve"> صدقه و هبه ای که برای بچه ها کرده را حیازت کند و حتی شاهد گرفتن نیز کافی نیست. زیرا این امر شأن پدر است. مگر آنکه مادر وصیّ پدر باشد یا وصیّ پدر به مادر وصیت کرده باشد. </w:t>
      </w:r>
    </w:p>
    <w:p w:rsidR="00D36E5C" w:rsidRDefault="00910D44" w:rsidP="00881037">
      <w:pPr>
        <w:jc w:val="both"/>
        <w:rPr>
          <w:rtl/>
        </w:rPr>
      </w:pPr>
      <w:r>
        <w:rPr>
          <w:rFonts w:hint="cs"/>
          <w:rtl/>
        </w:rPr>
        <w:t xml:space="preserve">در این عبارت بیان شده: مادر حق قبض ندارد و تنها پدر حق قبض دارد. سپس بیان می کند: اشهاد در قبض مادر کفایت نمی کند. </w:t>
      </w:r>
    </w:p>
    <w:p w:rsidR="00643990" w:rsidRDefault="00643990" w:rsidP="00881037">
      <w:pPr>
        <w:jc w:val="both"/>
        <w:rPr>
          <w:rtl/>
        </w:rPr>
      </w:pPr>
      <w:r>
        <w:rPr>
          <w:rFonts w:hint="cs"/>
          <w:rtl/>
        </w:rPr>
        <w:t xml:space="preserve">در استذکار ج 7 ص 232 آمده است: </w:t>
      </w:r>
    </w:p>
    <w:p w:rsidR="00643990" w:rsidRPr="00643990" w:rsidRDefault="00643990" w:rsidP="00881037">
      <w:pPr>
        <w:jc w:val="both"/>
        <w:rPr>
          <w:color w:val="000080"/>
          <w:rtl/>
        </w:rPr>
      </w:pPr>
      <w:r w:rsidRPr="00643990">
        <w:rPr>
          <w:color w:val="000080"/>
          <w:rtl/>
        </w:rPr>
        <w:t>قَالَ مَالِكٌ الْأَمْرُ عِنْدَنَا فِيمَنْ أَعْطَى أَحَدًا عَطِيَّةً لَا يُرِيدُ ثَوَابَهَا فَأَشْهَدَ عَلَيْهَا فَإِنَّهَا ثَابِتَةٌ لِلَّذِي أُعْطِيَهَا إِلَّا أَنْ يَمُوتَ الْمُعْطِي قَبْلَ أَنْ يَقْبِضَهَا الَّذِي أُعْطِيَهَا</w:t>
      </w:r>
      <w:r>
        <w:rPr>
          <w:rFonts w:hint="cs"/>
          <w:color w:val="000080"/>
          <w:rtl/>
        </w:rPr>
        <w:t xml:space="preserve"> </w:t>
      </w:r>
      <w:r w:rsidRPr="00643990">
        <w:rPr>
          <w:color w:val="000080"/>
          <w:rtl/>
        </w:rPr>
        <w:t>قَالَ وَإِنْ أَرَادَ الْمُعْطِي إِمْسَاكَهَا بَعْدَ أَنْ أَشْهَدَ عَلَيْهَا فليس ذلك له وإذا قَامَ عَلَيْهِ بِهَا صَاحِبُهَا أَخَذَهَا</w:t>
      </w:r>
      <w:r>
        <w:rPr>
          <w:rStyle w:val="FootnoteReference"/>
          <w:color w:val="000080"/>
          <w:rtl/>
        </w:rPr>
        <w:footnoteReference w:id="3"/>
      </w:r>
    </w:p>
    <w:p w:rsidR="00C34834" w:rsidRDefault="004A01DB" w:rsidP="00881037">
      <w:pPr>
        <w:jc w:val="both"/>
        <w:rPr>
          <w:rtl/>
        </w:rPr>
      </w:pPr>
      <w:r>
        <w:rPr>
          <w:rFonts w:hint="cs"/>
          <w:rtl/>
        </w:rPr>
        <w:t>احتمال دارد مالک قائل باشد که بعد از اشهاد، اقباض لازم است. به این معنا که قبض شرط صحت است اما با این حال</w:t>
      </w:r>
      <w:r w:rsidR="001755AB">
        <w:rPr>
          <w:rFonts w:hint="cs"/>
          <w:rtl/>
        </w:rPr>
        <w:t xml:space="preserve"> معطی</w:t>
      </w:r>
      <w:r>
        <w:rPr>
          <w:rFonts w:hint="cs"/>
          <w:rtl/>
        </w:rPr>
        <w:t xml:space="preserve"> ملزم است که پس از اشهاد، مال را به قبض برساند و اگر معطی، پیش از قبض از دنیا برود، اعطاء به هم می خورد. </w:t>
      </w:r>
    </w:p>
    <w:p w:rsidR="00E77DDB" w:rsidRDefault="00E77DDB" w:rsidP="00881037">
      <w:pPr>
        <w:jc w:val="both"/>
        <w:rPr>
          <w:rtl/>
        </w:rPr>
      </w:pPr>
      <w:r>
        <w:rPr>
          <w:rFonts w:hint="cs"/>
          <w:rtl/>
        </w:rPr>
        <w:t xml:space="preserve">این مطلب نیازمند تتبّع بیشتر در کلمات عامه است. </w:t>
      </w:r>
    </w:p>
    <w:p w:rsidR="00EC4AFA" w:rsidRDefault="00EC4AFA" w:rsidP="00881037">
      <w:pPr>
        <w:jc w:val="both"/>
        <w:rPr>
          <w:rtl/>
        </w:rPr>
      </w:pPr>
      <w:r>
        <w:rPr>
          <w:rFonts w:hint="cs"/>
          <w:rtl/>
        </w:rPr>
        <w:t>با توجه به این عبارات، به نظر می رسد مراد از «عُلِمت او لم تُعلم» همین اشهادی است که مرحوم حائری بیان کرده است. به این صورت که در عامه، قبض و اشهاد شرط صحت صدقه است و روایت ابی مریم بیان می کند: در صدقه نه قبض معتبر است و نه اشهاد بر خلاف کلام عامه.</w:t>
      </w:r>
      <w:r w:rsidR="001755AB">
        <w:rPr>
          <w:rStyle w:val="FootnoteReference"/>
          <w:rtl/>
        </w:rPr>
        <w:footnoteReference w:id="4"/>
      </w:r>
      <w:r>
        <w:rPr>
          <w:rFonts w:hint="cs"/>
          <w:rtl/>
        </w:rPr>
        <w:t xml:space="preserve"> </w:t>
      </w:r>
    </w:p>
    <w:p w:rsidR="00582B86" w:rsidRDefault="00582B86" w:rsidP="00881037">
      <w:pPr>
        <w:jc w:val="both"/>
        <w:rPr>
          <w:rtl/>
        </w:rPr>
      </w:pPr>
      <w:r>
        <w:rPr>
          <w:rFonts w:hint="cs"/>
          <w:rtl/>
        </w:rPr>
        <w:t>سوال: آیا «عُلِمت» به معنای اشهاد استعمال می شود؟</w:t>
      </w:r>
    </w:p>
    <w:p w:rsidR="00582B86" w:rsidRDefault="00582B86" w:rsidP="00881037">
      <w:pPr>
        <w:jc w:val="both"/>
        <w:rPr>
          <w:rtl/>
        </w:rPr>
      </w:pPr>
      <w:r>
        <w:rPr>
          <w:rFonts w:hint="cs"/>
          <w:rtl/>
        </w:rPr>
        <w:t>پاسخ: با توجه به فتاوای عامه، استعمال «عُلِمت» به معنای اشهاد، بعید نیست. حتی این احتمال وجود دارد که «عُلّ</w:t>
      </w:r>
      <w:r w:rsidR="00F34E37">
        <w:rPr>
          <w:rFonts w:hint="cs"/>
          <w:rtl/>
        </w:rPr>
        <w:t>ِ</w:t>
      </w:r>
      <w:r>
        <w:rPr>
          <w:rFonts w:hint="cs"/>
          <w:rtl/>
        </w:rPr>
        <w:t xml:space="preserve">مت» در اصل «اُعلِنت» بوده و به علت اشتباه در شنیدن به صورت «عُلّمت» نقل شده است. </w:t>
      </w:r>
      <w:r w:rsidR="00F34E37">
        <w:rPr>
          <w:rFonts w:hint="cs"/>
          <w:rtl/>
        </w:rPr>
        <w:t xml:space="preserve">این احتمال بدین خاطر است که معمولا در کلمات عامه، «اُعلِنت» به معنای علنی کردن و اشهاد به کار رفته است. </w:t>
      </w:r>
    </w:p>
    <w:p w:rsidR="005870DD" w:rsidRDefault="00CC3BE1" w:rsidP="00881037">
      <w:pPr>
        <w:jc w:val="both"/>
        <w:rPr>
          <w:rtl/>
        </w:rPr>
      </w:pPr>
      <w:r>
        <w:rPr>
          <w:rFonts w:hint="cs"/>
          <w:rtl/>
        </w:rPr>
        <w:t xml:space="preserve">در روایت </w:t>
      </w:r>
      <w:r w:rsidR="001755AB">
        <w:rPr>
          <w:rFonts w:hint="cs"/>
          <w:rtl/>
        </w:rPr>
        <w:t xml:space="preserve">نیز </w:t>
      </w:r>
      <w:r>
        <w:rPr>
          <w:rFonts w:hint="cs"/>
          <w:rtl/>
        </w:rPr>
        <w:t xml:space="preserve">وارد شده است: </w:t>
      </w:r>
    </w:p>
    <w:p w:rsidR="00CC3BE1" w:rsidRDefault="00CC3BE1" w:rsidP="00881037">
      <w:pPr>
        <w:jc w:val="both"/>
        <w:rPr>
          <w:color w:val="008000"/>
          <w:rtl/>
        </w:rPr>
      </w:pPr>
      <w:r w:rsidRPr="00CC3BE1">
        <w:rPr>
          <w:color w:val="008000"/>
          <w:rtl/>
        </w:rPr>
        <w:t>عَنْ دَاوُدَ بْنِ الْحُصَيْنِ عَنْ أَبِي عَبْدِ اللَّهِ</w:t>
      </w:r>
      <w:r w:rsidR="00881037">
        <w:rPr>
          <w:color w:val="008000"/>
          <w:rtl/>
        </w:rPr>
        <w:t xml:space="preserve"> علیه السلام </w:t>
      </w:r>
      <w:r w:rsidRPr="00CC3BE1">
        <w:rPr>
          <w:color w:val="008000"/>
          <w:rtl/>
        </w:rPr>
        <w:t>قَالَ: الْهِبَةُ وَ النِّحْلَةُ مَا لَمْ تُقْبَضْ حَتَّى يَمُوتَ صَاحِبُهَا قَالَ هُوَ مِيرَاثٌ فَإِنْ كَانَتْ لِصَبِيٍّ فِي حَجْرِهِ فَأَشْهَدَ عَلَيْهِ فَهُوَ جَائِزٌ.</w:t>
      </w:r>
      <w:r>
        <w:rPr>
          <w:rStyle w:val="FootnoteReference"/>
          <w:color w:val="008000"/>
          <w:rtl/>
        </w:rPr>
        <w:footnoteReference w:id="5"/>
      </w:r>
    </w:p>
    <w:p w:rsidR="001755AB" w:rsidRDefault="001755AB" w:rsidP="00881037">
      <w:pPr>
        <w:jc w:val="both"/>
        <w:rPr>
          <w:rtl/>
        </w:rPr>
      </w:pPr>
      <w:r>
        <w:rPr>
          <w:rFonts w:hint="cs"/>
          <w:rtl/>
        </w:rPr>
        <w:t xml:space="preserve">این روایت هم می تواند شاهد بر معنای کردن «علّمت» به اشهاد باشد. </w:t>
      </w:r>
    </w:p>
    <w:p w:rsidR="00CC3BE1" w:rsidRDefault="00CC3BE1" w:rsidP="00881037">
      <w:pPr>
        <w:jc w:val="both"/>
        <w:rPr>
          <w:rtl/>
        </w:rPr>
      </w:pPr>
      <w:r>
        <w:rPr>
          <w:rFonts w:hint="cs"/>
          <w:rtl/>
        </w:rPr>
        <w:t xml:space="preserve">در نتیجه، </w:t>
      </w:r>
      <w:r w:rsidR="001755AB">
        <w:rPr>
          <w:rFonts w:hint="cs"/>
          <w:rtl/>
        </w:rPr>
        <w:t>در روایت ابی مریم لزوم اشهاد نفی شده و اشهاد پس از تصدّق است. به همین قرینه</w:t>
      </w:r>
      <w:r>
        <w:rPr>
          <w:rFonts w:hint="cs"/>
          <w:rtl/>
        </w:rPr>
        <w:t xml:space="preserve"> روایت ابی مریم ناظر به قبض بعد از تصدّق است و تصریح می کند: در صدقه قبض معتبر نیست. پس این روایت، صریحا عدم اعتبار قبض و اشهاد را مطرح کرده و ناظر به قول عامه در معتبر دانستن قبض و اشهاد است. </w:t>
      </w:r>
    </w:p>
    <w:p w:rsidR="001755AB" w:rsidRPr="001755AB" w:rsidRDefault="001755AB" w:rsidP="00881037">
      <w:pPr>
        <w:pStyle w:val="Heading2"/>
        <w:jc w:val="both"/>
        <w:rPr>
          <w:rtl/>
        </w:rPr>
      </w:pPr>
      <w:bookmarkStart w:id="7" w:name="_Toc122328911"/>
      <w:r>
        <w:rPr>
          <w:rFonts w:hint="cs"/>
          <w:rtl/>
        </w:rPr>
        <w:t>جمع بین صحیحه ابی مریم و سایر روایات</w:t>
      </w:r>
      <w:bookmarkEnd w:id="7"/>
      <w:r>
        <w:rPr>
          <w:rFonts w:hint="cs"/>
          <w:rtl/>
        </w:rPr>
        <w:t xml:space="preserve"> </w:t>
      </w:r>
    </w:p>
    <w:p w:rsidR="00CC3BE1" w:rsidRDefault="00D62DB3" w:rsidP="00881037">
      <w:pPr>
        <w:jc w:val="both"/>
        <w:rPr>
          <w:rtl/>
        </w:rPr>
      </w:pPr>
      <w:r>
        <w:rPr>
          <w:rFonts w:hint="cs"/>
          <w:rtl/>
        </w:rPr>
        <w:t>درباره این روایت دو نحوه باید بحث کرد: اول در صورتی که «او هبه» در روایت وجود داشته باشد</w:t>
      </w:r>
      <w:r w:rsidR="00A93302">
        <w:rPr>
          <w:rFonts w:hint="cs"/>
          <w:rtl/>
        </w:rPr>
        <w:t xml:space="preserve"> چنانچه در نقل تهذیبین «او هبه» وجود دارد</w:t>
      </w:r>
      <w:r>
        <w:rPr>
          <w:rFonts w:hint="cs"/>
          <w:rtl/>
        </w:rPr>
        <w:t>. و دوم در صورتی که «او هبه» در روایت وجود نداش</w:t>
      </w:r>
      <w:r w:rsidR="00A93302">
        <w:rPr>
          <w:rFonts w:hint="cs"/>
          <w:rtl/>
        </w:rPr>
        <w:t xml:space="preserve">ته باشد چنانچه در نقل کافی «او هبه» ندارد. </w:t>
      </w:r>
    </w:p>
    <w:p w:rsidR="001755AB" w:rsidRDefault="001755AB" w:rsidP="00881037">
      <w:pPr>
        <w:pStyle w:val="Heading3"/>
        <w:jc w:val="both"/>
        <w:rPr>
          <w:rtl/>
        </w:rPr>
      </w:pPr>
      <w:bookmarkStart w:id="8" w:name="_Toc122328912"/>
      <w:r>
        <w:rPr>
          <w:rFonts w:hint="cs"/>
          <w:rtl/>
        </w:rPr>
        <w:t>صورت اول: نبود «او هبه» در صحیحه ابی مریم</w:t>
      </w:r>
      <w:bookmarkEnd w:id="8"/>
      <w:r>
        <w:rPr>
          <w:rFonts w:hint="cs"/>
          <w:rtl/>
        </w:rPr>
        <w:t xml:space="preserve"> </w:t>
      </w:r>
    </w:p>
    <w:p w:rsidR="00A93302" w:rsidRDefault="004E2D96" w:rsidP="00881037">
      <w:pPr>
        <w:jc w:val="both"/>
        <w:rPr>
          <w:rtl/>
        </w:rPr>
      </w:pPr>
      <w:r>
        <w:rPr>
          <w:rFonts w:hint="cs"/>
          <w:rtl/>
        </w:rPr>
        <w:t xml:space="preserve">در صورت نبود «او هبه» مشکل اصلی این روایت، تعارض آن با روایاتی است به صورت صریح قبض را در صورتی که متصدق علیه مشخص دارد، شرط کرده است. </w:t>
      </w:r>
      <w:r w:rsidR="007F2700">
        <w:rPr>
          <w:rFonts w:hint="cs"/>
          <w:rtl/>
        </w:rPr>
        <w:t xml:space="preserve">به خصوص آنکه مراد از «جائزه»، «لازمه» است چنانچه علامه مجلسی نیز همین معنا را استظهار کردند. </w:t>
      </w:r>
      <w:r w:rsidR="00E956FD">
        <w:rPr>
          <w:rFonts w:hint="cs"/>
          <w:rtl/>
        </w:rPr>
        <w:t xml:space="preserve">«جائزه» در لغت و استعمالات عامه نیز به همین معناست. </w:t>
      </w:r>
    </w:p>
    <w:p w:rsidR="00E956FD" w:rsidRDefault="00E956FD" w:rsidP="00881037">
      <w:pPr>
        <w:jc w:val="both"/>
        <w:rPr>
          <w:rtl/>
        </w:rPr>
      </w:pPr>
      <w:r>
        <w:rPr>
          <w:rFonts w:hint="cs"/>
          <w:rtl/>
        </w:rPr>
        <w:t xml:space="preserve">در روایت محمد بن مسلم وارد شده است: </w:t>
      </w:r>
    </w:p>
    <w:p w:rsidR="00E956FD" w:rsidRDefault="00E956FD" w:rsidP="00881037">
      <w:pPr>
        <w:jc w:val="both"/>
        <w:rPr>
          <w:color w:val="008000"/>
          <w:rtl/>
        </w:rPr>
      </w:pPr>
      <w:r w:rsidRPr="008375E8">
        <w:rPr>
          <w:color w:val="008000"/>
          <w:rtl/>
        </w:rPr>
        <w:t>عَنْ مُحَمَّدِ بْنِ مُسْلِمٍ عَنْ أَبِي جَعْفَرٍ</w:t>
      </w:r>
      <w:r>
        <w:rPr>
          <w:color w:val="008000"/>
          <w:rtl/>
        </w:rPr>
        <w:t xml:space="preserve"> علیه السلام </w:t>
      </w:r>
      <w:r w:rsidRPr="008375E8">
        <w:rPr>
          <w:color w:val="008000"/>
          <w:rtl/>
        </w:rPr>
        <w:t>أَنَّهُ قَالَ: فِي الرَّجُلِ يَتَصَدَّقُ عَلَى وُلْدٍ</w:t>
      </w:r>
      <w:r>
        <w:rPr>
          <w:rFonts w:hint="cs"/>
          <w:color w:val="008000"/>
          <w:rtl/>
        </w:rPr>
        <w:t xml:space="preserve"> له</w:t>
      </w:r>
      <w:r w:rsidRPr="008375E8">
        <w:rPr>
          <w:color w:val="008000"/>
          <w:rtl/>
        </w:rPr>
        <w:t xml:space="preserve"> قَدْ أَدْرَكُوا إِذَا لَمْ يَقْبِضُوا حَتَّى يَمُوتَ فَهُوَ مِيرَاثٌ</w:t>
      </w:r>
      <w:r>
        <w:rPr>
          <w:rFonts w:hint="cs"/>
          <w:rtl/>
        </w:rPr>
        <w:t xml:space="preserve"> </w:t>
      </w:r>
      <w:r w:rsidRPr="008375E8">
        <w:rPr>
          <w:color w:val="008000"/>
          <w:rtl/>
        </w:rPr>
        <w:t>فَإِنْ تَصَدَّقَ عَلَى مَنْ لَمْ يُدْرِكْ مِنْ وُلْدِهِ فَهُوَ جَائِزٌ لِأَنَّ وَالِدَهُ هُوَ الَّذِي يَلِي أَمْرَهُ.</w:t>
      </w:r>
      <w:r>
        <w:rPr>
          <w:rStyle w:val="FootnoteReference"/>
          <w:color w:val="008000"/>
          <w:rtl/>
        </w:rPr>
        <w:footnoteReference w:id="6"/>
      </w:r>
    </w:p>
    <w:p w:rsidR="00E956FD" w:rsidRDefault="00E956FD" w:rsidP="00881037">
      <w:pPr>
        <w:jc w:val="both"/>
        <w:rPr>
          <w:rtl/>
        </w:rPr>
      </w:pPr>
      <w:r>
        <w:rPr>
          <w:rFonts w:hint="cs"/>
          <w:rtl/>
        </w:rPr>
        <w:t xml:space="preserve">«والده هو الذی یلی امره» شبیه عبارت «انّ ولیّه ابوه» در کلام عامه است که در مقام بیان تعلیل است. </w:t>
      </w:r>
      <w:r w:rsidR="00FB6A33">
        <w:rPr>
          <w:rFonts w:hint="cs"/>
          <w:rtl/>
        </w:rPr>
        <w:t xml:space="preserve">در روایت محمد بن مسلم تصریح شده که در صدقه پیش از قبض، مال میراث می شود که از آن استفاده می شود در صدقه، قبض اعتبار ندارد. حال چگونه بین روایت محمد بن مسلم که دالّ بر عدم اعتبار قبض است و روایت ابی مریم که دالّ بر اعتبار قبض است، جمع می شود؟ </w:t>
      </w:r>
    </w:p>
    <w:p w:rsidR="00FB6A33" w:rsidRDefault="00FB6A33" w:rsidP="00881037">
      <w:pPr>
        <w:jc w:val="both"/>
        <w:rPr>
          <w:color w:val="000000"/>
          <w:rtl/>
        </w:rPr>
      </w:pPr>
      <w:r>
        <w:rPr>
          <w:rFonts w:hint="cs"/>
          <w:color w:val="000000"/>
          <w:rtl/>
        </w:rPr>
        <w:t xml:space="preserve">مرحوم مجلسی </w:t>
      </w:r>
      <w:r w:rsidR="00406F72">
        <w:rPr>
          <w:rFonts w:hint="cs"/>
          <w:color w:val="000000"/>
          <w:rtl/>
        </w:rPr>
        <w:t xml:space="preserve">روایت ابی مریم را بر کراهت حمل کرده است. اما به نظر می رسد حمل بهتری وجود دارد که در جلسات گذشته نیز به آن اشاره شد. به این صورت که مراد از صدقه در روایت محمد بن مسلم، صدقه به معنای عرفی است نه صدقه به معنای شرعی. صدقه عرفی همان نحله است. </w:t>
      </w:r>
      <w:r w:rsidR="009A1C5E">
        <w:rPr>
          <w:rFonts w:hint="cs"/>
          <w:color w:val="000000"/>
          <w:rtl/>
        </w:rPr>
        <w:t xml:space="preserve">روایت محمد بن مسلم را مجدّد می خوانیم تا با دقت در ذیل آن، معنایی که بیان شد، روشن شود: </w:t>
      </w:r>
    </w:p>
    <w:p w:rsidR="009A1C5E" w:rsidRDefault="009A1C5E" w:rsidP="00881037">
      <w:pPr>
        <w:jc w:val="both"/>
        <w:rPr>
          <w:color w:val="008000"/>
          <w:rtl/>
        </w:rPr>
      </w:pPr>
      <w:r w:rsidRPr="008375E8">
        <w:rPr>
          <w:color w:val="008000"/>
          <w:rtl/>
        </w:rPr>
        <w:t>عَنْ مُحَمَّدِ بْنِ مُسْلِمٍ عَنْ أَبِي جَعْفَرٍ</w:t>
      </w:r>
      <w:r>
        <w:rPr>
          <w:color w:val="008000"/>
          <w:rtl/>
        </w:rPr>
        <w:t xml:space="preserve"> علیه السلام </w:t>
      </w:r>
      <w:r w:rsidRPr="008375E8">
        <w:rPr>
          <w:color w:val="008000"/>
          <w:rtl/>
        </w:rPr>
        <w:t>أَنَّهُ قَالَ: فِي الرَّجُلِ يَتَصَدَّقُ عَلَى وُلْدٍ</w:t>
      </w:r>
      <w:r>
        <w:rPr>
          <w:rFonts w:hint="cs"/>
          <w:color w:val="008000"/>
          <w:rtl/>
        </w:rPr>
        <w:t xml:space="preserve"> له</w:t>
      </w:r>
      <w:r w:rsidRPr="008375E8">
        <w:rPr>
          <w:color w:val="008000"/>
          <w:rtl/>
        </w:rPr>
        <w:t xml:space="preserve"> قَدْ أَدْرَكُوا إِذَا لَمْ يَقْبِضُوا حَتَّى يَمُوتَ فَهُوَ مِيرَاثٌ</w:t>
      </w:r>
      <w:r>
        <w:rPr>
          <w:rFonts w:hint="cs"/>
          <w:rtl/>
        </w:rPr>
        <w:t xml:space="preserve"> </w:t>
      </w:r>
      <w:r w:rsidRPr="008375E8">
        <w:rPr>
          <w:color w:val="008000"/>
          <w:rtl/>
        </w:rPr>
        <w:t>فَإِنْ تَصَدَّقَ عَلَى مَنْ لَمْ يُدْرِكْ مِنْ وُلْدِهِ فَهُوَ جَائِزٌ لِأَنَّ وَالِدَهُ هُوَ الَّذِي يَلِي أَمْرَهُ.</w:t>
      </w:r>
      <w:r>
        <w:rPr>
          <w:rFonts w:hint="cs"/>
          <w:color w:val="008000"/>
          <w:rtl/>
        </w:rPr>
        <w:t xml:space="preserve"> </w:t>
      </w:r>
      <w:r w:rsidRPr="008375E8">
        <w:rPr>
          <w:color w:val="008000"/>
          <w:rtl/>
        </w:rPr>
        <w:t xml:space="preserve">وَ قَالَ لَا يَرْجِعُ فِي الصَّدَقَةِ إِذَا ابْتَغَى بِهَا وَجْهَ اللَّهِ عَزَّ وَ جَلَّ </w:t>
      </w:r>
    </w:p>
    <w:p w:rsidR="002A0100" w:rsidRDefault="001755AB" w:rsidP="00881037">
      <w:pPr>
        <w:jc w:val="both"/>
        <w:rPr>
          <w:rtl/>
        </w:rPr>
      </w:pPr>
      <w:r>
        <w:rPr>
          <w:rFonts w:hint="cs"/>
          <w:rtl/>
        </w:rPr>
        <w:t>ذیل روایت می تواند حل</w:t>
      </w:r>
      <w:r w:rsidR="006C7A94">
        <w:rPr>
          <w:rFonts w:hint="cs"/>
          <w:rtl/>
        </w:rPr>
        <w:t xml:space="preserve"> کننده تعارض بین روایت محمد بن مسلم و روایت ابی مریم باشد. به این صورت که ذیل بیان می کند: صدقه ای که بین ولد کبیر و صغیر در آن تفاوت وجود دارد و مشروط به قبض است، صدقه ای نیس</w:t>
      </w:r>
      <w:r w:rsidR="00B22C41">
        <w:rPr>
          <w:rFonts w:hint="cs"/>
          <w:rtl/>
        </w:rPr>
        <w:t xml:space="preserve">ت که «ابتغی بها وجه الله» باشد و آن صدقه به همان لغوی است. </w:t>
      </w:r>
      <w:r w:rsidR="003612D4">
        <w:rPr>
          <w:rFonts w:hint="cs"/>
          <w:rtl/>
        </w:rPr>
        <w:t>پس جمع بین این روایات این است که در صدقه به معنای شرعی یعنی ما ارید</w:t>
      </w:r>
      <w:r w:rsidR="00821740">
        <w:rPr>
          <w:rFonts w:hint="cs"/>
          <w:rtl/>
        </w:rPr>
        <w:t xml:space="preserve"> بها وجه الله، قبض معتبر نیست. </w:t>
      </w:r>
    </w:p>
    <w:p w:rsidR="006C7A94" w:rsidRDefault="00821740" w:rsidP="00881037">
      <w:pPr>
        <w:jc w:val="both"/>
        <w:rPr>
          <w:rtl/>
        </w:rPr>
      </w:pPr>
      <w:r>
        <w:rPr>
          <w:rFonts w:hint="cs"/>
          <w:rtl/>
        </w:rPr>
        <w:t xml:space="preserve">با این جمع، معنای بسیاری از روایات روشن می شود. در روایات متعددی وارد شده که «انما اراد الناس النحل فاخطئوا» این تعبیر ناظر به این مطلب است که مردم تخیّل کردند، حکم صدقه ای که برای خداست با نحل یکی است و به همین دلیل در صدقه نیز قبض را معتبر دانستند. </w:t>
      </w:r>
      <w:r w:rsidR="007515C0">
        <w:rPr>
          <w:rFonts w:hint="cs"/>
          <w:rtl/>
        </w:rPr>
        <w:t xml:space="preserve">در این روایات بیان شده: «انما الصدقه محدثه» به این معنا که صدقه به معنای اصطلاحی ما یعطی لله امر جدیدی است و در استعمالات قدیمی، صدقه به معنای عرفی بوده که در آن قصد قربت معتبر نیست و گرنه چیزی که برای خداست، بازگشت پذیر نیست و در آن قبض نیز معتبر نیست. </w:t>
      </w:r>
    </w:p>
    <w:p w:rsidR="00EE6664" w:rsidRDefault="00EE6664" w:rsidP="00881037">
      <w:pPr>
        <w:jc w:val="both"/>
        <w:rPr>
          <w:rtl/>
        </w:rPr>
      </w:pPr>
      <w:r>
        <w:rPr>
          <w:rFonts w:hint="cs"/>
          <w:rtl/>
        </w:rPr>
        <w:t xml:space="preserve">این مباحث در صورتی </w:t>
      </w:r>
      <w:r w:rsidR="002A0100">
        <w:rPr>
          <w:rFonts w:hint="cs"/>
          <w:rtl/>
        </w:rPr>
        <w:t>است</w:t>
      </w:r>
      <w:r>
        <w:rPr>
          <w:rFonts w:hint="cs"/>
          <w:rtl/>
        </w:rPr>
        <w:t xml:space="preserve"> که در روایت ابی مریم «او هبه» نداشته باشد. به نظر می رسد در این فرض، جمع بین روایات روشن است. </w:t>
      </w:r>
    </w:p>
    <w:p w:rsidR="00C73220" w:rsidRDefault="007E4AEB" w:rsidP="00881037">
      <w:pPr>
        <w:jc w:val="both"/>
        <w:rPr>
          <w:rtl/>
        </w:rPr>
      </w:pPr>
      <w:r>
        <w:rPr>
          <w:rFonts w:hint="cs"/>
          <w:rtl/>
        </w:rPr>
        <w:t xml:space="preserve">در روایت محمد بن مسلم نیز وارد شده بود: </w:t>
      </w:r>
    </w:p>
    <w:p w:rsidR="007E4AEB" w:rsidRPr="007E4AEB" w:rsidRDefault="007E4AEB" w:rsidP="00881037">
      <w:pPr>
        <w:jc w:val="both"/>
        <w:rPr>
          <w:color w:val="008000"/>
          <w:rtl/>
        </w:rPr>
      </w:pPr>
      <w:r w:rsidRPr="007E4AEB">
        <w:rPr>
          <w:color w:val="008000"/>
          <w:rtl/>
        </w:rPr>
        <w:t>عَنْ مُحَمَّدِ بْنِ مُسْلِمٍ عَنْ أَحَدِهِمَا</w:t>
      </w:r>
      <w:r w:rsidR="00881037">
        <w:rPr>
          <w:color w:val="008000"/>
          <w:rtl/>
        </w:rPr>
        <w:t xml:space="preserve"> علیهما السلام </w:t>
      </w:r>
      <w:r w:rsidRPr="007E4AEB">
        <w:rPr>
          <w:color w:val="008000"/>
          <w:rtl/>
        </w:rPr>
        <w:t>أَنَّهُ سُئِلَ عَنْ رَجُلٍ كَانَتْ لَهُ جَارِيَةٌ فَآذَتْهُ امْرَأَتُهُ فِيهَا فَقَالَ هِيَ عَلَيْكِ صَدَقَةٌ فَقَالَ إِنْ كَانَ قَالَ ذَلِكَ لِلَّهِ عَزَّ وَ جَلَّ فَلْيُمْضِهَا وَ إِنْ كَانَ لَمْ يَقُلْ فَلَهُ أَنْ يَرْجِعَ إِنْ شَاءَ فِيهَا.</w:t>
      </w:r>
      <w:r>
        <w:rPr>
          <w:rStyle w:val="FootnoteReference"/>
          <w:color w:val="008000"/>
          <w:rtl/>
        </w:rPr>
        <w:footnoteReference w:id="7"/>
      </w:r>
    </w:p>
    <w:p w:rsidR="00EE6664" w:rsidRDefault="007E4AEB" w:rsidP="00881037">
      <w:pPr>
        <w:jc w:val="both"/>
        <w:rPr>
          <w:rtl/>
        </w:rPr>
      </w:pPr>
      <w:r>
        <w:rPr>
          <w:rFonts w:hint="cs"/>
          <w:rtl/>
        </w:rPr>
        <w:t xml:space="preserve">این روایت بین دو صورت صدقه تفکیک کرده است: در صورتی که «لله» گفته باشد، صدقه قابل رجوع نیست اما در صورتی که «لله» نگفته باشد، صدقه قابل رجوع است. </w:t>
      </w:r>
    </w:p>
    <w:p w:rsidR="007E4AEB" w:rsidRDefault="007E4AEB" w:rsidP="00881037">
      <w:pPr>
        <w:jc w:val="both"/>
        <w:rPr>
          <w:rtl/>
        </w:rPr>
      </w:pPr>
      <w:r>
        <w:rPr>
          <w:rFonts w:hint="cs"/>
          <w:rtl/>
        </w:rPr>
        <w:t>در روایات زیادی به این نکته تکیه شده که بین «لله» بودن و «لله» نبودن بخشش تفاوت وجود دارد.</w:t>
      </w:r>
    </w:p>
    <w:p w:rsidR="002A0100" w:rsidRDefault="002A0100" w:rsidP="00881037">
      <w:pPr>
        <w:pStyle w:val="Heading3"/>
        <w:jc w:val="both"/>
        <w:rPr>
          <w:rtl/>
        </w:rPr>
      </w:pPr>
      <w:bookmarkStart w:id="9" w:name="_Toc122328913"/>
      <w:r>
        <w:rPr>
          <w:rFonts w:hint="cs"/>
          <w:rtl/>
        </w:rPr>
        <w:t>صورت دوم: وجود «او هبه» در صحیحه ابی مریم</w:t>
      </w:r>
      <w:bookmarkEnd w:id="9"/>
    </w:p>
    <w:p w:rsidR="007E4AEB" w:rsidRDefault="002A0100" w:rsidP="00881037">
      <w:pPr>
        <w:jc w:val="both"/>
        <w:rPr>
          <w:rtl/>
        </w:rPr>
      </w:pPr>
      <w:r>
        <w:rPr>
          <w:rFonts w:hint="cs"/>
          <w:rtl/>
        </w:rPr>
        <w:t xml:space="preserve">اگر در صحیحه ابی مریم «او هبه» وجود داشته باشد، باید جمع بین این روایت و سایر روایاتی که در هبه قبض را معتبر دانسته را مورد بررسی قرار داد. </w:t>
      </w:r>
      <w:r w:rsidR="009E40FA">
        <w:rPr>
          <w:rFonts w:hint="cs"/>
          <w:rtl/>
        </w:rPr>
        <w:t xml:space="preserve">در روایت ابی بصیر به رقم 35164 بین نحل و هبه فرق گذاشته است: </w:t>
      </w:r>
    </w:p>
    <w:p w:rsidR="009E40FA" w:rsidRPr="009E40FA" w:rsidRDefault="009E40FA" w:rsidP="00881037">
      <w:pPr>
        <w:jc w:val="both"/>
        <w:rPr>
          <w:color w:val="008000"/>
          <w:rtl/>
        </w:rPr>
      </w:pPr>
      <w:r w:rsidRPr="009E40FA">
        <w:rPr>
          <w:color w:val="008000"/>
          <w:rtl/>
        </w:rPr>
        <w:t>عَنْ أَبِي بَصِيرٍ قَالَ قَالَ أَبُو عَبْدِ اللَّهِ</w:t>
      </w:r>
      <w:r w:rsidR="00881037">
        <w:rPr>
          <w:color w:val="008000"/>
          <w:rtl/>
        </w:rPr>
        <w:t xml:space="preserve"> علیه السلام </w:t>
      </w:r>
      <w:r w:rsidRPr="009E40FA">
        <w:rPr>
          <w:color w:val="008000"/>
          <w:rtl/>
        </w:rPr>
        <w:t>الْهِبَةُ جَائِزَةٌ قُبِضَتْ أَوْ لَمْ تُقْبَضْ قُسِمَتْ أَوْ لَمْ تُقْسَمْ وَ النُّحْلُ لَا يَجُوزُ حَتَّى يُقْبَضَ وَ إِنَّمَا أَرَادَ النَّاسُ ذَلِكَ فَأَخْطَئُوا.</w:t>
      </w:r>
      <w:r>
        <w:rPr>
          <w:rStyle w:val="FootnoteReference"/>
          <w:color w:val="008000"/>
          <w:rtl/>
        </w:rPr>
        <w:footnoteReference w:id="8"/>
      </w:r>
    </w:p>
    <w:p w:rsidR="00352D24" w:rsidRDefault="003C47FA" w:rsidP="00881037">
      <w:pPr>
        <w:jc w:val="both"/>
        <w:rPr>
          <w:rtl/>
        </w:rPr>
      </w:pPr>
      <w:r>
        <w:rPr>
          <w:rFonts w:hint="cs"/>
          <w:rtl/>
        </w:rPr>
        <w:t xml:space="preserve">در این روایت، بین هبه و نحله فرق گذاشته است. </w:t>
      </w:r>
      <w:r w:rsidR="001F242F">
        <w:rPr>
          <w:rFonts w:hint="cs"/>
          <w:rtl/>
        </w:rPr>
        <w:t xml:space="preserve">فرق بین هبه و نحله مطلبی است که باید به آن دقت کرد. </w:t>
      </w:r>
      <w:r w:rsidR="00CE6240">
        <w:rPr>
          <w:rFonts w:hint="cs"/>
          <w:rtl/>
        </w:rPr>
        <w:t>درباره این روایت باید بررسی کرد مراد از «قبضت» قبض الواهب است</w:t>
      </w:r>
      <w:r w:rsidR="00352D24">
        <w:rPr>
          <w:rFonts w:hint="cs"/>
          <w:rtl/>
        </w:rPr>
        <w:t xml:space="preserve"> یا قبض موهوب له؟ مرحوم علامه مجلسی مطلبی را درباره نحل از خلاف شیخ طوسی نقل کردند که در نحل یعنی مهریه، برخی از عامه قائل به عدم جواز تصرف زن قبل از قبض هستند. برای بررسی بیشتر این مطلب باید مطالعات مرتبط با مباحث عامه در این زمینه تکمیل شود و پس از آن در این باره صحبت خواهیم کرد. </w:t>
      </w:r>
    </w:p>
    <w:p w:rsidR="005C6E63" w:rsidRPr="006C7A94" w:rsidRDefault="00352D24" w:rsidP="00881037">
      <w:pPr>
        <w:jc w:val="both"/>
        <w:rPr>
          <w:rtl/>
        </w:rPr>
      </w:pPr>
      <w:r>
        <w:rPr>
          <w:rFonts w:hint="cs"/>
          <w:rtl/>
        </w:rPr>
        <w:t xml:space="preserve">در روایات </w:t>
      </w:r>
      <w:r w:rsidR="005C6E63">
        <w:rPr>
          <w:rFonts w:hint="cs"/>
          <w:rtl/>
        </w:rPr>
        <w:t>دیگر</w:t>
      </w:r>
      <w:r>
        <w:rPr>
          <w:rFonts w:hint="cs"/>
          <w:rtl/>
        </w:rPr>
        <w:t xml:space="preserve"> بین</w:t>
      </w:r>
      <w:r w:rsidR="005C6E63">
        <w:rPr>
          <w:rFonts w:hint="cs"/>
          <w:rtl/>
        </w:rPr>
        <w:t xml:space="preserve"> هبه و نحله تفاوت گذاشته نشده است. در روایت داود بن الحصین رقم 35169 وارد شده است: </w:t>
      </w:r>
    </w:p>
    <w:p w:rsidR="005C6E63" w:rsidRDefault="005C6E63" w:rsidP="00881037">
      <w:pPr>
        <w:jc w:val="both"/>
        <w:rPr>
          <w:color w:val="008000"/>
          <w:rtl/>
        </w:rPr>
      </w:pPr>
      <w:r w:rsidRPr="00CC3BE1">
        <w:rPr>
          <w:color w:val="008000"/>
          <w:rtl/>
        </w:rPr>
        <w:t>عَنْ دَاوُدَ بْنِ الْحُصَيْنِ عَنْ أَبِي عَبْدِ اللَّهِ</w:t>
      </w:r>
      <w:r w:rsidR="00881037">
        <w:rPr>
          <w:color w:val="008000"/>
          <w:rtl/>
        </w:rPr>
        <w:t xml:space="preserve"> علیه السلام </w:t>
      </w:r>
      <w:r w:rsidRPr="00CC3BE1">
        <w:rPr>
          <w:color w:val="008000"/>
          <w:rtl/>
        </w:rPr>
        <w:t>قَالَ: الْهِبَةُ وَ النِّحْلَةُ مَا لَمْ تُقْبَضْ حَتَّ</w:t>
      </w:r>
      <w:r w:rsidR="00571004">
        <w:rPr>
          <w:color w:val="008000"/>
          <w:rtl/>
        </w:rPr>
        <w:t>ى يَمُوتَ صَاحِبُهَا قَالَ ه</w:t>
      </w:r>
      <w:r w:rsidR="00571004">
        <w:rPr>
          <w:rFonts w:hint="cs"/>
          <w:color w:val="008000"/>
          <w:rtl/>
        </w:rPr>
        <w:t xml:space="preserve">ی </w:t>
      </w:r>
      <w:r w:rsidRPr="00CC3BE1">
        <w:rPr>
          <w:color w:val="008000"/>
          <w:rtl/>
        </w:rPr>
        <w:t>مِيرَاثٌ فَإِنْ كَانَتْ لِصَبِيٍّ فِي حَجْرِهِ فَأَشْهَدَ عَلَيْهِ فَهُوَ جَائِزٌ.</w:t>
      </w:r>
      <w:r>
        <w:rPr>
          <w:rStyle w:val="FootnoteReference"/>
          <w:color w:val="008000"/>
          <w:rtl/>
        </w:rPr>
        <w:footnoteReference w:id="9"/>
      </w:r>
    </w:p>
    <w:p w:rsidR="009A1C5E" w:rsidRDefault="00D74B92" w:rsidP="00881037">
      <w:pPr>
        <w:jc w:val="both"/>
        <w:rPr>
          <w:rtl/>
        </w:rPr>
      </w:pPr>
      <w:r>
        <w:rPr>
          <w:rFonts w:hint="cs"/>
          <w:rtl/>
        </w:rPr>
        <w:t xml:space="preserve">شاهد گرفتن بحث دیگری است که پیش از این بدان اشاره شد. </w:t>
      </w:r>
    </w:p>
    <w:p w:rsidR="002A0100" w:rsidRDefault="00352D24" w:rsidP="00881037">
      <w:pPr>
        <w:jc w:val="both"/>
        <w:rPr>
          <w:color w:val="000000"/>
          <w:rtl/>
        </w:rPr>
      </w:pPr>
      <w:r>
        <w:rPr>
          <w:rFonts w:hint="cs"/>
          <w:color w:val="000000"/>
          <w:rtl/>
        </w:rPr>
        <w:t xml:space="preserve">به هر حال؛ اگر در روایت ابی مریم «او هبه» نباشد، جمع آن با سایر روایات روشن است. اگر در روایت ابی مریم «او هبه» باشد، باید مجموع روایات ابی مریم و ابی بصیر و سایر روایاتی که همین مفاد را دارند، ملاحظه کرد تا معنای آن روشن شود. بحث فرض وجود «او هبه» را در آینده مطرح خواهیم کرد. </w:t>
      </w:r>
    </w:p>
    <w:p w:rsidR="002A0100" w:rsidRPr="002A0100" w:rsidRDefault="002A0100" w:rsidP="00881037">
      <w:pPr>
        <w:pStyle w:val="Heading4"/>
        <w:jc w:val="both"/>
        <w:rPr>
          <w:rtl/>
        </w:rPr>
      </w:pPr>
      <w:bookmarkStart w:id="10" w:name="_Toc122328914"/>
      <w:r>
        <w:rPr>
          <w:rFonts w:hint="cs"/>
          <w:rtl/>
        </w:rPr>
        <w:t>اعتبار سندی نقل «او هبه»</w:t>
      </w:r>
      <w:bookmarkEnd w:id="10"/>
      <w:r>
        <w:rPr>
          <w:rFonts w:hint="cs"/>
          <w:rtl/>
        </w:rPr>
        <w:t xml:space="preserve"> </w:t>
      </w:r>
    </w:p>
    <w:p w:rsidR="00352CCF" w:rsidRPr="00DA09EE" w:rsidRDefault="00352CCF" w:rsidP="00881037">
      <w:pPr>
        <w:jc w:val="both"/>
        <w:rPr>
          <w:rtl/>
        </w:rPr>
      </w:pPr>
      <w:r>
        <w:rPr>
          <w:rFonts w:hint="cs"/>
          <w:rtl/>
        </w:rPr>
        <w:t>این روایت در کافی و تهذیب و استبصار وارد شده و در نقل تهذیب</w:t>
      </w:r>
      <w:r>
        <w:rPr>
          <w:rStyle w:val="FootnoteReference"/>
          <w:rtl/>
        </w:rPr>
        <w:footnoteReference w:id="10"/>
      </w:r>
      <w:r>
        <w:rPr>
          <w:rFonts w:hint="cs"/>
          <w:rtl/>
        </w:rPr>
        <w:t xml:space="preserve"> و استبصار</w:t>
      </w:r>
      <w:r>
        <w:rPr>
          <w:rStyle w:val="FootnoteReference"/>
          <w:rtl/>
        </w:rPr>
        <w:footnoteReference w:id="11"/>
      </w:r>
      <w:r>
        <w:rPr>
          <w:rFonts w:hint="cs"/>
          <w:rtl/>
        </w:rPr>
        <w:t xml:space="preserve">، «او هبه» اضافه دارد.  </w:t>
      </w:r>
      <w:r w:rsidRPr="00DA09EE">
        <w:rPr>
          <w:rFonts w:hint="cs"/>
          <w:color w:val="000000"/>
          <w:rtl/>
        </w:rPr>
        <w:t xml:space="preserve">شیخ طوسی روایت را از کافی نگرفته و سند جدایی دارد. سند کافی به این صورت است: </w:t>
      </w:r>
    </w:p>
    <w:p w:rsidR="00352CCF" w:rsidRPr="00DA09EE" w:rsidRDefault="00352CCF" w:rsidP="00881037">
      <w:pPr>
        <w:jc w:val="both"/>
        <w:rPr>
          <w:color w:val="000000"/>
          <w:rtl/>
        </w:rPr>
      </w:pPr>
      <w:r w:rsidRPr="00DA09EE">
        <w:rPr>
          <w:color w:val="000000"/>
          <w:rtl/>
        </w:rPr>
        <w:t>حُمَيْدُ بْنُ زِيَادٍ عَنِ الْحَسَنِ بْنِ مُحَمَّدِ بْنِ سَمَاعَةَ عَنْ غَيْرِ وَاحِدٍ عَنْ أَبَانٍ عَنْ أَبِي مَرْيَمَ عَنْ أَبِي جَعْفَرٍ</w:t>
      </w:r>
      <w:r w:rsidR="00881037">
        <w:rPr>
          <w:color w:val="000000"/>
          <w:rtl/>
        </w:rPr>
        <w:t xml:space="preserve"> علیه السلام </w:t>
      </w:r>
      <w:r w:rsidRPr="00DA09EE">
        <w:rPr>
          <w:color w:val="000000"/>
          <w:rtl/>
        </w:rPr>
        <w:t>قَالَ</w:t>
      </w:r>
      <w:r w:rsidRPr="00DA09EE">
        <w:rPr>
          <w:rFonts w:hint="cs"/>
          <w:color w:val="000000"/>
          <w:rtl/>
        </w:rPr>
        <w:t xml:space="preserve">: </w:t>
      </w:r>
    </w:p>
    <w:p w:rsidR="00352CCF" w:rsidRPr="00DA09EE" w:rsidRDefault="00352CCF" w:rsidP="00881037">
      <w:pPr>
        <w:jc w:val="both"/>
        <w:rPr>
          <w:color w:val="000000"/>
          <w:rtl/>
        </w:rPr>
      </w:pPr>
      <w:r w:rsidRPr="00DA09EE">
        <w:rPr>
          <w:rFonts w:hint="cs"/>
          <w:color w:val="000000"/>
          <w:rtl/>
        </w:rPr>
        <w:t xml:space="preserve">در حالی که سندهای مذکور در تهذیب به این صورت است: </w:t>
      </w:r>
    </w:p>
    <w:p w:rsidR="00352CCF" w:rsidRDefault="00352CCF" w:rsidP="00881037">
      <w:pPr>
        <w:pStyle w:val="ListParagraph"/>
        <w:numPr>
          <w:ilvl w:val="0"/>
          <w:numId w:val="18"/>
        </w:numPr>
        <w:jc w:val="both"/>
        <w:rPr>
          <w:rtl/>
        </w:rPr>
      </w:pPr>
      <w:r>
        <w:rPr>
          <w:rFonts w:hint="cs"/>
          <w:rtl/>
        </w:rPr>
        <w:t xml:space="preserve">الحسین بن سعید </w:t>
      </w:r>
      <w:r w:rsidRPr="007836C9">
        <w:rPr>
          <w:rtl/>
        </w:rPr>
        <w:t>عَنْ فَضَالَةَ عَنْ أَبَانٍ عَنْ أَبِي مَرْيَمَ</w:t>
      </w:r>
      <w:r>
        <w:rPr>
          <w:rFonts w:hint="cs"/>
          <w:rtl/>
        </w:rPr>
        <w:t xml:space="preserve"> قال: </w:t>
      </w:r>
    </w:p>
    <w:p w:rsidR="00352CCF" w:rsidRDefault="00352CCF" w:rsidP="00881037">
      <w:pPr>
        <w:pStyle w:val="ListParagraph"/>
        <w:numPr>
          <w:ilvl w:val="0"/>
          <w:numId w:val="18"/>
        </w:numPr>
        <w:jc w:val="both"/>
        <w:rPr>
          <w:rtl/>
        </w:rPr>
      </w:pPr>
      <w:r>
        <w:rPr>
          <w:rFonts w:hint="cs"/>
          <w:rtl/>
        </w:rPr>
        <w:t xml:space="preserve">الحسین بن سعید </w:t>
      </w:r>
      <w:r w:rsidRPr="00DA09EE">
        <w:rPr>
          <w:rtl/>
        </w:rPr>
        <w:t>عَنْ فَضَالَةَ عَنْ أَبَانٍ عَنْ عَبْدِ الرَّحْمَنِ بْنِ سَيَابَةَ</w:t>
      </w:r>
      <w:r w:rsidRPr="00DA09EE">
        <w:rPr>
          <w:rFonts w:hint="cs"/>
          <w:rtl/>
        </w:rPr>
        <w:t xml:space="preserve"> عن ابی عبد الله ع</w:t>
      </w:r>
    </w:p>
    <w:p w:rsidR="00352CCF" w:rsidRPr="00DA09EE" w:rsidRDefault="00352CCF" w:rsidP="00881037">
      <w:pPr>
        <w:jc w:val="both"/>
        <w:rPr>
          <w:color w:val="000000"/>
          <w:rtl/>
        </w:rPr>
      </w:pPr>
      <w:r w:rsidRPr="00DA09EE">
        <w:rPr>
          <w:rFonts w:hint="cs"/>
          <w:color w:val="000000"/>
          <w:rtl/>
        </w:rPr>
        <w:t>طریق</w:t>
      </w:r>
      <w:r>
        <w:rPr>
          <w:rFonts w:hint="cs"/>
          <w:color w:val="000000"/>
          <w:rtl/>
        </w:rPr>
        <w:t xml:space="preserve"> تهذیب و کافی</w:t>
      </w:r>
      <w:r w:rsidRPr="00DA09EE">
        <w:rPr>
          <w:rFonts w:hint="cs"/>
          <w:color w:val="000000"/>
          <w:rtl/>
        </w:rPr>
        <w:t xml:space="preserve"> با هم متفاوت است. حتی در صورتی که شیخ طوسی از کافی نیز اخذ کرده باشد، نمی توان به صورت قطعی نسخه کافی را صحیح دانست و وجود «او هبه» را نفی کرد. زیرا در این فرض، نسخه در دسترس شیخ از کافی، «او هبه» داشته و دو نسخه معتبر از کافی برای ما اثبات می شود که یکی «او هبه» دارد و دیگری ندارد. روشن است نسخه اصلی کافی در اختیار ما نیست که با وجود عبارت در نسخه چاپی کافی حکم به صحت آن و تقدیم بر نقل شیخ در تهذیب از کافی کنیم. البته برخی مرتکب این اشتباه می شوند و مثلا ذیل نقل تهذیب از کافی می نویسند: «فی المصدر کذا» گویا نسخه اصلی کافی که به قلم مبارک شیخ کلینی بوده در دسترس ماست و نقل شیخ طوسی را تخطئه می کنند. </w:t>
      </w:r>
      <w:r w:rsidR="002A0100">
        <w:rPr>
          <w:rFonts w:hint="cs"/>
          <w:color w:val="000000"/>
          <w:rtl/>
        </w:rPr>
        <w:t xml:space="preserve">این برداشت صحیح نیست و </w:t>
      </w:r>
      <w:r w:rsidRPr="00DA09EE">
        <w:rPr>
          <w:rFonts w:hint="cs"/>
          <w:color w:val="000000"/>
          <w:rtl/>
        </w:rPr>
        <w:t xml:space="preserve">در این موارد باید نوشت: «فی المصدر المطبوع کذا» یا «فی مطبوعه المصدر کذا» خیلی از مواقع ممکن است نقل شیخ طوسی از کافی از نسخ موجود کافی دقیق تر و صحیح تر باشد. البته در روایت مورد بحث، سند کافی و تهذیب کاملا با هم متفاوت است و به صرف نبود «او هبه» در کافی، نمی توان نقل شیخ در تهذیب  که همراه «او هبه» است را تخطئه کرد. </w:t>
      </w:r>
    </w:p>
    <w:p w:rsidR="00352CCF" w:rsidRDefault="00352CCF" w:rsidP="00881037">
      <w:pPr>
        <w:jc w:val="both"/>
        <w:rPr>
          <w:color w:val="000000"/>
          <w:rtl/>
        </w:rPr>
      </w:pPr>
      <w:r>
        <w:rPr>
          <w:rFonts w:hint="cs"/>
          <w:color w:val="000000"/>
          <w:rtl/>
        </w:rPr>
        <w:t xml:space="preserve">سند اول </w:t>
      </w:r>
      <w:r w:rsidR="002A0100">
        <w:rPr>
          <w:rFonts w:hint="cs"/>
          <w:color w:val="000000"/>
          <w:rtl/>
        </w:rPr>
        <w:t xml:space="preserve">موجود در تهذیب بدون شکّ صحیحه است و </w:t>
      </w:r>
      <w:r>
        <w:rPr>
          <w:rFonts w:hint="cs"/>
          <w:color w:val="000000"/>
          <w:rtl/>
        </w:rPr>
        <w:t>مشکلی ندارد</w:t>
      </w:r>
      <w:r w:rsidRPr="00DA09EE">
        <w:rPr>
          <w:rFonts w:hint="cs"/>
          <w:color w:val="000000"/>
          <w:rtl/>
        </w:rPr>
        <w:t xml:space="preserve">. </w:t>
      </w:r>
      <w:r>
        <w:rPr>
          <w:rFonts w:hint="cs"/>
          <w:color w:val="000000"/>
          <w:rtl/>
        </w:rPr>
        <w:t>البته کشی درباره ابان، نقل کرده: و کان من الناووسیه.</w:t>
      </w:r>
      <w:r>
        <w:rPr>
          <w:rStyle w:val="FootnoteReference"/>
          <w:color w:val="000000"/>
          <w:rtl/>
        </w:rPr>
        <w:footnoteReference w:id="12"/>
      </w:r>
      <w:r>
        <w:rPr>
          <w:rFonts w:hint="cs"/>
          <w:color w:val="000000"/>
          <w:rtl/>
        </w:rPr>
        <w:t xml:space="preserve"> مرحوم صاحب قاموس الرجال استظهار کرده که «کان من الناووسیه» محرّف «و کان من القادسیه» باشد. به نظر می رسد احتمال صاحب قاموس الرجال احتمال به جایی است زیرا در هیچ منبع دیگری ابان جزو ناووسیه شمرده نشده است. از سویی دیگر، ابان از امام کاظم</w:t>
      </w:r>
      <w:r w:rsidR="00881037">
        <w:rPr>
          <w:rFonts w:hint="cs"/>
          <w:color w:val="000000"/>
          <w:rtl/>
        </w:rPr>
        <w:t xml:space="preserve"> علیه السلام </w:t>
      </w:r>
      <w:r>
        <w:rPr>
          <w:rFonts w:hint="cs"/>
          <w:color w:val="000000"/>
          <w:rtl/>
        </w:rPr>
        <w:t>نیز روایت دارد هم به صورت مستقیم و هم به صورت با واسطه. به نظرم دو روایت به صورت مستقیم و سه روایت با واسطه. در حالی که ناووسیه امام کاظم</w:t>
      </w:r>
      <w:r w:rsidR="00881037">
        <w:rPr>
          <w:rFonts w:hint="cs"/>
          <w:color w:val="000000"/>
          <w:rtl/>
        </w:rPr>
        <w:t xml:space="preserve"> علیه السلام </w:t>
      </w:r>
      <w:r>
        <w:rPr>
          <w:rFonts w:hint="cs"/>
          <w:color w:val="000000"/>
          <w:rtl/>
        </w:rPr>
        <w:t>را قبول نداشتند و مستبعد است ابان ناووسی باشد و از امام کاظم</w:t>
      </w:r>
      <w:r w:rsidR="00881037">
        <w:rPr>
          <w:rFonts w:hint="cs"/>
          <w:color w:val="000000"/>
          <w:rtl/>
        </w:rPr>
        <w:t xml:space="preserve"> علیه السلام </w:t>
      </w:r>
      <w:r>
        <w:rPr>
          <w:rFonts w:hint="cs"/>
          <w:color w:val="000000"/>
          <w:rtl/>
        </w:rPr>
        <w:t xml:space="preserve">روایت کرده باشد. همچنین با توجه به تحریف ها زیادی که در رجال کشی رخ داده، احتمال صحت «و کان من القادسیه» کاملا به جاست و اعتماد به نقل کشی بر ناووسی بودن، صحیح نیست. منهای بحث مذهب، ابان از اصحاب اجماع شمرده شده است. مجموعا به نظر می رسد ابان را باید امامی دانست و روایت حسین بن سعید عن فضاله عن ابان عن ابی مریم صحیحه است. </w:t>
      </w:r>
    </w:p>
    <w:p w:rsidR="00352CCF" w:rsidRDefault="00352CCF" w:rsidP="00881037">
      <w:pPr>
        <w:jc w:val="both"/>
        <w:rPr>
          <w:color w:val="000000"/>
          <w:rtl/>
        </w:rPr>
      </w:pPr>
      <w:r>
        <w:rPr>
          <w:rFonts w:hint="cs"/>
          <w:color w:val="000000"/>
          <w:rtl/>
        </w:rPr>
        <w:t xml:space="preserve">در سند کافی دو واقفی وجود دارند: حمید بن زیاد و حسن بن محمد بن سماعه و به همین خاطر این روایت موثقه است. </w:t>
      </w:r>
    </w:p>
    <w:p w:rsidR="00352CCF" w:rsidRDefault="00352CCF" w:rsidP="00881037">
      <w:pPr>
        <w:jc w:val="both"/>
        <w:rPr>
          <w:color w:val="000000"/>
          <w:rtl/>
        </w:rPr>
      </w:pPr>
      <w:r>
        <w:rPr>
          <w:rFonts w:hint="cs"/>
          <w:color w:val="000000"/>
          <w:rtl/>
        </w:rPr>
        <w:t xml:space="preserve">در سند </w:t>
      </w:r>
      <w:r w:rsidR="002A0100">
        <w:rPr>
          <w:rFonts w:hint="cs"/>
          <w:color w:val="000000"/>
          <w:rtl/>
        </w:rPr>
        <w:t>دوم تهذیب،</w:t>
      </w:r>
      <w:r>
        <w:rPr>
          <w:rFonts w:hint="cs"/>
          <w:color w:val="000000"/>
          <w:rtl/>
        </w:rPr>
        <w:t xml:space="preserve"> عبد الرحمن بن سیابه است که </w:t>
      </w:r>
      <w:r w:rsidR="002A0100">
        <w:rPr>
          <w:rFonts w:hint="cs"/>
          <w:color w:val="000000"/>
          <w:rtl/>
        </w:rPr>
        <w:t xml:space="preserve">او را </w:t>
      </w:r>
      <w:r>
        <w:rPr>
          <w:rFonts w:hint="cs"/>
          <w:color w:val="000000"/>
          <w:rtl/>
        </w:rPr>
        <w:t xml:space="preserve">در نرم افزار درایه النور توثیق کردیم. پس سند دوم تهذیب نیز صحیح است. </w:t>
      </w:r>
    </w:p>
    <w:p w:rsidR="00352CCF" w:rsidRDefault="00352CCF" w:rsidP="00881037">
      <w:pPr>
        <w:jc w:val="both"/>
        <w:rPr>
          <w:color w:val="000000"/>
          <w:rtl/>
        </w:rPr>
      </w:pPr>
      <w:r>
        <w:rPr>
          <w:rFonts w:hint="cs"/>
          <w:color w:val="000000"/>
          <w:rtl/>
        </w:rPr>
        <w:t>البته بین نقل کافی و تهذیب تنافی وجود ندارد و می تواند هر دو صحیح باشد. زیرا نقل تهذیب اضافه ای دارد و قاعده ای ب</w:t>
      </w:r>
      <w:r w:rsidR="002A0100">
        <w:rPr>
          <w:rFonts w:hint="cs"/>
          <w:color w:val="000000"/>
          <w:rtl/>
        </w:rPr>
        <w:t>ه نام زیاده الثقه مطرح شده که</w:t>
      </w:r>
      <w:r>
        <w:rPr>
          <w:rFonts w:hint="cs"/>
          <w:color w:val="000000"/>
          <w:rtl/>
        </w:rPr>
        <w:t xml:space="preserve"> مطابق آن، نقل تهذیب قابل پذیرش است. البته این نکته که آیا پذیرش نقل تهذیب مبتنی بر قاعده زیاده الثقه است یا نه؟ نیازمند بحث است که در جلسه آینده اشاره خواهد شد. </w:t>
      </w:r>
    </w:p>
    <w:p w:rsidR="00352CCF" w:rsidRDefault="00352CCF" w:rsidP="00881037">
      <w:pPr>
        <w:jc w:val="both"/>
        <w:rPr>
          <w:color w:val="000000"/>
          <w:rtl/>
        </w:rPr>
      </w:pPr>
      <w:r>
        <w:rPr>
          <w:rFonts w:hint="cs"/>
          <w:color w:val="000000"/>
          <w:rtl/>
        </w:rPr>
        <w:t xml:space="preserve">به هر حال باید وجود «او هبه» را در روایت ابی مریم را باید پذیرفت و به همین دلیل بحث تمام نیست زیرا روایت بدون «او هبه» قابل جمع با سایر روایات بود و مطابق آن، عدم اعتبار قبض در صدقه ثابت می شد اما با وجود قید «او هبه» باید نحوه جمع این روایات با روایاتی که در هبه قبض را معتبر کرده را بررسی کرد. در جلسه آینده </w:t>
      </w:r>
      <w:r w:rsidR="009B2E7A">
        <w:rPr>
          <w:rFonts w:hint="cs"/>
          <w:color w:val="000000"/>
          <w:rtl/>
        </w:rPr>
        <w:t xml:space="preserve">روایات و اقوال عامه را بررسی کرده، </w:t>
      </w:r>
      <w:r>
        <w:rPr>
          <w:rFonts w:hint="cs"/>
          <w:color w:val="000000"/>
          <w:rtl/>
        </w:rPr>
        <w:t xml:space="preserve">در این باره بحث خواهیم کرد. </w:t>
      </w:r>
    </w:p>
    <w:p w:rsidR="00352CCF" w:rsidRDefault="00352CCF" w:rsidP="00881037">
      <w:pPr>
        <w:jc w:val="both"/>
        <w:rPr>
          <w:color w:val="000000"/>
          <w:rtl/>
        </w:rPr>
      </w:pPr>
      <w:r>
        <w:rPr>
          <w:rFonts w:hint="cs"/>
          <w:color w:val="000000"/>
          <w:rtl/>
        </w:rPr>
        <w:t xml:space="preserve">در جلسه آینده در این باره </w:t>
      </w:r>
      <w:r w:rsidR="009B2E7A">
        <w:rPr>
          <w:rFonts w:hint="cs"/>
          <w:color w:val="000000"/>
          <w:rtl/>
        </w:rPr>
        <w:t xml:space="preserve">نیز </w:t>
      </w:r>
      <w:r>
        <w:rPr>
          <w:rFonts w:hint="cs"/>
          <w:color w:val="000000"/>
          <w:rtl/>
        </w:rPr>
        <w:t xml:space="preserve">صحبت خواهیم کرد که آیا تفاوت بین کافی و تهذیب در اشتمال «او هبه» باعث می شود که قائل به تنافی دو نقل شویم و در نتیجه نقل «او هبه» را ثابت ندانیم؟ در این فرض، مشکل جمع بین روایات حلّ خواهد شد. </w:t>
      </w:r>
    </w:p>
    <w:p w:rsidR="00352CCF" w:rsidRPr="00A55188" w:rsidRDefault="00352CCF" w:rsidP="00881037">
      <w:pPr>
        <w:jc w:val="both"/>
        <w:rPr>
          <w:color w:val="000000"/>
          <w:rtl/>
        </w:rPr>
      </w:pPr>
      <w:r>
        <w:rPr>
          <w:rFonts w:hint="cs"/>
          <w:color w:val="000000"/>
          <w:rtl/>
        </w:rPr>
        <w:t xml:space="preserve">منهای خود این روایت، مضمون این روایت نسبت به هبه در روایت ابی بصیر نیز وارد شده که معنای روایت ابی بصیر نکته ای است که نیازمند بررسی است. </w:t>
      </w:r>
    </w:p>
    <w:p w:rsidR="00352D24" w:rsidRPr="00D74B92" w:rsidRDefault="00352D24" w:rsidP="00881037">
      <w:pPr>
        <w:jc w:val="both"/>
        <w:rPr>
          <w:color w:val="000000"/>
          <w:rtl/>
        </w:rPr>
      </w:pPr>
    </w:p>
    <w:sectPr w:rsidR="00352D24" w:rsidRPr="00D74B92" w:rsidSect="00F91B85">
      <w:headerReference w:type="default"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1E3" w:rsidRDefault="00AA71E3" w:rsidP="008B750B">
      <w:pPr>
        <w:spacing w:line="240" w:lineRule="auto"/>
      </w:pPr>
      <w:r>
        <w:separator/>
      </w:r>
    </w:p>
  </w:endnote>
  <w:endnote w:type="continuationSeparator" w:id="0">
    <w:p w:rsidR="00AA71E3" w:rsidRDefault="00AA71E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IRANSans">
    <w:panose1 w:val="020B0506030804020204"/>
    <w:charset w:val="00"/>
    <w:family w:val="swiss"/>
    <w:pitch w:val="variable"/>
    <w:sig w:usb0="80002003" w:usb1="00000000" w:usb2="00000008" w:usb3="00000000" w:csb0="00000041" w:csb1="00000000"/>
  </w:font>
  <w:font w:name="Alaem">
    <w:altName w:val="Times New Roman"/>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1D17AD" w:rsidRPr="001D17AD">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26118C" w:rsidP="001B6799">
          <w:pPr>
            <w:pStyle w:val="Footer"/>
            <w:bidi w:val="0"/>
            <w:rPr>
              <w:color w:val="808080" w:themeColor="background1" w:themeShade="80"/>
              <w:rtl/>
            </w:rPr>
          </w:pPr>
          <w:bookmarkStart w:id="18" w:name="BokAdres"/>
          <w:bookmarkEnd w:id="18"/>
          <w:r>
            <w:rPr>
              <w:color w:val="808080" w:themeColor="background1" w:themeShade="80"/>
            </w:rPr>
            <w:t>F1js1_14010922-046_mk3_mfeb.ir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1E3" w:rsidRDefault="00AA71E3" w:rsidP="008B750B">
      <w:pPr>
        <w:spacing w:line="240" w:lineRule="auto"/>
      </w:pPr>
      <w:r>
        <w:separator/>
      </w:r>
    </w:p>
  </w:footnote>
  <w:footnote w:type="continuationSeparator" w:id="0">
    <w:p w:rsidR="00AA71E3" w:rsidRDefault="00AA71E3" w:rsidP="008B750B">
      <w:pPr>
        <w:spacing w:line="240" w:lineRule="auto"/>
      </w:pPr>
      <w:r>
        <w:continuationSeparator/>
      </w:r>
    </w:p>
  </w:footnote>
  <w:footnote w:id="1">
    <w:p w:rsidR="00CE61DF" w:rsidRPr="00B51AF7" w:rsidRDefault="00CE61DF" w:rsidP="00CE61DF">
      <w:pPr>
        <w:pStyle w:val="FootnoteText"/>
      </w:pPr>
      <w:r w:rsidRPr="00B51AF7">
        <w:footnoteRef/>
      </w:r>
      <w:r w:rsidRPr="00B51AF7">
        <w:rPr>
          <w:rtl/>
        </w:rPr>
        <w:t xml:space="preserve"> </w:t>
      </w:r>
      <w:hyperlink r:id="rId1" w:history="1">
        <w:r w:rsidRPr="00B51AF7">
          <w:rPr>
            <w:rStyle w:val="Hyperlink"/>
            <w:rtl/>
          </w:rPr>
          <w:t>الکاف</w:t>
        </w:r>
        <w:r w:rsidRPr="00B51AF7">
          <w:rPr>
            <w:rStyle w:val="Hyperlink"/>
            <w:rFonts w:hint="cs"/>
            <w:rtl/>
          </w:rPr>
          <w:t>ی</w:t>
        </w:r>
        <w:r w:rsidRPr="00B51AF7">
          <w:rPr>
            <w:rStyle w:val="Hyperlink"/>
            <w:rFonts w:hint="eastAsia"/>
            <w:rtl/>
          </w:rPr>
          <w:t>،</w:t>
        </w:r>
        <w:r w:rsidRPr="00B51AF7">
          <w:rPr>
            <w:rStyle w:val="Hyperlink"/>
            <w:rtl/>
          </w:rPr>
          <w:t xml:space="preserve"> محمد بن </w:t>
        </w:r>
        <w:r w:rsidRPr="00B51AF7">
          <w:rPr>
            <w:rStyle w:val="Hyperlink"/>
            <w:rFonts w:hint="cs"/>
            <w:rtl/>
          </w:rPr>
          <w:t>ی</w:t>
        </w:r>
        <w:r w:rsidRPr="00B51AF7">
          <w:rPr>
            <w:rStyle w:val="Hyperlink"/>
            <w:rFonts w:hint="eastAsia"/>
            <w:rtl/>
          </w:rPr>
          <w:t>عقوب</w:t>
        </w:r>
        <w:r w:rsidRPr="00B51AF7">
          <w:rPr>
            <w:rStyle w:val="Hyperlink"/>
            <w:rtl/>
          </w:rPr>
          <w:t xml:space="preserve"> کل</w:t>
        </w:r>
        <w:r w:rsidRPr="00B51AF7">
          <w:rPr>
            <w:rStyle w:val="Hyperlink"/>
            <w:rFonts w:hint="cs"/>
            <w:rtl/>
          </w:rPr>
          <w:t>ی</w:t>
        </w:r>
        <w:r w:rsidRPr="00B51AF7">
          <w:rPr>
            <w:rStyle w:val="Hyperlink"/>
            <w:rFonts w:hint="eastAsia"/>
            <w:rtl/>
          </w:rPr>
          <w:t>ن</w:t>
        </w:r>
        <w:r w:rsidRPr="00B51AF7">
          <w:rPr>
            <w:rStyle w:val="Hyperlink"/>
            <w:rFonts w:hint="cs"/>
            <w:rtl/>
          </w:rPr>
          <w:t>ی</w:t>
        </w:r>
        <w:r w:rsidRPr="00B51AF7">
          <w:rPr>
            <w:rStyle w:val="Hyperlink"/>
            <w:rFonts w:hint="eastAsia"/>
            <w:rtl/>
          </w:rPr>
          <w:t>،</w:t>
        </w:r>
        <w:r w:rsidRPr="00B51AF7">
          <w:rPr>
            <w:rStyle w:val="Hyperlink"/>
            <w:rtl/>
          </w:rPr>
          <w:t xml:space="preserve"> ج7، ص33</w:t>
        </w:r>
        <w:r w:rsidRPr="00B51AF7">
          <w:rPr>
            <w:rStyle w:val="Hyperlink"/>
          </w:rPr>
          <w:t>.</w:t>
        </w:r>
      </w:hyperlink>
    </w:p>
  </w:footnote>
  <w:footnote w:id="2">
    <w:p w:rsidR="009E129C" w:rsidRDefault="009E129C" w:rsidP="009E129C">
      <w:pPr>
        <w:pStyle w:val="FootnoteText"/>
      </w:pPr>
      <w:r>
        <w:rPr>
          <w:rStyle w:val="FootnoteReference"/>
        </w:rPr>
        <w:footnoteRef/>
      </w:r>
      <w:r>
        <w:rPr>
          <w:rtl/>
        </w:rPr>
        <w:t xml:space="preserve"> </w:t>
      </w:r>
      <w:hyperlink r:id="rId2" w:history="1">
        <w:r w:rsidRPr="00A15790">
          <w:rPr>
            <w:rStyle w:val="Hyperlink"/>
            <w:rFonts w:hint="cs"/>
            <w:rtl/>
          </w:rPr>
          <w:t>الموطأ؛ ج 1، ص: 278</w:t>
        </w:r>
      </w:hyperlink>
      <w:r>
        <w:rPr>
          <w:rFonts w:hint="cs"/>
          <w:rtl/>
        </w:rPr>
        <w:t xml:space="preserve"> </w:t>
      </w:r>
    </w:p>
  </w:footnote>
  <w:footnote w:id="3">
    <w:p w:rsidR="00643990" w:rsidRDefault="00643990">
      <w:pPr>
        <w:pStyle w:val="FootnoteText"/>
      </w:pPr>
      <w:r>
        <w:rPr>
          <w:rStyle w:val="FootnoteReference"/>
        </w:rPr>
        <w:footnoteRef/>
      </w:r>
      <w:r>
        <w:rPr>
          <w:rtl/>
        </w:rPr>
        <w:t xml:space="preserve"> </w:t>
      </w:r>
      <w:hyperlink r:id="rId3" w:history="1">
        <w:r w:rsidRPr="00643990">
          <w:rPr>
            <w:rStyle w:val="Hyperlink"/>
            <w:rFonts w:hint="cs"/>
            <w:rtl/>
          </w:rPr>
          <w:t>الاستذکار؛ ج 7، ص: 232</w:t>
        </w:r>
      </w:hyperlink>
      <w:r>
        <w:rPr>
          <w:rFonts w:hint="cs"/>
          <w:rtl/>
        </w:rPr>
        <w:t xml:space="preserve"> </w:t>
      </w:r>
    </w:p>
  </w:footnote>
  <w:footnote w:id="4">
    <w:p w:rsidR="001755AB" w:rsidRDefault="001755AB" w:rsidP="001755AB">
      <w:pPr>
        <w:pStyle w:val="FootnoteText"/>
        <w:rPr>
          <w:rtl/>
        </w:rPr>
      </w:pPr>
      <w:r>
        <w:rPr>
          <w:rStyle w:val="FootnoteReference"/>
        </w:rPr>
        <w:footnoteRef/>
      </w:r>
      <w:r>
        <w:rPr>
          <w:rtl/>
        </w:rPr>
        <w:t xml:space="preserve"> سوال: آ</w:t>
      </w:r>
      <w:r>
        <w:rPr>
          <w:rFonts w:hint="cs"/>
          <w:rtl/>
        </w:rPr>
        <w:t>ی</w:t>
      </w:r>
      <w:r>
        <w:rPr>
          <w:rFonts w:hint="eastAsia"/>
          <w:rtl/>
        </w:rPr>
        <w:t>ا</w:t>
      </w:r>
      <w:r>
        <w:rPr>
          <w:rtl/>
        </w:rPr>
        <w:t xml:space="preserve"> عامه در هر هبه ا</w:t>
      </w:r>
      <w:r>
        <w:rPr>
          <w:rFonts w:hint="cs"/>
          <w:rtl/>
        </w:rPr>
        <w:t>ی</w:t>
      </w:r>
      <w:r>
        <w:rPr>
          <w:rtl/>
        </w:rPr>
        <w:t xml:space="preserve"> قائل به لزوم اشهاد هستند؟</w:t>
      </w:r>
    </w:p>
    <w:p w:rsidR="001755AB" w:rsidRDefault="001755AB" w:rsidP="001755AB">
      <w:pPr>
        <w:pStyle w:val="FootnoteText"/>
      </w:pPr>
      <w:r>
        <w:rPr>
          <w:rFonts w:hint="eastAsia"/>
          <w:rtl/>
        </w:rPr>
        <w:t>پاسخ</w:t>
      </w:r>
      <w:r>
        <w:rPr>
          <w:rtl/>
        </w:rPr>
        <w:t>: لا اقل مالک و همفکران او، هبه را ن</w:t>
      </w:r>
      <w:r>
        <w:rPr>
          <w:rFonts w:hint="cs"/>
          <w:rtl/>
        </w:rPr>
        <w:t>ی</w:t>
      </w:r>
      <w:r>
        <w:rPr>
          <w:rFonts w:hint="eastAsia"/>
          <w:rtl/>
        </w:rPr>
        <w:t>ازمند</w:t>
      </w:r>
      <w:r>
        <w:rPr>
          <w:rtl/>
        </w:rPr>
        <w:t xml:space="preserve"> اشهاد م</w:t>
      </w:r>
      <w:r>
        <w:rPr>
          <w:rFonts w:hint="cs"/>
          <w:rtl/>
        </w:rPr>
        <w:t>ی</w:t>
      </w:r>
      <w:r>
        <w:rPr>
          <w:rtl/>
        </w:rPr>
        <w:t xml:space="preserve"> دانند.</w:t>
      </w:r>
    </w:p>
  </w:footnote>
  <w:footnote w:id="5">
    <w:p w:rsidR="00CC3BE1" w:rsidRPr="00CC3BE1" w:rsidRDefault="00CC3BE1" w:rsidP="00CC3BE1">
      <w:pPr>
        <w:pStyle w:val="FootnoteText"/>
      </w:pPr>
      <w:r w:rsidRPr="00CC3BE1">
        <w:footnoteRef/>
      </w:r>
      <w:r w:rsidRPr="00CC3BE1">
        <w:rPr>
          <w:rtl/>
        </w:rPr>
        <w:t xml:space="preserve"> </w:t>
      </w:r>
      <w:hyperlink r:id="rId4" w:history="1">
        <w:r w:rsidRPr="00CC3BE1">
          <w:rPr>
            <w:rStyle w:val="Hyperlink"/>
            <w:rtl/>
          </w:rPr>
          <w:t>تهذ</w:t>
        </w:r>
        <w:r w:rsidRPr="00CC3BE1">
          <w:rPr>
            <w:rStyle w:val="Hyperlink"/>
            <w:rFonts w:hint="cs"/>
            <w:rtl/>
          </w:rPr>
          <w:t>ی</w:t>
        </w:r>
        <w:r w:rsidRPr="00CC3BE1">
          <w:rPr>
            <w:rStyle w:val="Hyperlink"/>
            <w:rFonts w:hint="eastAsia"/>
            <w:rtl/>
          </w:rPr>
          <w:t>ب</w:t>
        </w:r>
        <w:r w:rsidRPr="00CC3BE1">
          <w:rPr>
            <w:rStyle w:val="Hyperlink"/>
            <w:rtl/>
          </w:rPr>
          <w:t xml:space="preserve"> الاحکام، ش</w:t>
        </w:r>
        <w:r w:rsidRPr="00CC3BE1">
          <w:rPr>
            <w:rStyle w:val="Hyperlink"/>
            <w:rFonts w:hint="cs"/>
            <w:rtl/>
          </w:rPr>
          <w:t>ی</w:t>
        </w:r>
        <w:r w:rsidRPr="00CC3BE1">
          <w:rPr>
            <w:rStyle w:val="Hyperlink"/>
            <w:rFonts w:hint="eastAsia"/>
            <w:rtl/>
          </w:rPr>
          <w:t>خ</w:t>
        </w:r>
        <w:r w:rsidRPr="00CC3BE1">
          <w:rPr>
            <w:rStyle w:val="Hyperlink"/>
            <w:rtl/>
          </w:rPr>
          <w:t xml:space="preserve"> طوس</w:t>
        </w:r>
        <w:r w:rsidRPr="00CC3BE1">
          <w:rPr>
            <w:rStyle w:val="Hyperlink"/>
            <w:rFonts w:hint="cs"/>
            <w:rtl/>
          </w:rPr>
          <w:t>ی</w:t>
        </w:r>
        <w:r w:rsidRPr="00CC3BE1">
          <w:rPr>
            <w:rStyle w:val="Hyperlink"/>
            <w:rFonts w:hint="eastAsia"/>
            <w:rtl/>
          </w:rPr>
          <w:t>،</w:t>
        </w:r>
        <w:r w:rsidRPr="00CC3BE1">
          <w:rPr>
            <w:rStyle w:val="Hyperlink"/>
            <w:rtl/>
          </w:rPr>
          <w:t xml:space="preserve"> ج9، ص157</w:t>
        </w:r>
        <w:r w:rsidRPr="00CC3BE1">
          <w:rPr>
            <w:rStyle w:val="Hyperlink"/>
          </w:rPr>
          <w:t>.</w:t>
        </w:r>
      </w:hyperlink>
    </w:p>
  </w:footnote>
  <w:footnote w:id="6">
    <w:p w:rsidR="00E956FD" w:rsidRPr="008375E8" w:rsidRDefault="00E956FD" w:rsidP="00E956FD">
      <w:pPr>
        <w:pStyle w:val="FootnoteText"/>
      </w:pPr>
      <w:r w:rsidRPr="008375E8">
        <w:footnoteRef/>
      </w:r>
      <w:r w:rsidRPr="008375E8">
        <w:rPr>
          <w:rtl/>
        </w:rPr>
        <w:t xml:space="preserve"> </w:t>
      </w:r>
      <w:hyperlink r:id="rId5" w:history="1">
        <w:r w:rsidRPr="008375E8">
          <w:rPr>
            <w:rStyle w:val="Hyperlink"/>
            <w:rtl/>
          </w:rPr>
          <w:t>الکاف</w:t>
        </w:r>
        <w:r w:rsidRPr="008375E8">
          <w:rPr>
            <w:rStyle w:val="Hyperlink"/>
            <w:rFonts w:hint="cs"/>
            <w:rtl/>
          </w:rPr>
          <w:t>ی</w:t>
        </w:r>
        <w:r w:rsidRPr="008375E8">
          <w:rPr>
            <w:rStyle w:val="Hyperlink"/>
            <w:rFonts w:hint="eastAsia"/>
            <w:rtl/>
          </w:rPr>
          <w:t>،</w:t>
        </w:r>
        <w:r w:rsidRPr="008375E8">
          <w:rPr>
            <w:rStyle w:val="Hyperlink"/>
            <w:rtl/>
          </w:rPr>
          <w:t xml:space="preserve"> محمد بن </w:t>
        </w:r>
        <w:r w:rsidRPr="008375E8">
          <w:rPr>
            <w:rStyle w:val="Hyperlink"/>
            <w:rFonts w:hint="cs"/>
            <w:rtl/>
          </w:rPr>
          <w:t>ی</w:t>
        </w:r>
        <w:r w:rsidRPr="008375E8">
          <w:rPr>
            <w:rStyle w:val="Hyperlink"/>
            <w:rFonts w:hint="eastAsia"/>
            <w:rtl/>
          </w:rPr>
          <w:t>عقوب</w:t>
        </w:r>
        <w:r w:rsidRPr="008375E8">
          <w:rPr>
            <w:rStyle w:val="Hyperlink"/>
            <w:rtl/>
          </w:rPr>
          <w:t xml:space="preserve"> کل</w:t>
        </w:r>
        <w:r w:rsidRPr="008375E8">
          <w:rPr>
            <w:rStyle w:val="Hyperlink"/>
            <w:rFonts w:hint="cs"/>
            <w:rtl/>
          </w:rPr>
          <w:t>ی</w:t>
        </w:r>
        <w:r w:rsidRPr="008375E8">
          <w:rPr>
            <w:rStyle w:val="Hyperlink"/>
            <w:rFonts w:hint="eastAsia"/>
            <w:rtl/>
          </w:rPr>
          <w:t>ن</w:t>
        </w:r>
        <w:r w:rsidRPr="008375E8">
          <w:rPr>
            <w:rStyle w:val="Hyperlink"/>
            <w:rFonts w:hint="cs"/>
            <w:rtl/>
          </w:rPr>
          <w:t>ی</w:t>
        </w:r>
        <w:r w:rsidRPr="008375E8">
          <w:rPr>
            <w:rStyle w:val="Hyperlink"/>
            <w:rFonts w:hint="eastAsia"/>
            <w:rtl/>
          </w:rPr>
          <w:t>،</w:t>
        </w:r>
        <w:r w:rsidRPr="008375E8">
          <w:rPr>
            <w:rStyle w:val="Hyperlink"/>
            <w:rtl/>
          </w:rPr>
          <w:t xml:space="preserve"> ج7، ص31</w:t>
        </w:r>
        <w:r w:rsidRPr="008375E8">
          <w:rPr>
            <w:rStyle w:val="Hyperlink"/>
          </w:rPr>
          <w:t>.</w:t>
        </w:r>
      </w:hyperlink>
    </w:p>
  </w:footnote>
  <w:footnote w:id="7">
    <w:p w:rsidR="007E4AEB" w:rsidRPr="007E4AEB" w:rsidRDefault="007E4AEB" w:rsidP="007E4AEB">
      <w:pPr>
        <w:pStyle w:val="FootnoteText"/>
      </w:pPr>
      <w:r w:rsidRPr="007E4AEB">
        <w:footnoteRef/>
      </w:r>
      <w:r w:rsidRPr="007E4AEB">
        <w:rPr>
          <w:rtl/>
        </w:rPr>
        <w:t xml:space="preserve"> </w:t>
      </w:r>
      <w:hyperlink r:id="rId6" w:history="1">
        <w:r w:rsidRPr="007E4AEB">
          <w:rPr>
            <w:rStyle w:val="Hyperlink"/>
            <w:rtl/>
          </w:rPr>
          <w:t>الکاف</w:t>
        </w:r>
        <w:r w:rsidRPr="007E4AEB">
          <w:rPr>
            <w:rStyle w:val="Hyperlink"/>
            <w:rFonts w:hint="cs"/>
            <w:rtl/>
          </w:rPr>
          <w:t>ی</w:t>
        </w:r>
        <w:r w:rsidRPr="007E4AEB">
          <w:rPr>
            <w:rStyle w:val="Hyperlink"/>
            <w:rFonts w:hint="eastAsia"/>
            <w:rtl/>
          </w:rPr>
          <w:t>،</w:t>
        </w:r>
        <w:r w:rsidRPr="007E4AEB">
          <w:rPr>
            <w:rStyle w:val="Hyperlink"/>
            <w:rtl/>
          </w:rPr>
          <w:t xml:space="preserve"> محمد بن </w:t>
        </w:r>
        <w:r w:rsidRPr="007E4AEB">
          <w:rPr>
            <w:rStyle w:val="Hyperlink"/>
            <w:rFonts w:hint="cs"/>
            <w:rtl/>
          </w:rPr>
          <w:t>ی</w:t>
        </w:r>
        <w:r w:rsidRPr="007E4AEB">
          <w:rPr>
            <w:rStyle w:val="Hyperlink"/>
            <w:rFonts w:hint="eastAsia"/>
            <w:rtl/>
          </w:rPr>
          <w:t>عقوب</w:t>
        </w:r>
        <w:r w:rsidRPr="007E4AEB">
          <w:rPr>
            <w:rStyle w:val="Hyperlink"/>
            <w:rtl/>
          </w:rPr>
          <w:t xml:space="preserve"> کل</w:t>
        </w:r>
        <w:r w:rsidRPr="007E4AEB">
          <w:rPr>
            <w:rStyle w:val="Hyperlink"/>
            <w:rFonts w:hint="cs"/>
            <w:rtl/>
          </w:rPr>
          <w:t>ی</w:t>
        </w:r>
        <w:r w:rsidRPr="007E4AEB">
          <w:rPr>
            <w:rStyle w:val="Hyperlink"/>
            <w:rFonts w:hint="eastAsia"/>
            <w:rtl/>
          </w:rPr>
          <w:t>ن</w:t>
        </w:r>
        <w:r w:rsidRPr="007E4AEB">
          <w:rPr>
            <w:rStyle w:val="Hyperlink"/>
            <w:rFonts w:hint="cs"/>
            <w:rtl/>
          </w:rPr>
          <w:t>ی</w:t>
        </w:r>
        <w:r w:rsidRPr="007E4AEB">
          <w:rPr>
            <w:rStyle w:val="Hyperlink"/>
            <w:rFonts w:hint="eastAsia"/>
            <w:rtl/>
          </w:rPr>
          <w:t>،</w:t>
        </w:r>
        <w:r w:rsidRPr="007E4AEB">
          <w:rPr>
            <w:rStyle w:val="Hyperlink"/>
            <w:rtl/>
          </w:rPr>
          <w:t xml:space="preserve"> ج7، ص32</w:t>
        </w:r>
        <w:r w:rsidRPr="007E4AEB">
          <w:rPr>
            <w:rStyle w:val="Hyperlink"/>
          </w:rPr>
          <w:t>.</w:t>
        </w:r>
      </w:hyperlink>
    </w:p>
  </w:footnote>
  <w:footnote w:id="8">
    <w:p w:rsidR="009E40FA" w:rsidRPr="009E40FA" w:rsidRDefault="009E40FA" w:rsidP="009E40FA">
      <w:pPr>
        <w:pStyle w:val="FootnoteText"/>
      </w:pPr>
      <w:r w:rsidRPr="009E40FA">
        <w:footnoteRef/>
      </w:r>
      <w:r w:rsidRPr="009E40FA">
        <w:rPr>
          <w:rtl/>
        </w:rPr>
        <w:t xml:space="preserve"> </w:t>
      </w:r>
      <w:hyperlink r:id="rId7" w:history="1">
        <w:r w:rsidRPr="009E40FA">
          <w:rPr>
            <w:rStyle w:val="Hyperlink"/>
            <w:rtl/>
          </w:rPr>
          <w:t>تهذ</w:t>
        </w:r>
        <w:r w:rsidRPr="009E40FA">
          <w:rPr>
            <w:rStyle w:val="Hyperlink"/>
            <w:rFonts w:hint="cs"/>
            <w:rtl/>
          </w:rPr>
          <w:t>ی</w:t>
        </w:r>
        <w:r w:rsidRPr="009E40FA">
          <w:rPr>
            <w:rStyle w:val="Hyperlink"/>
            <w:rFonts w:hint="eastAsia"/>
            <w:rtl/>
          </w:rPr>
          <w:t>ب</w:t>
        </w:r>
        <w:r w:rsidRPr="009E40FA">
          <w:rPr>
            <w:rStyle w:val="Hyperlink"/>
            <w:rtl/>
          </w:rPr>
          <w:t xml:space="preserve"> الاحکام، ش</w:t>
        </w:r>
        <w:r w:rsidRPr="009E40FA">
          <w:rPr>
            <w:rStyle w:val="Hyperlink"/>
            <w:rFonts w:hint="cs"/>
            <w:rtl/>
          </w:rPr>
          <w:t>ی</w:t>
        </w:r>
        <w:r w:rsidRPr="009E40FA">
          <w:rPr>
            <w:rStyle w:val="Hyperlink"/>
            <w:rFonts w:hint="eastAsia"/>
            <w:rtl/>
          </w:rPr>
          <w:t>خ</w:t>
        </w:r>
        <w:r w:rsidRPr="009E40FA">
          <w:rPr>
            <w:rStyle w:val="Hyperlink"/>
            <w:rtl/>
          </w:rPr>
          <w:t xml:space="preserve"> طوس</w:t>
        </w:r>
        <w:r w:rsidRPr="009E40FA">
          <w:rPr>
            <w:rStyle w:val="Hyperlink"/>
            <w:rFonts w:hint="cs"/>
            <w:rtl/>
          </w:rPr>
          <w:t>ی</w:t>
        </w:r>
        <w:r w:rsidRPr="009E40FA">
          <w:rPr>
            <w:rStyle w:val="Hyperlink"/>
            <w:rFonts w:hint="eastAsia"/>
            <w:rtl/>
          </w:rPr>
          <w:t>،</w:t>
        </w:r>
        <w:r w:rsidRPr="009E40FA">
          <w:rPr>
            <w:rStyle w:val="Hyperlink"/>
            <w:rtl/>
          </w:rPr>
          <w:t xml:space="preserve"> ج9، ص156</w:t>
        </w:r>
        <w:r w:rsidRPr="009E40FA">
          <w:rPr>
            <w:rStyle w:val="Hyperlink"/>
          </w:rPr>
          <w:t>.</w:t>
        </w:r>
      </w:hyperlink>
    </w:p>
  </w:footnote>
  <w:footnote w:id="9">
    <w:p w:rsidR="005C6E63" w:rsidRPr="00CC3BE1" w:rsidRDefault="005C6E63" w:rsidP="005C6E63">
      <w:pPr>
        <w:pStyle w:val="FootnoteText"/>
      </w:pPr>
      <w:r w:rsidRPr="00CC3BE1">
        <w:footnoteRef/>
      </w:r>
      <w:r w:rsidRPr="00CC3BE1">
        <w:rPr>
          <w:rtl/>
        </w:rPr>
        <w:t xml:space="preserve"> </w:t>
      </w:r>
      <w:hyperlink r:id="rId8" w:history="1">
        <w:r w:rsidRPr="00CC3BE1">
          <w:rPr>
            <w:rStyle w:val="Hyperlink"/>
            <w:rtl/>
          </w:rPr>
          <w:t>تهذ</w:t>
        </w:r>
        <w:r w:rsidRPr="00CC3BE1">
          <w:rPr>
            <w:rStyle w:val="Hyperlink"/>
            <w:rFonts w:hint="cs"/>
            <w:rtl/>
          </w:rPr>
          <w:t>ی</w:t>
        </w:r>
        <w:r w:rsidRPr="00CC3BE1">
          <w:rPr>
            <w:rStyle w:val="Hyperlink"/>
            <w:rFonts w:hint="eastAsia"/>
            <w:rtl/>
          </w:rPr>
          <w:t>ب</w:t>
        </w:r>
        <w:r w:rsidRPr="00CC3BE1">
          <w:rPr>
            <w:rStyle w:val="Hyperlink"/>
            <w:rtl/>
          </w:rPr>
          <w:t xml:space="preserve"> الاحکام، ش</w:t>
        </w:r>
        <w:r w:rsidRPr="00CC3BE1">
          <w:rPr>
            <w:rStyle w:val="Hyperlink"/>
            <w:rFonts w:hint="cs"/>
            <w:rtl/>
          </w:rPr>
          <w:t>ی</w:t>
        </w:r>
        <w:r w:rsidRPr="00CC3BE1">
          <w:rPr>
            <w:rStyle w:val="Hyperlink"/>
            <w:rFonts w:hint="eastAsia"/>
            <w:rtl/>
          </w:rPr>
          <w:t>خ</w:t>
        </w:r>
        <w:r w:rsidRPr="00CC3BE1">
          <w:rPr>
            <w:rStyle w:val="Hyperlink"/>
            <w:rtl/>
          </w:rPr>
          <w:t xml:space="preserve"> طوس</w:t>
        </w:r>
        <w:r w:rsidRPr="00CC3BE1">
          <w:rPr>
            <w:rStyle w:val="Hyperlink"/>
            <w:rFonts w:hint="cs"/>
            <w:rtl/>
          </w:rPr>
          <w:t>ی</w:t>
        </w:r>
        <w:r w:rsidRPr="00CC3BE1">
          <w:rPr>
            <w:rStyle w:val="Hyperlink"/>
            <w:rFonts w:hint="eastAsia"/>
            <w:rtl/>
          </w:rPr>
          <w:t>،</w:t>
        </w:r>
        <w:r w:rsidRPr="00CC3BE1">
          <w:rPr>
            <w:rStyle w:val="Hyperlink"/>
            <w:rtl/>
          </w:rPr>
          <w:t xml:space="preserve"> ج9، ص157</w:t>
        </w:r>
        <w:r w:rsidRPr="00CC3BE1">
          <w:rPr>
            <w:rStyle w:val="Hyperlink"/>
          </w:rPr>
          <w:t>.</w:t>
        </w:r>
      </w:hyperlink>
    </w:p>
  </w:footnote>
  <w:footnote w:id="10">
    <w:p w:rsidR="00352CCF" w:rsidRPr="00AE37F2" w:rsidRDefault="00352CCF" w:rsidP="00352CCF">
      <w:pPr>
        <w:pStyle w:val="FootnoteText"/>
      </w:pPr>
      <w:r w:rsidRPr="00AE37F2">
        <w:footnoteRef/>
      </w:r>
      <w:r w:rsidRPr="00AE37F2">
        <w:rPr>
          <w:rtl/>
        </w:rPr>
        <w:t xml:space="preserve"> </w:t>
      </w:r>
      <w:hyperlink r:id="rId9" w:history="1">
        <w:r w:rsidRPr="00AE37F2">
          <w:rPr>
            <w:rStyle w:val="Hyperlink"/>
            <w:rtl/>
          </w:rPr>
          <w:t>تهذ</w:t>
        </w:r>
        <w:r w:rsidRPr="00AE37F2">
          <w:rPr>
            <w:rStyle w:val="Hyperlink"/>
            <w:rFonts w:hint="cs"/>
            <w:rtl/>
          </w:rPr>
          <w:t>ی</w:t>
        </w:r>
        <w:r w:rsidRPr="00AE37F2">
          <w:rPr>
            <w:rStyle w:val="Hyperlink"/>
            <w:rFonts w:hint="eastAsia"/>
            <w:rtl/>
          </w:rPr>
          <w:t>ب</w:t>
        </w:r>
        <w:r w:rsidRPr="00AE37F2">
          <w:rPr>
            <w:rStyle w:val="Hyperlink"/>
            <w:rtl/>
          </w:rPr>
          <w:t xml:space="preserve"> الاحکام، ش</w:t>
        </w:r>
        <w:r w:rsidRPr="00AE37F2">
          <w:rPr>
            <w:rStyle w:val="Hyperlink"/>
            <w:rFonts w:hint="cs"/>
            <w:rtl/>
          </w:rPr>
          <w:t>ی</w:t>
        </w:r>
        <w:r w:rsidRPr="00AE37F2">
          <w:rPr>
            <w:rStyle w:val="Hyperlink"/>
            <w:rFonts w:hint="eastAsia"/>
            <w:rtl/>
          </w:rPr>
          <w:t>خ</w:t>
        </w:r>
        <w:r w:rsidRPr="00AE37F2">
          <w:rPr>
            <w:rStyle w:val="Hyperlink"/>
            <w:rtl/>
          </w:rPr>
          <w:t xml:space="preserve"> طوس</w:t>
        </w:r>
        <w:r w:rsidRPr="00AE37F2">
          <w:rPr>
            <w:rStyle w:val="Hyperlink"/>
            <w:rFonts w:hint="cs"/>
            <w:rtl/>
          </w:rPr>
          <w:t>ی</w:t>
        </w:r>
        <w:r w:rsidRPr="00AE37F2">
          <w:rPr>
            <w:rStyle w:val="Hyperlink"/>
            <w:rFonts w:hint="eastAsia"/>
            <w:rtl/>
          </w:rPr>
          <w:t>،</w:t>
        </w:r>
        <w:r w:rsidRPr="00AE37F2">
          <w:rPr>
            <w:rStyle w:val="Hyperlink"/>
            <w:rtl/>
          </w:rPr>
          <w:t xml:space="preserve"> ج9، ص156</w:t>
        </w:r>
        <w:r w:rsidRPr="00AE37F2">
          <w:rPr>
            <w:rStyle w:val="Hyperlink"/>
          </w:rPr>
          <w:t>.</w:t>
        </w:r>
      </w:hyperlink>
    </w:p>
  </w:footnote>
  <w:footnote w:id="11">
    <w:p w:rsidR="00352CCF" w:rsidRPr="00F75C2C" w:rsidRDefault="00352CCF" w:rsidP="00352CCF">
      <w:pPr>
        <w:pStyle w:val="FootnoteText"/>
      </w:pPr>
      <w:r w:rsidRPr="00F75C2C">
        <w:footnoteRef/>
      </w:r>
      <w:r w:rsidRPr="00F75C2C">
        <w:rPr>
          <w:rtl/>
        </w:rPr>
        <w:t xml:space="preserve"> </w:t>
      </w:r>
      <w:hyperlink r:id="rId10" w:history="1">
        <w:r w:rsidRPr="00F75C2C">
          <w:rPr>
            <w:rStyle w:val="Hyperlink"/>
            <w:rtl/>
          </w:rPr>
          <w:t>استبصار، ش</w:t>
        </w:r>
        <w:r w:rsidRPr="00F75C2C">
          <w:rPr>
            <w:rStyle w:val="Hyperlink"/>
            <w:rFonts w:hint="cs"/>
            <w:rtl/>
          </w:rPr>
          <w:t>ی</w:t>
        </w:r>
        <w:r w:rsidRPr="00F75C2C">
          <w:rPr>
            <w:rStyle w:val="Hyperlink"/>
            <w:rFonts w:hint="eastAsia"/>
            <w:rtl/>
          </w:rPr>
          <w:t>خ</w:t>
        </w:r>
        <w:r w:rsidRPr="00F75C2C">
          <w:rPr>
            <w:rStyle w:val="Hyperlink"/>
            <w:rtl/>
          </w:rPr>
          <w:t xml:space="preserve"> طوس</w:t>
        </w:r>
        <w:r w:rsidRPr="00F75C2C">
          <w:rPr>
            <w:rStyle w:val="Hyperlink"/>
            <w:rFonts w:hint="cs"/>
            <w:rtl/>
          </w:rPr>
          <w:t>ی</w:t>
        </w:r>
        <w:r w:rsidRPr="00F75C2C">
          <w:rPr>
            <w:rStyle w:val="Hyperlink"/>
            <w:rFonts w:hint="eastAsia"/>
            <w:rtl/>
          </w:rPr>
          <w:t>،</w:t>
        </w:r>
        <w:r w:rsidRPr="00F75C2C">
          <w:rPr>
            <w:rStyle w:val="Hyperlink"/>
            <w:rtl/>
          </w:rPr>
          <w:t xml:space="preserve"> ج4، ص110</w:t>
        </w:r>
        <w:r w:rsidRPr="00F75C2C">
          <w:rPr>
            <w:rStyle w:val="Hyperlink"/>
          </w:rPr>
          <w:t>.</w:t>
        </w:r>
      </w:hyperlink>
    </w:p>
  </w:footnote>
  <w:footnote w:id="12">
    <w:p w:rsidR="00352CCF" w:rsidRPr="00371AA0" w:rsidRDefault="00352CCF" w:rsidP="00352CCF">
      <w:pPr>
        <w:pStyle w:val="FootnoteText"/>
      </w:pPr>
      <w:r w:rsidRPr="00371AA0">
        <w:footnoteRef/>
      </w:r>
      <w:r w:rsidRPr="00371AA0">
        <w:rPr>
          <w:rtl/>
        </w:rPr>
        <w:t xml:space="preserve"> </w:t>
      </w:r>
      <w:hyperlink r:id="rId11" w:history="1">
        <w:r w:rsidRPr="00371AA0">
          <w:rPr>
            <w:rStyle w:val="Hyperlink"/>
            <w:rtl/>
          </w:rPr>
          <w:t>اخت</w:t>
        </w:r>
        <w:r w:rsidRPr="00371AA0">
          <w:rPr>
            <w:rStyle w:val="Hyperlink"/>
            <w:rFonts w:hint="cs"/>
            <w:rtl/>
          </w:rPr>
          <w:t>ی</w:t>
        </w:r>
        <w:r w:rsidRPr="00371AA0">
          <w:rPr>
            <w:rStyle w:val="Hyperlink"/>
            <w:rFonts w:hint="eastAsia"/>
            <w:rtl/>
          </w:rPr>
          <w:t>ار</w:t>
        </w:r>
        <w:r w:rsidRPr="00371AA0">
          <w:rPr>
            <w:rStyle w:val="Hyperlink"/>
            <w:rtl/>
          </w:rPr>
          <w:t xml:space="preserve"> معرفة الرجال، ش</w:t>
        </w:r>
        <w:r w:rsidRPr="00371AA0">
          <w:rPr>
            <w:rStyle w:val="Hyperlink"/>
            <w:rFonts w:hint="cs"/>
            <w:rtl/>
          </w:rPr>
          <w:t>ی</w:t>
        </w:r>
        <w:r w:rsidRPr="00371AA0">
          <w:rPr>
            <w:rStyle w:val="Hyperlink"/>
            <w:rFonts w:hint="eastAsia"/>
            <w:rtl/>
          </w:rPr>
          <w:t>خ</w:t>
        </w:r>
        <w:r w:rsidRPr="00371AA0">
          <w:rPr>
            <w:rStyle w:val="Hyperlink"/>
            <w:rtl/>
          </w:rPr>
          <w:t xml:space="preserve"> طوس</w:t>
        </w:r>
        <w:r w:rsidRPr="00371AA0">
          <w:rPr>
            <w:rStyle w:val="Hyperlink"/>
            <w:rFonts w:hint="cs"/>
            <w:rtl/>
          </w:rPr>
          <w:t>ی</w:t>
        </w:r>
        <w:r w:rsidRPr="00371AA0">
          <w:rPr>
            <w:rStyle w:val="Hyperlink"/>
            <w:rFonts w:hint="eastAsia"/>
            <w:rtl/>
          </w:rPr>
          <w:t>،</w:t>
        </w:r>
        <w:r w:rsidRPr="00371AA0">
          <w:rPr>
            <w:rStyle w:val="Hyperlink"/>
            <w:rtl/>
          </w:rPr>
          <w:t xml:space="preserve"> ج، ص353</w:t>
        </w:r>
        <w:r w:rsidRPr="00371AA0">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26118C">
      <w:rPr>
        <w:b/>
        <w:bCs/>
        <w:sz w:val="20"/>
        <w:szCs w:val="24"/>
        <w:rtl/>
      </w:rPr>
      <w:t>046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26118C">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26118C">
      <w:rPr>
        <w:b/>
        <w:bCs/>
        <w:color w:val="632423" w:themeColor="accent2" w:themeShade="80"/>
        <w:sz w:val="20"/>
        <w:szCs w:val="24"/>
        <w:rtl/>
      </w:rPr>
      <w:t>س</w:t>
    </w:r>
    <w:r w:rsidR="0026118C">
      <w:rPr>
        <w:rFonts w:hint="cs"/>
        <w:b/>
        <w:bCs/>
        <w:color w:val="632423" w:themeColor="accent2" w:themeShade="80"/>
        <w:sz w:val="20"/>
        <w:szCs w:val="24"/>
        <w:rtl/>
      </w:rPr>
      <w:t>ی</w:t>
    </w:r>
    <w:r w:rsidR="0026118C">
      <w:rPr>
        <w:rFonts w:hint="eastAsia"/>
        <w:b/>
        <w:bCs/>
        <w:color w:val="632423" w:themeColor="accent2" w:themeShade="80"/>
        <w:sz w:val="20"/>
        <w:szCs w:val="24"/>
        <w:rtl/>
      </w:rPr>
      <w:t>د</w:t>
    </w:r>
    <w:r w:rsidR="0026118C">
      <w:rPr>
        <w:b/>
        <w:bCs/>
        <w:color w:val="632423" w:themeColor="accent2" w:themeShade="80"/>
        <w:sz w:val="20"/>
        <w:szCs w:val="24"/>
        <w:rtl/>
      </w:rPr>
      <w:t xml:space="preserve"> محمد جواد شب</w:t>
    </w:r>
    <w:r w:rsidR="0026118C">
      <w:rPr>
        <w:rFonts w:hint="cs"/>
        <w:b/>
        <w:bCs/>
        <w:color w:val="632423" w:themeColor="accent2" w:themeShade="80"/>
        <w:sz w:val="20"/>
        <w:szCs w:val="24"/>
        <w:rtl/>
      </w:rPr>
      <w:t>ی</w:t>
    </w:r>
    <w:r w:rsidR="0026118C">
      <w:rPr>
        <w:rFonts w:hint="eastAsia"/>
        <w:b/>
        <w:bCs/>
        <w:color w:val="632423" w:themeColor="accent2" w:themeShade="80"/>
        <w:sz w:val="20"/>
        <w:szCs w:val="24"/>
        <w:rtl/>
      </w:rPr>
      <w:t>ر</w:t>
    </w:r>
    <w:r w:rsidR="0026118C">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26118C">
      <w:rPr>
        <w:sz w:val="24"/>
        <w:szCs w:val="24"/>
        <w:rtl/>
      </w:rPr>
      <w:t>22 /9 /1401</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26118C">
      <w:rPr>
        <w:color w:val="000000" w:themeColor="text1"/>
        <w:sz w:val="24"/>
        <w:szCs w:val="24"/>
        <w:rtl/>
      </w:rPr>
      <w:t xml:space="preserve">زکات منذور الصدقه </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1A0B0E">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26118C">
      <w:rPr>
        <w:sz w:val="24"/>
        <w:szCs w:val="24"/>
        <w:rtl/>
      </w:rPr>
      <w:t>حق</w:t>
    </w:r>
    <w:r w:rsidR="0026118C">
      <w:rPr>
        <w:rFonts w:hint="cs"/>
        <w:sz w:val="24"/>
        <w:szCs w:val="24"/>
        <w:rtl/>
      </w:rPr>
      <w:t>ی</w:t>
    </w:r>
    <w:r w:rsidR="0026118C">
      <w:rPr>
        <w:rFonts w:hint="eastAsia"/>
        <w:sz w:val="24"/>
        <w:szCs w:val="24"/>
        <w:rtl/>
      </w:rPr>
      <w:t>قت</w:t>
    </w:r>
    <w:r w:rsidR="0026118C">
      <w:rPr>
        <w:sz w:val="24"/>
        <w:szCs w:val="24"/>
        <w:rtl/>
      </w:rPr>
      <w:t xml:space="preserve"> صدقه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7C02D8"/>
    <w:multiLevelType w:val="hybridMultilevel"/>
    <w:tmpl w:val="76B4774E"/>
    <w:lvl w:ilvl="0" w:tplc="7D7EBD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3F6B67"/>
    <w:multiLevelType w:val="hybridMultilevel"/>
    <w:tmpl w:val="706662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B121A5"/>
    <w:multiLevelType w:val="hybridMultilevel"/>
    <w:tmpl w:val="706662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7"/>
  </w:num>
  <w:num w:numId="14">
    <w:abstractNumId w:val="12"/>
  </w:num>
  <w:num w:numId="15">
    <w:abstractNumId w:val="13"/>
  </w:num>
  <w:num w:numId="16">
    <w:abstractNumId w:val="15"/>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56BF"/>
    <w:rsid w:val="00025777"/>
    <w:rsid w:val="00025B70"/>
    <w:rsid w:val="000353D7"/>
    <w:rsid w:val="00055496"/>
    <w:rsid w:val="00080A41"/>
    <w:rsid w:val="0008299B"/>
    <w:rsid w:val="000913AA"/>
    <w:rsid w:val="00094847"/>
    <w:rsid w:val="00096C63"/>
    <w:rsid w:val="000B43F0"/>
    <w:rsid w:val="000B5DB5"/>
    <w:rsid w:val="000C3947"/>
    <w:rsid w:val="000D2A37"/>
    <w:rsid w:val="000D30E9"/>
    <w:rsid w:val="000D6818"/>
    <w:rsid w:val="000E335E"/>
    <w:rsid w:val="000E4620"/>
    <w:rsid w:val="000F16CF"/>
    <w:rsid w:val="000F5BAC"/>
    <w:rsid w:val="00102585"/>
    <w:rsid w:val="00114AB7"/>
    <w:rsid w:val="00116B2B"/>
    <w:rsid w:val="00124E3D"/>
    <w:rsid w:val="00127E95"/>
    <w:rsid w:val="00130659"/>
    <w:rsid w:val="001347C7"/>
    <w:rsid w:val="001356B0"/>
    <w:rsid w:val="00151937"/>
    <w:rsid w:val="001755AB"/>
    <w:rsid w:val="00181844"/>
    <w:rsid w:val="001837E9"/>
    <w:rsid w:val="00187DFA"/>
    <w:rsid w:val="001A0B0E"/>
    <w:rsid w:val="001A1BC1"/>
    <w:rsid w:val="001A1EA5"/>
    <w:rsid w:val="001A2574"/>
    <w:rsid w:val="001A27D7"/>
    <w:rsid w:val="001A294E"/>
    <w:rsid w:val="001A4ED8"/>
    <w:rsid w:val="001B2488"/>
    <w:rsid w:val="001B6799"/>
    <w:rsid w:val="001C1362"/>
    <w:rsid w:val="001D17AD"/>
    <w:rsid w:val="001D2E9A"/>
    <w:rsid w:val="001D597F"/>
    <w:rsid w:val="001E3FD4"/>
    <w:rsid w:val="001F242F"/>
    <w:rsid w:val="0020241A"/>
    <w:rsid w:val="00203821"/>
    <w:rsid w:val="00211632"/>
    <w:rsid w:val="0021630D"/>
    <w:rsid w:val="0024121B"/>
    <w:rsid w:val="00247D2F"/>
    <w:rsid w:val="00256560"/>
    <w:rsid w:val="0026118C"/>
    <w:rsid w:val="002659B0"/>
    <w:rsid w:val="0027605E"/>
    <w:rsid w:val="00277C26"/>
    <w:rsid w:val="00281E00"/>
    <w:rsid w:val="00294A52"/>
    <w:rsid w:val="002A0100"/>
    <w:rsid w:val="002B575F"/>
    <w:rsid w:val="002B729B"/>
    <w:rsid w:val="002C23B5"/>
    <w:rsid w:val="002C53A2"/>
    <w:rsid w:val="002D0040"/>
    <w:rsid w:val="002D2FA8"/>
    <w:rsid w:val="002E220F"/>
    <w:rsid w:val="00307311"/>
    <w:rsid w:val="0032100F"/>
    <w:rsid w:val="0032514A"/>
    <w:rsid w:val="0033402C"/>
    <w:rsid w:val="00340521"/>
    <w:rsid w:val="00345C73"/>
    <w:rsid w:val="00352CCF"/>
    <w:rsid w:val="00352D24"/>
    <w:rsid w:val="00354A99"/>
    <w:rsid w:val="00360311"/>
    <w:rsid w:val="003612D4"/>
    <w:rsid w:val="00361922"/>
    <w:rsid w:val="00371AA0"/>
    <w:rsid w:val="0037339B"/>
    <w:rsid w:val="00386C11"/>
    <w:rsid w:val="00397466"/>
    <w:rsid w:val="003A6148"/>
    <w:rsid w:val="003C33F6"/>
    <w:rsid w:val="003C3D2E"/>
    <w:rsid w:val="003C43A5"/>
    <w:rsid w:val="003C47FA"/>
    <w:rsid w:val="003E1C5C"/>
    <w:rsid w:val="003E5020"/>
    <w:rsid w:val="003E6650"/>
    <w:rsid w:val="003F5B46"/>
    <w:rsid w:val="00401363"/>
    <w:rsid w:val="00402E47"/>
    <w:rsid w:val="00406F72"/>
    <w:rsid w:val="00410A64"/>
    <w:rsid w:val="00425015"/>
    <w:rsid w:val="00430994"/>
    <w:rsid w:val="00441B6D"/>
    <w:rsid w:val="004556EF"/>
    <w:rsid w:val="00462B07"/>
    <w:rsid w:val="00465BD2"/>
    <w:rsid w:val="004715C8"/>
    <w:rsid w:val="00481C31"/>
    <w:rsid w:val="00482FC1"/>
    <w:rsid w:val="00483027"/>
    <w:rsid w:val="004871AA"/>
    <w:rsid w:val="004918D7"/>
    <w:rsid w:val="004926E1"/>
    <w:rsid w:val="004A01DB"/>
    <w:rsid w:val="004A2FEA"/>
    <w:rsid w:val="004C41AE"/>
    <w:rsid w:val="004D2DD7"/>
    <w:rsid w:val="004D75C5"/>
    <w:rsid w:val="004E2186"/>
    <w:rsid w:val="004E2D96"/>
    <w:rsid w:val="004E66FB"/>
    <w:rsid w:val="004F470A"/>
    <w:rsid w:val="004F4C59"/>
    <w:rsid w:val="00500C8F"/>
    <w:rsid w:val="00501909"/>
    <w:rsid w:val="00501A67"/>
    <w:rsid w:val="00507BBB"/>
    <w:rsid w:val="005128DF"/>
    <w:rsid w:val="00513753"/>
    <w:rsid w:val="0051592A"/>
    <w:rsid w:val="005206FE"/>
    <w:rsid w:val="005257ED"/>
    <w:rsid w:val="005306F8"/>
    <w:rsid w:val="0054023D"/>
    <w:rsid w:val="005426BF"/>
    <w:rsid w:val="0056213C"/>
    <w:rsid w:val="00571004"/>
    <w:rsid w:val="00580C24"/>
    <w:rsid w:val="00582B86"/>
    <w:rsid w:val="005870DD"/>
    <w:rsid w:val="005968EF"/>
    <w:rsid w:val="00596C1E"/>
    <w:rsid w:val="005A2E26"/>
    <w:rsid w:val="005B7BCA"/>
    <w:rsid w:val="005C0DAE"/>
    <w:rsid w:val="005C188E"/>
    <w:rsid w:val="005C6E63"/>
    <w:rsid w:val="005D2349"/>
    <w:rsid w:val="005D650E"/>
    <w:rsid w:val="005E1B60"/>
    <w:rsid w:val="005E5507"/>
    <w:rsid w:val="005E607B"/>
    <w:rsid w:val="005F0A8D"/>
    <w:rsid w:val="00601229"/>
    <w:rsid w:val="00603B67"/>
    <w:rsid w:val="006162A2"/>
    <w:rsid w:val="006240DA"/>
    <w:rsid w:val="0063256E"/>
    <w:rsid w:val="00633F04"/>
    <w:rsid w:val="00634727"/>
    <w:rsid w:val="00635219"/>
    <w:rsid w:val="00635EC0"/>
    <w:rsid w:val="0063713E"/>
    <w:rsid w:val="00640B58"/>
    <w:rsid w:val="00643990"/>
    <w:rsid w:val="00651B02"/>
    <w:rsid w:val="00651B19"/>
    <w:rsid w:val="00660A29"/>
    <w:rsid w:val="00695519"/>
    <w:rsid w:val="006A4134"/>
    <w:rsid w:val="006A5DDA"/>
    <w:rsid w:val="006A6701"/>
    <w:rsid w:val="006B21F4"/>
    <w:rsid w:val="006B3753"/>
    <w:rsid w:val="006B7AD6"/>
    <w:rsid w:val="006C50FD"/>
    <w:rsid w:val="006C7A94"/>
    <w:rsid w:val="006D1DD4"/>
    <w:rsid w:val="006D4014"/>
    <w:rsid w:val="006D44C1"/>
    <w:rsid w:val="006E185E"/>
    <w:rsid w:val="006E5651"/>
    <w:rsid w:val="006E5B85"/>
    <w:rsid w:val="006F026A"/>
    <w:rsid w:val="0070265B"/>
    <w:rsid w:val="00704813"/>
    <w:rsid w:val="0072290D"/>
    <w:rsid w:val="00723D6D"/>
    <w:rsid w:val="00724537"/>
    <w:rsid w:val="00731724"/>
    <w:rsid w:val="0073474B"/>
    <w:rsid w:val="00735511"/>
    <w:rsid w:val="00737208"/>
    <w:rsid w:val="00744DE6"/>
    <w:rsid w:val="007515C0"/>
    <w:rsid w:val="00762452"/>
    <w:rsid w:val="00762684"/>
    <w:rsid w:val="007639E0"/>
    <w:rsid w:val="00775507"/>
    <w:rsid w:val="00783473"/>
    <w:rsid w:val="007836C9"/>
    <w:rsid w:val="0078594B"/>
    <w:rsid w:val="00795E02"/>
    <w:rsid w:val="007979D0"/>
    <w:rsid w:val="007A4E18"/>
    <w:rsid w:val="007A7B8C"/>
    <w:rsid w:val="007C45EC"/>
    <w:rsid w:val="007C6D9E"/>
    <w:rsid w:val="007D00C5"/>
    <w:rsid w:val="007D1C43"/>
    <w:rsid w:val="007D6C53"/>
    <w:rsid w:val="007E1564"/>
    <w:rsid w:val="007E1E87"/>
    <w:rsid w:val="007E4AEB"/>
    <w:rsid w:val="007E5B3F"/>
    <w:rsid w:val="007E5BE4"/>
    <w:rsid w:val="007F2257"/>
    <w:rsid w:val="007F2700"/>
    <w:rsid w:val="007F3FE6"/>
    <w:rsid w:val="00800114"/>
    <w:rsid w:val="0080091D"/>
    <w:rsid w:val="00804108"/>
    <w:rsid w:val="00804FC4"/>
    <w:rsid w:val="00816367"/>
    <w:rsid w:val="00816A0B"/>
    <w:rsid w:val="00817CA2"/>
    <w:rsid w:val="00821740"/>
    <w:rsid w:val="00824B22"/>
    <w:rsid w:val="00830C53"/>
    <w:rsid w:val="00837FAA"/>
    <w:rsid w:val="00841F77"/>
    <w:rsid w:val="0085276D"/>
    <w:rsid w:val="00856903"/>
    <w:rsid w:val="00863390"/>
    <w:rsid w:val="0086385C"/>
    <w:rsid w:val="00871916"/>
    <w:rsid w:val="00881037"/>
    <w:rsid w:val="008956DD"/>
    <w:rsid w:val="008A510E"/>
    <w:rsid w:val="008A522A"/>
    <w:rsid w:val="008A5D8F"/>
    <w:rsid w:val="008B4464"/>
    <w:rsid w:val="008B750B"/>
    <w:rsid w:val="008C3162"/>
    <w:rsid w:val="008D1F14"/>
    <w:rsid w:val="008E3924"/>
    <w:rsid w:val="008F13F7"/>
    <w:rsid w:val="008F5B4D"/>
    <w:rsid w:val="008F7883"/>
    <w:rsid w:val="00907425"/>
    <w:rsid w:val="00910D44"/>
    <w:rsid w:val="00923C34"/>
    <w:rsid w:val="00924152"/>
    <w:rsid w:val="0092513D"/>
    <w:rsid w:val="00927A9F"/>
    <w:rsid w:val="009335CC"/>
    <w:rsid w:val="00935A55"/>
    <w:rsid w:val="0094065E"/>
    <w:rsid w:val="00941CEB"/>
    <w:rsid w:val="0094720F"/>
    <w:rsid w:val="00953B28"/>
    <w:rsid w:val="00954322"/>
    <w:rsid w:val="00957CAA"/>
    <w:rsid w:val="0096778A"/>
    <w:rsid w:val="00977656"/>
    <w:rsid w:val="009846A7"/>
    <w:rsid w:val="0098794D"/>
    <w:rsid w:val="009946BF"/>
    <w:rsid w:val="0099497B"/>
    <w:rsid w:val="009A1C5E"/>
    <w:rsid w:val="009A43BA"/>
    <w:rsid w:val="009B0D05"/>
    <w:rsid w:val="009B2E7A"/>
    <w:rsid w:val="009B4CA6"/>
    <w:rsid w:val="009B79F8"/>
    <w:rsid w:val="009C66D5"/>
    <w:rsid w:val="009D13FD"/>
    <w:rsid w:val="009D266A"/>
    <w:rsid w:val="009E129C"/>
    <w:rsid w:val="009E40FA"/>
    <w:rsid w:val="009F7E07"/>
    <w:rsid w:val="00A01522"/>
    <w:rsid w:val="00A10A11"/>
    <w:rsid w:val="00A13C6A"/>
    <w:rsid w:val="00A15790"/>
    <w:rsid w:val="00A17B09"/>
    <w:rsid w:val="00A27D56"/>
    <w:rsid w:val="00A457C6"/>
    <w:rsid w:val="00A46AD0"/>
    <w:rsid w:val="00A47063"/>
    <w:rsid w:val="00A473A8"/>
    <w:rsid w:val="00A513F0"/>
    <w:rsid w:val="00A55188"/>
    <w:rsid w:val="00A61AC8"/>
    <w:rsid w:val="00A6366F"/>
    <w:rsid w:val="00A65D4C"/>
    <w:rsid w:val="00A70512"/>
    <w:rsid w:val="00A93302"/>
    <w:rsid w:val="00AA1F60"/>
    <w:rsid w:val="00AA40D7"/>
    <w:rsid w:val="00AA71E3"/>
    <w:rsid w:val="00AB5F7D"/>
    <w:rsid w:val="00AC0C50"/>
    <w:rsid w:val="00AC6FE2"/>
    <w:rsid w:val="00AF3925"/>
    <w:rsid w:val="00B1296B"/>
    <w:rsid w:val="00B2292F"/>
    <w:rsid w:val="00B22C41"/>
    <w:rsid w:val="00B43169"/>
    <w:rsid w:val="00B501A8"/>
    <w:rsid w:val="00B55AE4"/>
    <w:rsid w:val="00B67C75"/>
    <w:rsid w:val="00B70B46"/>
    <w:rsid w:val="00B739B0"/>
    <w:rsid w:val="00B814A3"/>
    <w:rsid w:val="00B96F38"/>
    <w:rsid w:val="00BC716B"/>
    <w:rsid w:val="00BD0E74"/>
    <w:rsid w:val="00BD5F8C"/>
    <w:rsid w:val="00BE29DD"/>
    <w:rsid w:val="00BE5234"/>
    <w:rsid w:val="00C066AF"/>
    <w:rsid w:val="00C10E06"/>
    <w:rsid w:val="00C145B8"/>
    <w:rsid w:val="00C2438F"/>
    <w:rsid w:val="00C31AF0"/>
    <w:rsid w:val="00C32A7E"/>
    <w:rsid w:val="00C34834"/>
    <w:rsid w:val="00C34F28"/>
    <w:rsid w:val="00C368DF"/>
    <w:rsid w:val="00C442C5"/>
    <w:rsid w:val="00C57B5C"/>
    <w:rsid w:val="00C57C7C"/>
    <w:rsid w:val="00C61049"/>
    <w:rsid w:val="00C63FFE"/>
    <w:rsid w:val="00C73220"/>
    <w:rsid w:val="00C8260E"/>
    <w:rsid w:val="00C91EB6"/>
    <w:rsid w:val="00CA10B0"/>
    <w:rsid w:val="00CA2F8E"/>
    <w:rsid w:val="00CA3EE2"/>
    <w:rsid w:val="00CA7635"/>
    <w:rsid w:val="00CA7FD5"/>
    <w:rsid w:val="00CB2059"/>
    <w:rsid w:val="00CB3287"/>
    <w:rsid w:val="00CB33E2"/>
    <w:rsid w:val="00CB4E68"/>
    <w:rsid w:val="00CC2733"/>
    <w:rsid w:val="00CC3BE1"/>
    <w:rsid w:val="00CD0050"/>
    <w:rsid w:val="00CE61DF"/>
    <w:rsid w:val="00CE6240"/>
    <w:rsid w:val="00CE7481"/>
    <w:rsid w:val="00CF0A8F"/>
    <w:rsid w:val="00D048CE"/>
    <w:rsid w:val="00D10998"/>
    <w:rsid w:val="00D15CBD"/>
    <w:rsid w:val="00D221CB"/>
    <w:rsid w:val="00D23391"/>
    <w:rsid w:val="00D31805"/>
    <w:rsid w:val="00D36E5C"/>
    <w:rsid w:val="00D552B9"/>
    <w:rsid w:val="00D62DB3"/>
    <w:rsid w:val="00D735B2"/>
    <w:rsid w:val="00D74021"/>
    <w:rsid w:val="00D74B92"/>
    <w:rsid w:val="00D76D01"/>
    <w:rsid w:val="00D922A9"/>
    <w:rsid w:val="00D9394A"/>
    <w:rsid w:val="00DA09EE"/>
    <w:rsid w:val="00DB0CBB"/>
    <w:rsid w:val="00DB67CC"/>
    <w:rsid w:val="00DC3783"/>
    <w:rsid w:val="00DE1070"/>
    <w:rsid w:val="00E00219"/>
    <w:rsid w:val="00E0316B"/>
    <w:rsid w:val="00E25E10"/>
    <w:rsid w:val="00E50B41"/>
    <w:rsid w:val="00E5219B"/>
    <w:rsid w:val="00E52D07"/>
    <w:rsid w:val="00E5518B"/>
    <w:rsid w:val="00E56E17"/>
    <w:rsid w:val="00E609FE"/>
    <w:rsid w:val="00E630BE"/>
    <w:rsid w:val="00E75920"/>
    <w:rsid w:val="00E77DDB"/>
    <w:rsid w:val="00E80D96"/>
    <w:rsid w:val="00E871FA"/>
    <w:rsid w:val="00E936A4"/>
    <w:rsid w:val="00E954BB"/>
    <w:rsid w:val="00E956FD"/>
    <w:rsid w:val="00EA15AE"/>
    <w:rsid w:val="00EA45E7"/>
    <w:rsid w:val="00EB78E3"/>
    <w:rsid w:val="00EB7BE3"/>
    <w:rsid w:val="00EC1C4B"/>
    <w:rsid w:val="00EC4AFA"/>
    <w:rsid w:val="00EC735A"/>
    <w:rsid w:val="00ED5F38"/>
    <w:rsid w:val="00EE6664"/>
    <w:rsid w:val="00EF27FE"/>
    <w:rsid w:val="00EF6601"/>
    <w:rsid w:val="00F07FB6"/>
    <w:rsid w:val="00F10917"/>
    <w:rsid w:val="00F139F1"/>
    <w:rsid w:val="00F149D0"/>
    <w:rsid w:val="00F16B53"/>
    <w:rsid w:val="00F25ECD"/>
    <w:rsid w:val="00F318BE"/>
    <w:rsid w:val="00F32C86"/>
    <w:rsid w:val="00F33297"/>
    <w:rsid w:val="00F343FB"/>
    <w:rsid w:val="00F34E37"/>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6A33"/>
    <w:rsid w:val="00FB7F50"/>
    <w:rsid w:val="00FC2A85"/>
    <w:rsid w:val="00FC40AF"/>
    <w:rsid w:val="00FC73B9"/>
    <w:rsid w:val="00FD0A16"/>
    <w:rsid w:val="00FD51FB"/>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C6E63"/>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C6E63"/>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30601140">
      <w:bodyDiv w:val="1"/>
      <w:marLeft w:val="0"/>
      <w:marRight w:val="0"/>
      <w:marTop w:val="0"/>
      <w:marBottom w:val="0"/>
      <w:divBdr>
        <w:top w:val="none" w:sz="0" w:space="0" w:color="auto"/>
        <w:left w:val="none" w:sz="0" w:space="0" w:color="auto"/>
        <w:bottom w:val="none" w:sz="0" w:space="0" w:color="auto"/>
        <w:right w:val="none" w:sz="0" w:space="0" w:color="auto"/>
      </w:divBdr>
    </w:div>
    <w:div w:id="644701081">
      <w:bodyDiv w:val="1"/>
      <w:marLeft w:val="0"/>
      <w:marRight w:val="0"/>
      <w:marTop w:val="0"/>
      <w:marBottom w:val="0"/>
      <w:divBdr>
        <w:top w:val="none" w:sz="0" w:space="0" w:color="auto"/>
        <w:left w:val="none" w:sz="0" w:space="0" w:color="auto"/>
        <w:bottom w:val="none" w:sz="0" w:space="0" w:color="auto"/>
        <w:right w:val="none" w:sz="0" w:space="0" w:color="auto"/>
      </w:divBdr>
    </w:div>
    <w:div w:id="756049851">
      <w:bodyDiv w:val="1"/>
      <w:marLeft w:val="0"/>
      <w:marRight w:val="0"/>
      <w:marTop w:val="0"/>
      <w:marBottom w:val="0"/>
      <w:divBdr>
        <w:top w:val="none" w:sz="0" w:space="0" w:color="auto"/>
        <w:left w:val="none" w:sz="0" w:space="0" w:color="auto"/>
        <w:bottom w:val="none" w:sz="0" w:space="0" w:color="auto"/>
        <w:right w:val="none" w:sz="0" w:space="0" w:color="auto"/>
      </w:divBdr>
    </w:div>
    <w:div w:id="761027847">
      <w:bodyDiv w:val="1"/>
      <w:marLeft w:val="0"/>
      <w:marRight w:val="0"/>
      <w:marTop w:val="0"/>
      <w:marBottom w:val="0"/>
      <w:divBdr>
        <w:top w:val="none" w:sz="0" w:space="0" w:color="auto"/>
        <w:left w:val="none" w:sz="0" w:space="0" w:color="auto"/>
        <w:bottom w:val="none" w:sz="0" w:space="0" w:color="auto"/>
        <w:right w:val="none" w:sz="0" w:space="0" w:color="auto"/>
      </w:divBdr>
    </w:div>
    <w:div w:id="82794447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4028738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27651411">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2001259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083/9/157/" TargetMode="External"/><Relationship Id="rId3" Type="http://schemas.openxmlformats.org/officeDocument/2006/relationships/hyperlink" Target="http://lib.efatwa.ir/43184/7/232/%22%D8%A7%D8%B9%D8%B7%DB%8C_%D8%A7%D8%AD%D8%AF%D8%A7%22" TargetMode="External"/><Relationship Id="rId7" Type="http://schemas.openxmlformats.org/officeDocument/2006/relationships/hyperlink" Target="http://lib.eshia.ir/10083/9/156/" TargetMode="External"/><Relationship Id="rId2" Type="http://schemas.openxmlformats.org/officeDocument/2006/relationships/hyperlink" Target="http://lib.efatwa.ir/42231/1/287/%DB%8C%D8%AD%D9%88%D8%B2" TargetMode="External"/><Relationship Id="rId1" Type="http://schemas.openxmlformats.org/officeDocument/2006/relationships/hyperlink" Target="http://lib.eshia.ir/11005/7/33/" TargetMode="External"/><Relationship Id="rId6" Type="http://schemas.openxmlformats.org/officeDocument/2006/relationships/hyperlink" Target="http://lib.eshia.ir/11005/7/32/" TargetMode="External"/><Relationship Id="rId11" Type="http://schemas.openxmlformats.org/officeDocument/2006/relationships/hyperlink" Target="http://lib.eshia.ir/14015//353/" TargetMode="External"/><Relationship Id="rId5" Type="http://schemas.openxmlformats.org/officeDocument/2006/relationships/hyperlink" Target="http://lib.eshia.ir/11005/7/31/" TargetMode="External"/><Relationship Id="rId10" Type="http://schemas.openxmlformats.org/officeDocument/2006/relationships/hyperlink" Target="http://lib.eshia.ir/11002/4/110/" TargetMode="External"/><Relationship Id="rId4" Type="http://schemas.openxmlformats.org/officeDocument/2006/relationships/hyperlink" Target="http://lib.eshia.ir/10083/9/157/" TargetMode="External"/><Relationship Id="rId9" Type="http://schemas.openxmlformats.org/officeDocument/2006/relationships/hyperlink" Target="http://lib.eshia.ir/10083/9/1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44D8F-DF9F-420E-8B57-C2AC76E82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TotalTime>
  <Pages>8</Pages>
  <Words>2214</Words>
  <Characters>12626</Characters>
  <Application>Microsoft Office Word</Application>
  <DocSecurity>0</DocSecurity>
  <Lines>105</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14811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محمدمهدی عمادی</cp:lastModifiedBy>
  <cp:revision>6</cp:revision>
  <cp:lastPrinted>2022-12-19T04:26:00Z</cp:lastPrinted>
  <dcterms:created xsi:type="dcterms:W3CDTF">2022-12-19T04:25:00Z</dcterms:created>
  <dcterms:modified xsi:type="dcterms:W3CDTF">2023-06-12T09:56:00Z</dcterms:modified>
  <cp:contentStatus>ویرایش 2.5</cp:contentStatus>
  <cp:version>2.7</cp:version>
</cp:coreProperties>
</file>