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D67F62">
      <w:pPr>
        <w:jc w:val="both"/>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FA12C4" w:rsidRDefault="00FA12C4" w:rsidP="00FA12C4">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سید محمد جواد شبیری</w:t>
      </w:r>
    </w:p>
    <w:p w:rsidR="00FA12C4" w:rsidRDefault="00FA12C4" w:rsidP="00FA12C4">
      <w:pPr>
        <w:autoSpaceDE w:val="0"/>
        <w:autoSpaceDN w:val="0"/>
        <w:adjustRightInd w:val="0"/>
        <w:spacing w:line="240" w:lineRule="auto"/>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1401080</w:t>
      </w:r>
      <w:r>
        <w:rPr>
          <w:rFonts w:ascii="IRANSans" w:hAnsi="IRANSans" w:cs="IRANSans" w:hint="cs"/>
          <w:b/>
          <w:bCs/>
          <w:color w:val="C00000"/>
          <w:sz w:val="28"/>
          <w:shd w:val="clear" w:color="auto" w:fill="FFFFFF"/>
          <w:rtl/>
          <w:lang w:val="x-none"/>
        </w:rPr>
        <w:t>4</w:t>
      </w:r>
      <w:bookmarkStart w:id="0" w:name="_GoBack"/>
      <w:bookmarkEnd w:id="0"/>
    </w:p>
    <w:p w:rsidR="00C91EB6" w:rsidRPr="00C91EB6" w:rsidRDefault="00894F8E" w:rsidP="00FA12C4">
      <w:pPr>
        <w:pStyle w:val="TOC2"/>
        <w:tabs>
          <w:tab w:val="right" w:leader="dot" w:pos="10194"/>
        </w:tabs>
      </w:pPr>
      <w:r>
        <w:rPr>
          <w:noProof/>
          <w:webHidden/>
          <w:szCs w:val="24"/>
          <w:rtl/>
        </w:rPr>
        <w:fldChar w:fldCharType="begin"/>
      </w:r>
      <w:r>
        <w:rPr>
          <w:noProof/>
          <w:webHidden/>
          <w:szCs w:val="24"/>
          <w:rtl/>
        </w:rPr>
        <w:instrText xml:space="preserve"> </w:instrText>
      </w:r>
      <w:r>
        <w:rPr>
          <w:noProof/>
          <w:webHidden/>
          <w:szCs w:val="24"/>
        </w:rPr>
        <w:instrText>TOC</w:instrText>
      </w:r>
      <w:r>
        <w:rPr>
          <w:noProof/>
          <w:webHidden/>
          <w:szCs w:val="24"/>
          <w:rtl/>
        </w:rPr>
        <w:instrText xml:space="preserve"> \</w:instrText>
      </w:r>
      <w:r>
        <w:rPr>
          <w:noProof/>
          <w:webHidden/>
          <w:szCs w:val="24"/>
        </w:rPr>
        <w:instrText>o "1-9" \h \z \u</w:instrText>
      </w:r>
      <w:r>
        <w:rPr>
          <w:noProof/>
          <w:webHidden/>
          <w:szCs w:val="24"/>
          <w:rtl/>
        </w:rPr>
        <w:instrText xml:space="preserve"> </w:instrText>
      </w:r>
      <w:r>
        <w:rPr>
          <w:noProof/>
          <w:webHidden/>
          <w:szCs w:val="24"/>
          <w:rtl/>
        </w:rPr>
        <w:fldChar w:fldCharType="separate"/>
      </w:r>
      <w:r>
        <w:rPr>
          <w:noProof/>
          <w:webHidden/>
          <w:szCs w:val="24"/>
          <w:rtl/>
        </w:rPr>
        <w:fldChar w:fldCharType="end"/>
      </w:r>
    </w:p>
    <w:p w:rsidR="00F343FB" w:rsidRPr="00A6366F" w:rsidRDefault="00F842AD" w:rsidP="00D67F62">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AA5C0B">
        <w:rPr>
          <w:rtl/>
        </w:rPr>
        <w:t xml:space="preserve">تمکن از تصرف </w:t>
      </w:r>
      <w:r w:rsidR="00025B70">
        <w:rPr>
          <w:rFonts w:hint="cs"/>
          <w:rtl/>
        </w:rPr>
        <w:t xml:space="preserve"> </w:t>
      </w:r>
      <w:r w:rsidR="00386C11" w:rsidRPr="00A6366F">
        <w:rPr>
          <w:rFonts w:hint="cs"/>
          <w:rtl/>
        </w:rPr>
        <w:t>/</w:t>
      </w:r>
      <w:bookmarkStart w:id="2" w:name="BokSabj_d"/>
      <w:bookmarkEnd w:id="2"/>
      <w:r w:rsidR="00AA5C0B">
        <w:rPr>
          <w:rtl/>
        </w:rPr>
        <w:t>شرا</w:t>
      </w:r>
      <w:r w:rsidR="00AA5C0B">
        <w:rPr>
          <w:rFonts w:hint="cs"/>
          <w:rtl/>
        </w:rPr>
        <w:t>ی</w:t>
      </w:r>
      <w:r w:rsidR="00AA5C0B">
        <w:rPr>
          <w:rFonts w:hint="eastAsia"/>
          <w:rtl/>
        </w:rPr>
        <w:t>ط</w:t>
      </w:r>
      <w:r w:rsidR="00AA5C0B">
        <w:rPr>
          <w:rtl/>
        </w:rPr>
        <w:t xml:space="preserve"> مال زکو</w:t>
      </w:r>
      <w:r w:rsidR="00AA5C0B">
        <w:rPr>
          <w:rFonts w:hint="cs"/>
          <w:rtl/>
        </w:rPr>
        <w:t>ی</w:t>
      </w:r>
      <w:r w:rsidR="00386C11" w:rsidRPr="00A6366F">
        <w:rPr>
          <w:rFonts w:hint="cs"/>
          <w:rtl/>
        </w:rPr>
        <w:t xml:space="preserve"> /</w:t>
      </w:r>
      <w:bookmarkStart w:id="3" w:name="Bokkolli"/>
      <w:bookmarkEnd w:id="3"/>
      <w:r w:rsidR="00AA5C0B">
        <w:rPr>
          <w:rtl/>
        </w:rPr>
        <w:t>زکات</w:t>
      </w:r>
      <w:r w:rsidR="001B6799" w:rsidRPr="00A6366F">
        <w:rPr>
          <w:rFonts w:hint="cs"/>
          <w:rtl/>
        </w:rPr>
        <w:t xml:space="preserve"> </w:t>
      </w:r>
    </w:p>
    <w:p w:rsidR="008F5B4D" w:rsidRPr="009C66D5" w:rsidRDefault="008F5B4D" w:rsidP="00D67F62">
      <w:pPr>
        <w:jc w:val="both"/>
        <w:rPr>
          <w:rStyle w:val="Emphasis"/>
          <w:b/>
          <w:bCs w:val="0"/>
          <w:rtl/>
        </w:rPr>
      </w:pPr>
      <w:r w:rsidRPr="009C66D5">
        <w:rPr>
          <w:rStyle w:val="Emphasis"/>
          <w:rFonts w:hint="cs"/>
          <w:b/>
          <w:bCs w:val="0"/>
          <w:rtl/>
        </w:rPr>
        <w:t>خلاصه مباحث گذشته:</w:t>
      </w:r>
    </w:p>
    <w:p w:rsidR="003A6148" w:rsidRDefault="008F5B4D" w:rsidP="00D67F62">
      <w:pPr>
        <w:pBdr>
          <w:bottom w:val="double" w:sz="6" w:space="1" w:color="auto"/>
        </w:pBdr>
        <w:jc w:val="both"/>
        <w:rPr>
          <w:rtl/>
        </w:rPr>
      </w:pPr>
      <w:r>
        <w:rPr>
          <w:rFonts w:hint="cs"/>
          <w:rtl/>
        </w:rPr>
        <w:t>متن خلاصه ...</w:t>
      </w:r>
    </w:p>
    <w:p w:rsidR="00247D2F" w:rsidRPr="003A6148" w:rsidRDefault="00247D2F" w:rsidP="00D67F62">
      <w:pPr>
        <w:pBdr>
          <w:bottom w:val="double" w:sz="6" w:space="1" w:color="auto"/>
        </w:pBdr>
        <w:jc w:val="both"/>
      </w:pPr>
    </w:p>
    <w:p w:rsidR="008F5B4D" w:rsidRDefault="008F5B4D" w:rsidP="00D67F62">
      <w:pPr>
        <w:jc w:val="both"/>
      </w:pPr>
    </w:p>
    <w:p w:rsidR="009510F7" w:rsidRDefault="009510F7" w:rsidP="008C6094">
      <w:pPr>
        <w:pStyle w:val="Heading2"/>
        <w:rPr>
          <w:rtl/>
        </w:rPr>
      </w:pPr>
      <w:bookmarkStart w:id="4" w:name="_Toc122886486"/>
      <w:r>
        <w:rPr>
          <w:rFonts w:hint="cs"/>
          <w:rtl/>
        </w:rPr>
        <w:t>معنای غلوّ</w:t>
      </w:r>
      <w:bookmarkEnd w:id="4"/>
      <w:r>
        <w:rPr>
          <w:rFonts w:hint="cs"/>
          <w:rtl/>
        </w:rPr>
        <w:t xml:space="preserve"> </w:t>
      </w:r>
    </w:p>
    <w:p w:rsidR="001A1EA5" w:rsidRDefault="00BB29F1" w:rsidP="00D67F62">
      <w:pPr>
        <w:jc w:val="both"/>
        <w:rPr>
          <w:rtl/>
        </w:rPr>
      </w:pPr>
      <w:r>
        <w:rPr>
          <w:rFonts w:hint="cs"/>
          <w:rtl/>
        </w:rPr>
        <w:t>در جلسه گذشته عبارتی از مرحوم صاحب قاموس الرجال نقل شد. ایشان شواهدی را اقامه کردند که غلوّ نزد قدما به معنای ترک عبادات ات</w:t>
      </w:r>
      <w:r w:rsidR="001B503E">
        <w:rPr>
          <w:rFonts w:hint="cs"/>
          <w:rtl/>
        </w:rPr>
        <w:t>ّ</w:t>
      </w:r>
      <w:r>
        <w:rPr>
          <w:rFonts w:hint="cs"/>
          <w:rtl/>
        </w:rPr>
        <w:t>کا</w:t>
      </w:r>
      <w:r w:rsidR="001B503E">
        <w:rPr>
          <w:rFonts w:hint="cs"/>
          <w:rtl/>
        </w:rPr>
        <w:t>لا علی الولایه است. یکی از این شواهد داستان محمد بن اورمه است که متهم به غلو شده و اشعری ها</w:t>
      </w:r>
      <w:r>
        <w:rPr>
          <w:rFonts w:hint="cs"/>
          <w:rtl/>
        </w:rPr>
        <w:t xml:space="preserve"> عده ای را برای قتل او می فرستند و می بینند که دائم مشغول به نماز است و از اعتقاد به غالی بودن او دست می کشند. ایشان شواهد دیگری را نیز بیان کرده است.</w:t>
      </w:r>
    </w:p>
    <w:p w:rsidR="009510F7" w:rsidRDefault="009510F7" w:rsidP="008C6094">
      <w:pPr>
        <w:pStyle w:val="Heading3"/>
        <w:rPr>
          <w:rtl/>
        </w:rPr>
      </w:pPr>
      <w:bookmarkStart w:id="5" w:name="_Toc122886487"/>
      <w:r>
        <w:rPr>
          <w:rFonts w:hint="cs"/>
          <w:rtl/>
        </w:rPr>
        <w:lastRenderedPageBreak/>
        <w:t>مراتب مطرح شده از غلوّ در روایات</w:t>
      </w:r>
      <w:bookmarkEnd w:id="5"/>
      <w:r>
        <w:rPr>
          <w:rFonts w:hint="cs"/>
          <w:rtl/>
        </w:rPr>
        <w:t xml:space="preserve"> </w:t>
      </w:r>
    </w:p>
    <w:p w:rsidR="00BB29F1" w:rsidRDefault="00BB29F1" w:rsidP="00D67F62">
      <w:pPr>
        <w:jc w:val="both"/>
        <w:rPr>
          <w:rtl/>
        </w:rPr>
      </w:pPr>
      <w:r>
        <w:rPr>
          <w:rFonts w:hint="cs"/>
          <w:rtl/>
        </w:rPr>
        <w:t>بیان شد: غلوّ جریان مشخّصی نیست و نحله های مختلف داشته است. برخی از نحله ها در زمان ائمه علیهم السلام بودند و ائمه علیهم السلام آنها را در روایات مختلف نهی کردند که به برخی از این نحله ها که در روایات از آنها نهی شده، اشاره می شود:</w:t>
      </w:r>
    </w:p>
    <w:p w:rsidR="00BB29F1" w:rsidRDefault="00BB29F1" w:rsidP="00D67F62">
      <w:pPr>
        <w:pStyle w:val="ListParagraph"/>
        <w:numPr>
          <w:ilvl w:val="0"/>
          <w:numId w:val="16"/>
        </w:numPr>
        <w:jc w:val="both"/>
        <w:rPr>
          <w:rtl/>
        </w:rPr>
      </w:pPr>
      <w:r>
        <w:rPr>
          <w:rFonts w:hint="cs"/>
          <w:rtl/>
        </w:rPr>
        <w:t>برخی از غل</w:t>
      </w:r>
      <w:r w:rsidR="001B503E">
        <w:rPr>
          <w:rFonts w:hint="cs"/>
          <w:rtl/>
        </w:rPr>
        <w:t>ات قائل به خدا بودن ائمه</w:t>
      </w:r>
      <w:r w:rsidR="009510F7">
        <w:rPr>
          <w:rFonts w:hint="cs"/>
          <w:rtl/>
        </w:rPr>
        <w:t xml:space="preserve"> علیهم السلام </w:t>
      </w:r>
      <w:r w:rsidR="001B503E">
        <w:rPr>
          <w:rFonts w:hint="cs"/>
          <w:rtl/>
        </w:rPr>
        <w:t>هستند</w:t>
      </w:r>
      <w:r>
        <w:rPr>
          <w:rFonts w:hint="cs"/>
          <w:rtl/>
        </w:rPr>
        <w:t xml:space="preserve">. </w:t>
      </w:r>
    </w:p>
    <w:p w:rsidR="00BB29F1" w:rsidRDefault="00BB29F1" w:rsidP="00D67F62">
      <w:pPr>
        <w:pStyle w:val="ListParagraph"/>
        <w:numPr>
          <w:ilvl w:val="0"/>
          <w:numId w:val="16"/>
        </w:numPr>
        <w:jc w:val="both"/>
        <w:rPr>
          <w:rtl/>
        </w:rPr>
      </w:pPr>
      <w:r>
        <w:rPr>
          <w:rFonts w:hint="cs"/>
          <w:rtl/>
        </w:rPr>
        <w:t>برخی از غلا</w:t>
      </w:r>
      <w:r w:rsidR="001B503E">
        <w:rPr>
          <w:rFonts w:hint="cs"/>
          <w:rtl/>
        </w:rPr>
        <w:t>ت قائل به نبی بودن ائمه</w:t>
      </w:r>
      <w:r w:rsidR="009510F7">
        <w:rPr>
          <w:rFonts w:hint="cs"/>
          <w:rtl/>
        </w:rPr>
        <w:t xml:space="preserve"> علیهم السلام </w:t>
      </w:r>
      <w:r w:rsidR="001B503E">
        <w:rPr>
          <w:rFonts w:hint="cs"/>
          <w:rtl/>
        </w:rPr>
        <w:t xml:space="preserve">هستند. </w:t>
      </w:r>
      <w:r>
        <w:rPr>
          <w:rFonts w:hint="cs"/>
          <w:rtl/>
        </w:rPr>
        <w:t xml:space="preserve"> </w:t>
      </w:r>
    </w:p>
    <w:p w:rsidR="00A74994" w:rsidRDefault="00BB29F1" w:rsidP="00D67F62">
      <w:pPr>
        <w:pStyle w:val="ListParagraph"/>
        <w:numPr>
          <w:ilvl w:val="0"/>
          <w:numId w:val="16"/>
        </w:numPr>
        <w:jc w:val="both"/>
      </w:pPr>
      <w:r>
        <w:rPr>
          <w:rFonts w:hint="cs"/>
          <w:rtl/>
        </w:rPr>
        <w:t>برخی از غلات علم غیب را به ائمه</w:t>
      </w:r>
      <w:r w:rsidR="009510F7">
        <w:rPr>
          <w:rFonts w:hint="cs"/>
          <w:rtl/>
        </w:rPr>
        <w:t xml:space="preserve"> علیهم السلام </w:t>
      </w:r>
      <w:r>
        <w:rPr>
          <w:rFonts w:hint="cs"/>
          <w:rtl/>
        </w:rPr>
        <w:t xml:space="preserve">نسبت دادند. </w:t>
      </w:r>
    </w:p>
    <w:p w:rsidR="00D67F62" w:rsidRDefault="00BB29F1" w:rsidP="00D67F62">
      <w:pPr>
        <w:pStyle w:val="ListParagraph"/>
        <w:numPr>
          <w:ilvl w:val="0"/>
          <w:numId w:val="16"/>
        </w:numPr>
        <w:jc w:val="both"/>
      </w:pPr>
      <w:r>
        <w:rPr>
          <w:rFonts w:hint="cs"/>
          <w:rtl/>
        </w:rPr>
        <w:t xml:space="preserve">برخی از غلات قائل بودند که نماز خواندن لازم نیست. </w:t>
      </w:r>
    </w:p>
    <w:p w:rsidR="00D67F62" w:rsidRDefault="00BB29F1" w:rsidP="00D67F62">
      <w:pPr>
        <w:jc w:val="both"/>
        <w:rPr>
          <w:rtl/>
        </w:rPr>
      </w:pPr>
      <w:r>
        <w:rPr>
          <w:rFonts w:hint="cs"/>
          <w:rtl/>
        </w:rPr>
        <w:t>احتمالا</w:t>
      </w:r>
      <w:r w:rsidR="001B503E">
        <w:rPr>
          <w:rFonts w:hint="cs"/>
          <w:rtl/>
        </w:rPr>
        <w:t xml:space="preserve">ً روایاتی که صلاه </w:t>
      </w:r>
      <w:r w:rsidR="00A74994">
        <w:rPr>
          <w:rFonts w:hint="cs"/>
          <w:rtl/>
        </w:rPr>
        <w:t xml:space="preserve">و صیام </w:t>
      </w:r>
      <w:r w:rsidR="001B503E">
        <w:rPr>
          <w:rFonts w:hint="cs"/>
          <w:rtl/>
        </w:rPr>
        <w:t xml:space="preserve">را رجل معنا کردند و شرور را رجل معنا </w:t>
      </w:r>
      <w:r>
        <w:rPr>
          <w:rFonts w:hint="cs"/>
          <w:rtl/>
        </w:rPr>
        <w:t xml:space="preserve">کردند به این معنا نیست که باطن صلاه و مانند آن ولایت و تبرّی است. بلکه </w:t>
      </w:r>
      <w:r w:rsidR="001B503E">
        <w:rPr>
          <w:rFonts w:hint="cs"/>
          <w:rtl/>
        </w:rPr>
        <w:t>این غلات قائل بودند که ظاهر و باطن صلات، این</w:t>
      </w:r>
      <w:r w:rsidR="00A74994">
        <w:rPr>
          <w:rFonts w:hint="cs"/>
          <w:rtl/>
        </w:rPr>
        <w:t xml:space="preserve"> است و حضرات</w:t>
      </w:r>
      <w:r w:rsidR="009510F7">
        <w:rPr>
          <w:rFonts w:cs="B Lotus" w:hint="cs"/>
          <w:rtl/>
        </w:rPr>
        <w:t xml:space="preserve"> علیهم السلام </w:t>
      </w:r>
      <w:r w:rsidR="00A74994">
        <w:rPr>
          <w:rFonts w:hint="cs"/>
          <w:rtl/>
        </w:rPr>
        <w:t>این کلام را ردّ کردند.</w:t>
      </w:r>
      <w:r w:rsidR="00A74994" w:rsidRPr="00A74994">
        <w:rPr>
          <w:rStyle w:val="FootnoteReference"/>
          <w:color w:val="000000"/>
          <w:rtl/>
        </w:rPr>
        <w:footnoteReference w:id="1"/>
      </w:r>
      <w:r w:rsidR="00A74994">
        <w:rPr>
          <w:rFonts w:hint="cs"/>
          <w:rtl/>
        </w:rPr>
        <w:t xml:space="preserve"> در روایت</w:t>
      </w:r>
      <w:r w:rsidR="00D67F62">
        <w:rPr>
          <w:rFonts w:hint="cs"/>
          <w:rtl/>
        </w:rPr>
        <w:t>ی</w:t>
      </w:r>
      <w:r w:rsidR="00A74994">
        <w:rPr>
          <w:rFonts w:hint="cs"/>
          <w:rtl/>
        </w:rPr>
        <w:t xml:space="preserve"> در مقام ردّ کلام غلات آمده است: «ان الله لا یخاطب خلقه بما لا یعرفون» در برخی از روایات تصریح شده که معنای نماز رجل است و مراد از آ</w:t>
      </w:r>
      <w:r w:rsidR="00D67F62">
        <w:rPr>
          <w:rFonts w:hint="cs"/>
          <w:rtl/>
        </w:rPr>
        <w:t>ن عدد و رکعات نیست. در این روایات</w:t>
      </w:r>
      <w:r w:rsidR="00A74994">
        <w:rPr>
          <w:rFonts w:hint="cs"/>
          <w:rtl/>
        </w:rPr>
        <w:t xml:space="preserve">، کلام غلات تخطئه شده است. </w:t>
      </w:r>
    </w:p>
    <w:p w:rsidR="00C7173A" w:rsidRPr="00C7173A" w:rsidRDefault="00C7173A" w:rsidP="00D67F62">
      <w:pPr>
        <w:jc w:val="both"/>
        <w:rPr>
          <w:rtl/>
        </w:rPr>
      </w:pPr>
      <w:r>
        <w:rPr>
          <w:rFonts w:hint="cs"/>
          <w:rtl/>
        </w:rPr>
        <w:t>در عبارتی ذیل رقم 588 رجال کشی از یحیی بن عبید الحمید حمانی نقل کرده است که عده ای از اصحاب امام صادق</w:t>
      </w:r>
      <w:r w:rsidR="009510F7">
        <w:rPr>
          <w:rFonts w:cs="B Lotus" w:hint="cs"/>
          <w:rtl/>
        </w:rPr>
        <w:t xml:space="preserve"> علیه السلام </w:t>
      </w:r>
      <w:r>
        <w:rPr>
          <w:rFonts w:hint="cs"/>
          <w:rtl/>
        </w:rPr>
        <w:t xml:space="preserve">مطالب غالیانه به خدا نسبت می دهند از جمله: </w:t>
      </w:r>
    </w:p>
    <w:p w:rsidR="00C7173A" w:rsidRDefault="00C7173A" w:rsidP="00D67F62">
      <w:pPr>
        <w:jc w:val="both"/>
        <w:rPr>
          <w:color w:val="000080"/>
          <w:rtl/>
        </w:rPr>
      </w:pPr>
      <w:r w:rsidRPr="00C7173A">
        <w:rPr>
          <w:color w:val="000080"/>
          <w:rtl/>
        </w:rPr>
        <w:t>ذكروا أن جعفرا حدثهم أن معرفة الإمام تكفي من الصوم و الصلاة</w:t>
      </w:r>
      <w:r>
        <w:rPr>
          <w:rStyle w:val="FootnoteReference"/>
          <w:color w:val="000080"/>
          <w:rtl/>
        </w:rPr>
        <w:footnoteReference w:id="2"/>
      </w:r>
    </w:p>
    <w:p w:rsidR="00C7173A" w:rsidRDefault="00C7173A" w:rsidP="00D67F62">
      <w:pPr>
        <w:pStyle w:val="ListParagraph"/>
        <w:numPr>
          <w:ilvl w:val="0"/>
          <w:numId w:val="18"/>
        </w:numPr>
        <w:jc w:val="both"/>
        <w:rPr>
          <w:rtl/>
        </w:rPr>
      </w:pPr>
      <w:r>
        <w:rPr>
          <w:rFonts w:hint="cs"/>
          <w:rtl/>
        </w:rPr>
        <w:t>برخی از غالیان قائل به دو خدا بودند، خدای در آسمان و خدای در زمین و اهل بیت</w:t>
      </w:r>
      <w:r w:rsidR="009510F7">
        <w:rPr>
          <w:rFonts w:cs="B Badr" w:hint="cs"/>
          <w:rtl/>
        </w:rPr>
        <w:t xml:space="preserve"> علیهم السلام </w:t>
      </w:r>
      <w:r>
        <w:rPr>
          <w:rFonts w:hint="cs"/>
          <w:rtl/>
        </w:rPr>
        <w:t xml:space="preserve">خدای روی زمین هستند. ذیل همین رقم در رجال کشی وارد شده است: </w:t>
      </w:r>
    </w:p>
    <w:p w:rsidR="00C7173A" w:rsidRDefault="00C7173A" w:rsidP="00D67F62">
      <w:pPr>
        <w:jc w:val="both"/>
        <w:rPr>
          <w:color w:val="000080"/>
          <w:rtl/>
        </w:rPr>
      </w:pPr>
      <w:r w:rsidRPr="00C7173A">
        <w:rPr>
          <w:color w:val="000080"/>
          <w:rtl/>
        </w:rPr>
        <w:t>و أن إله السماء و إله الأرض الإمام فجعلوا لله شريكا</w:t>
      </w:r>
    </w:p>
    <w:p w:rsidR="00C7173A" w:rsidRDefault="00C7173A" w:rsidP="00D67F62">
      <w:pPr>
        <w:jc w:val="both"/>
        <w:rPr>
          <w:rtl/>
        </w:rPr>
      </w:pPr>
      <w:r>
        <w:rPr>
          <w:rFonts w:hint="cs"/>
          <w:rtl/>
        </w:rPr>
        <w:t xml:space="preserve">ظاهرا عبارت محرّف است و باید اینگونه باشد: </w:t>
      </w:r>
    </w:p>
    <w:p w:rsidR="00C7173A" w:rsidRDefault="00C7173A" w:rsidP="00D67F62">
      <w:pPr>
        <w:jc w:val="both"/>
        <w:rPr>
          <w:color w:val="000080"/>
          <w:rtl/>
        </w:rPr>
      </w:pPr>
      <w:r w:rsidRPr="00C7173A">
        <w:rPr>
          <w:color w:val="000080"/>
          <w:rtl/>
        </w:rPr>
        <w:t xml:space="preserve">و أن </w:t>
      </w:r>
      <w:r>
        <w:rPr>
          <w:rFonts w:hint="cs"/>
          <w:color w:val="000080"/>
          <w:rtl/>
        </w:rPr>
        <w:t xml:space="preserve">الله </w:t>
      </w:r>
      <w:r w:rsidRPr="00C7173A">
        <w:rPr>
          <w:color w:val="000080"/>
          <w:rtl/>
        </w:rPr>
        <w:t>إله السماء و إ</w:t>
      </w:r>
      <w:r>
        <w:rPr>
          <w:color w:val="000080"/>
          <w:rtl/>
        </w:rPr>
        <w:t>له الأرض الإمام فجعلوا لله شريك</w:t>
      </w:r>
      <w:r>
        <w:rPr>
          <w:rFonts w:hint="cs"/>
          <w:color w:val="000080"/>
          <w:rtl/>
        </w:rPr>
        <w:t>ا</w:t>
      </w:r>
    </w:p>
    <w:p w:rsidR="00C7173A" w:rsidRDefault="00C7173A" w:rsidP="00D67F62">
      <w:pPr>
        <w:jc w:val="both"/>
        <w:rPr>
          <w:rtl/>
        </w:rPr>
      </w:pPr>
      <w:r>
        <w:rPr>
          <w:rFonts w:hint="cs"/>
          <w:rtl/>
        </w:rPr>
        <w:lastRenderedPageBreak/>
        <w:t xml:space="preserve">این غلات، آیه قرآن </w:t>
      </w:r>
      <w:r w:rsidR="00917DC8" w:rsidRPr="00917DC8">
        <w:rPr>
          <w:rFonts w:hint="cs"/>
          <w:color w:val="008000"/>
          <w:rtl/>
        </w:rPr>
        <w:t>«</w:t>
      </w:r>
      <w:r w:rsidR="00917DC8" w:rsidRPr="00917DC8">
        <w:rPr>
          <w:color w:val="008000"/>
          <w:rtl/>
        </w:rPr>
        <w:t xml:space="preserve"> وَ هُوَ الَّذِي فِي السَّمَاءِ إِل</w:t>
      </w:r>
      <w:r w:rsidR="00917DC8" w:rsidRPr="00917DC8">
        <w:rPr>
          <w:rFonts w:hint="cs"/>
          <w:color w:val="008000"/>
          <w:rtl/>
        </w:rPr>
        <w:t>هٌ</w:t>
      </w:r>
      <w:r w:rsidR="00917DC8" w:rsidRPr="00917DC8">
        <w:rPr>
          <w:color w:val="008000"/>
          <w:rtl/>
        </w:rPr>
        <w:t xml:space="preserve"> </w:t>
      </w:r>
      <w:r w:rsidR="00917DC8" w:rsidRPr="00917DC8">
        <w:rPr>
          <w:rFonts w:hint="cs"/>
          <w:color w:val="008000"/>
          <w:rtl/>
        </w:rPr>
        <w:t>وَ</w:t>
      </w:r>
      <w:r w:rsidR="00917DC8" w:rsidRPr="00917DC8">
        <w:rPr>
          <w:color w:val="008000"/>
          <w:rtl/>
        </w:rPr>
        <w:t xml:space="preserve"> </w:t>
      </w:r>
      <w:r w:rsidR="00917DC8" w:rsidRPr="00917DC8">
        <w:rPr>
          <w:rFonts w:hint="cs"/>
          <w:color w:val="008000"/>
          <w:rtl/>
        </w:rPr>
        <w:t>فِي</w:t>
      </w:r>
      <w:r w:rsidR="00917DC8" w:rsidRPr="00917DC8">
        <w:rPr>
          <w:color w:val="008000"/>
          <w:rtl/>
        </w:rPr>
        <w:t xml:space="preserve"> </w:t>
      </w:r>
      <w:r w:rsidR="00917DC8" w:rsidRPr="00917DC8">
        <w:rPr>
          <w:rFonts w:hint="cs"/>
          <w:color w:val="008000"/>
          <w:rtl/>
        </w:rPr>
        <w:t>الْأَرْضِ</w:t>
      </w:r>
      <w:r w:rsidR="00917DC8" w:rsidRPr="00917DC8">
        <w:rPr>
          <w:color w:val="008000"/>
          <w:rtl/>
        </w:rPr>
        <w:t xml:space="preserve"> </w:t>
      </w:r>
      <w:r w:rsidR="00917DC8" w:rsidRPr="00917DC8">
        <w:rPr>
          <w:rFonts w:hint="cs"/>
          <w:color w:val="008000"/>
          <w:rtl/>
        </w:rPr>
        <w:t>إِلهٌ»</w:t>
      </w:r>
      <w:r w:rsidR="00917DC8">
        <w:rPr>
          <w:rStyle w:val="FootnoteReference"/>
          <w:color w:val="008000"/>
          <w:rtl/>
        </w:rPr>
        <w:footnoteReference w:id="3"/>
      </w:r>
      <w:r w:rsidR="00917DC8">
        <w:rPr>
          <w:rFonts w:hint="cs"/>
          <w:color w:val="008000"/>
          <w:rtl/>
        </w:rPr>
        <w:t xml:space="preserve"> </w:t>
      </w:r>
      <w:r w:rsidR="00917DC8">
        <w:rPr>
          <w:rFonts w:hint="cs"/>
          <w:rtl/>
        </w:rPr>
        <w:t>را به این معنا گرفتند که اله آسمان و اله زمین متفاوت است که الله خدای آسمان است و امام</w:t>
      </w:r>
      <w:r w:rsidR="009510F7">
        <w:rPr>
          <w:rFonts w:hint="cs"/>
          <w:rtl/>
        </w:rPr>
        <w:t xml:space="preserve"> علیه السلام </w:t>
      </w:r>
      <w:r w:rsidR="00917DC8">
        <w:rPr>
          <w:rFonts w:hint="cs"/>
          <w:rtl/>
        </w:rPr>
        <w:t xml:space="preserve">امام روی زمین است. </w:t>
      </w:r>
    </w:p>
    <w:p w:rsidR="00C7173A" w:rsidRDefault="00917DC8" w:rsidP="00D67F62">
      <w:pPr>
        <w:jc w:val="both"/>
        <w:rPr>
          <w:rtl/>
        </w:rPr>
      </w:pPr>
      <w:r>
        <w:rPr>
          <w:rFonts w:hint="cs"/>
          <w:rtl/>
        </w:rPr>
        <w:t>شکی در این نیست که غالی به این معنای حادّ که ائمه</w:t>
      </w:r>
      <w:r w:rsidR="009510F7">
        <w:rPr>
          <w:rFonts w:hint="cs"/>
          <w:rtl/>
        </w:rPr>
        <w:t xml:space="preserve"> علیهم السلام </w:t>
      </w:r>
      <w:r>
        <w:rPr>
          <w:rFonts w:hint="cs"/>
          <w:rtl/>
        </w:rPr>
        <w:t xml:space="preserve">آنها را مذمّت کردند و بسیار شدید با آنها مقابله کردند، وجود داشتند و بسیاری از روایات مرتبط با مذمّت غلات، درباره این گروه است. </w:t>
      </w:r>
    </w:p>
    <w:p w:rsidR="00D67F62" w:rsidRDefault="00D67F62" w:rsidP="008C6094">
      <w:pPr>
        <w:pStyle w:val="Heading3"/>
        <w:rPr>
          <w:rtl/>
        </w:rPr>
      </w:pPr>
      <w:bookmarkStart w:id="6" w:name="_Toc122886488"/>
      <w:r>
        <w:rPr>
          <w:rFonts w:hint="cs"/>
          <w:rtl/>
        </w:rPr>
        <w:t>معنای غلوّ در کلام رجالی ها</w:t>
      </w:r>
      <w:bookmarkEnd w:id="6"/>
      <w:r>
        <w:rPr>
          <w:rFonts w:hint="cs"/>
          <w:rtl/>
        </w:rPr>
        <w:t xml:space="preserve"> </w:t>
      </w:r>
    </w:p>
    <w:p w:rsidR="00FD4705" w:rsidRPr="00FD4705" w:rsidRDefault="008C6094" w:rsidP="008C6094">
      <w:pPr>
        <w:pStyle w:val="Heading4"/>
        <w:rPr>
          <w:rtl/>
        </w:rPr>
      </w:pPr>
      <w:bookmarkStart w:id="7" w:name="_Toc122886489"/>
      <w:r>
        <w:rPr>
          <w:rFonts w:hint="cs"/>
          <w:rtl/>
        </w:rPr>
        <w:t xml:space="preserve">معنای اول: </w:t>
      </w:r>
      <w:r w:rsidR="00FD4705">
        <w:rPr>
          <w:rFonts w:hint="cs"/>
          <w:rtl/>
        </w:rPr>
        <w:t>اراده ترک عبادت از غلوّ در ترجمه محمد بن اورمه</w:t>
      </w:r>
      <w:bookmarkEnd w:id="7"/>
      <w:r w:rsidR="00FD4705">
        <w:rPr>
          <w:rFonts w:hint="cs"/>
          <w:rtl/>
        </w:rPr>
        <w:t xml:space="preserve"> </w:t>
      </w:r>
    </w:p>
    <w:p w:rsidR="00C7173A" w:rsidRDefault="00917DC8" w:rsidP="00FD4705">
      <w:pPr>
        <w:jc w:val="both"/>
        <w:rPr>
          <w:rtl/>
        </w:rPr>
      </w:pPr>
      <w:r>
        <w:rPr>
          <w:rFonts w:hint="cs"/>
          <w:rtl/>
        </w:rPr>
        <w:t xml:space="preserve">تا اینجا درباره معنای غلوّ در روایات صحبت شد. اما هیچ شاهدی وجود ندارد که تعابیر موجود در کتب رجال نیز به این معنا باشد. </w:t>
      </w:r>
      <w:r w:rsidR="00D67F62">
        <w:rPr>
          <w:rFonts w:hint="cs"/>
          <w:rtl/>
        </w:rPr>
        <w:t xml:space="preserve">هر چند </w:t>
      </w:r>
      <w:r>
        <w:rPr>
          <w:rFonts w:hint="cs"/>
          <w:rtl/>
        </w:rPr>
        <w:t>درباره محمد بن اورمه اعت</w:t>
      </w:r>
      <w:r w:rsidR="00D67F62">
        <w:rPr>
          <w:rFonts w:hint="cs"/>
          <w:rtl/>
        </w:rPr>
        <w:t xml:space="preserve">قاد تند غالیانه مطرح بوده اما </w:t>
      </w:r>
      <w:r>
        <w:rPr>
          <w:rFonts w:hint="cs"/>
          <w:rtl/>
        </w:rPr>
        <w:t>از آن استفاده نمی شود که غلوّ منحصر در این جریان باشد. به عبارتی دیگر، اتهامی که درباره محمد بن اورمه گفته شده این است که</w:t>
      </w:r>
      <w:r w:rsidR="00D67F62">
        <w:rPr>
          <w:rFonts w:hint="cs"/>
          <w:rtl/>
        </w:rPr>
        <w:t xml:space="preserve"> قائل به مراحل بالای غلوّ است</w:t>
      </w:r>
      <w:r>
        <w:rPr>
          <w:rFonts w:hint="cs"/>
          <w:rtl/>
        </w:rPr>
        <w:t xml:space="preserve"> و پس از مشاهده انجام دادن عبادات توسط او، روشن شده که مراحل بالای غلوّ را ندارد و اتّه</w:t>
      </w:r>
      <w:r w:rsidR="00D67F62">
        <w:rPr>
          <w:rFonts w:hint="cs"/>
          <w:rtl/>
        </w:rPr>
        <w:t xml:space="preserve">ام دیگری به او متوجه نبوده است. اما این دلیل نمی شود که غلوّ در تمام عبارات رجالی ها ناظر به این مرحله حادّ باشد. </w:t>
      </w:r>
    </w:p>
    <w:p w:rsidR="00FD4705" w:rsidRDefault="00FD4705" w:rsidP="008C6094">
      <w:pPr>
        <w:pStyle w:val="Heading4"/>
        <w:rPr>
          <w:rtl/>
        </w:rPr>
      </w:pPr>
      <w:bookmarkStart w:id="8" w:name="_Toc122886490"/>
      <w:r>
        <w:rPr>
          <w:rFonts w:hint="cs"/>
          <w:rtl/>
        </w:rPr>
        <w:t>اراده معانی دیگر از غلوّ در ترجمه راویان دیگر</w:t>
      </w:r>
      <w:bookmarkEnd w:id="8"/>
      <w:r>
        <w:rPr>
          <w:rFonts w:hint="cs"/>
          <w:rtl/>
        </w:rPr>
        <w:t xml:space="preserve"> </w:t>
      </w:r>
    </w:p>
    <w:p w:rsidR="00C7173A" w:rsidRDefault="00DD268C" w:rsidP="00D67F62">
      <w:pPr>
        <w:jc w:val="both"/>
        <w:rPr>
          <w:rtl/>
        </w:rPr>
      </w:pPr>
      <w:r>
        <w:rPr>
          <w:rFonts w:hint="cs"/>
          <w:rtl/>
        </w:rPr>
        <w:t>در ترجمه حسین بن عبید الله در رجال کشی رقم 990 آمده است:</w:t>
      </w:r>
    </w:p>
    <w:p w:rsidR="00C7173A" w:rsidRDefault="00DD268C" w:rsidP="00D67F62">
      <w:pPr>
        <w:jc w:val="both"/>
        <w:rPr>
          <w:color w:val="000080"/>
          <w:rtl/>
        </w:rPr>
      </w:pPr>
      <w:r w:rsidRPr="00DD268C">
        <w:rPr>
          <w:color w:val="000080"/>
          <w:rtl/>
        </w:rPr>
        <w:t>إن الحسين بن عبيد الله القمي أخرج من قم في وقت كانوا يخرجون منها من اتهموه بالغلو</w:t>
      </w:r>
      <w:r>
        <w:rPr>
          <w:rStyle w:val="FootnoteReference"/>
          <w:color w:val="000080"/>
          <w:rtl/>
        </w:rPr>
        <w:footnoteReference w:id="4"/>
      </w:r>
    </w:p>
    <w:p w:rsidR="007D1E45" w:rsidRDefault="00486E03" w:rsidP="00D67F62">
      <w:pPr>
        <w:jc w:val="both"/>
        <w:rPr>
          <w:rtl/>
        </w:rPr>
      </w:pPr>
      <w:r>
        <w:rPr>
          <w:rFonts w:hint="cs"/>
          <w:rtl/>
        </w:rPr>
        <w:t xml:space="preserve">گروه هایی از قم به اتهام غلو خارج شدند مانند سهل بن زیاد، محمد بن علی ابو سمینه، احمد بن محمد بن خالد برقی و حسین بن عبید الله قمی. این افراد در کتب رجال تصریح شده است و بنده در یکی از مقالات به قرائنی افراد دیگری را اضافه کردم. </w:t>
      </w:r>
      <w:r w:rsidR="00C54948">
        <w:rPr>
          <w:rFonts w:hint="cs"/>
          <w:rtl/>
        </w:rPr>
        <w:t xml:space="preserve">هیچ شاهدی وجود ندارد که این راویان که به اتهام غلو از قم اخراج شدند، نماز نمی خواندند و حتی روایات امثال سهل بن زیاد درباره نماز و روزه و عبادات، سرتاسر فقه ما را پر کرده است. آیا می توان این افراد را از کسانی دانست که اهل نماز نبودند؟ </w:t>
      </w:r>
    </w:p>
    <w:p w:rsidR="007D1E45" w:rsidRDefault="007D1E45" w:rsidP="00D67F62">
      <w:pPr>
        <w:jc w:val="both"/>
        <w:rPr>
          <w:rtl/>
        </w:rPr>
      </w:pPr>
      <w:r>
        <w:rPr>
          <w:rFonts w:hint="cs"/>
          <w:rtl/>
        </w:rPr>
        <w:lastRenderedPageBreak/>
        <w:t>اتهامی که درباره محمد بن اورمه بوده باعث شده که او را کافر و مرتدّ و واجب القتل بدانند. اما در عده ای دیگر، غلوّ در مرتبه ای بوده که مستحق قتل نبودند اما به نظر اهل قم، باید از شهر تبعید می شدند. پس غلوّ جرم مشخّصی نبوده که مجازات مشخص داشته باشد. در برخی از مراحل، مرتد تلقی شده و محکوم به قتل می شدند و در برخی از مراحل، محکوم به تبعید می شدند. در برخی از روایات وارد شده که افرادی مانند فارس بن حاتم که در مراحل بالای غلوّ هستند، مهدور الدم هستند.</w:t>
      </w:r>
      <w:r>
        <w:rPr>
          <w:rStyle w:val="FootnoteReference"/>
          <w:rtl/>
        </w:rPr>
        <w:footnoteReference w:id="5"/>
      </w:r>
      <w:r>
        <w:rPr>
          <w:rFonts w:hint="cs"/>
          <w:rtl/>
        </w:rPr>
        <w:t xml:space="preserve"> </w:t>
      </w:r>
    </w:p>
    <w:p w:rsidR="007D1E45" w:rsidRDefault="007D1E45" w:rsidP="00D67F62">
      <w:pPr>
        <w:jc w:val="both"/>
        <w:rPr>
          <w:rtl/>
        </w:rPr>
      </w:pPr>
      <w:r>
        <w:rPr>
          <w:rFonts w:hint="cs"/>
          <w:rtl/>
        </w:rPr>
        <w:t xml:space="preserve">اما هیچ دلیلی ندارد که تمام افراد متهم به غلو در این مراحل بالا باشند. </w:t>
      </w:r>
    </w:p>
    <w:p w:rsidR="007D1E45" w:rsidRDefault="007D1E45" w:rsidP="00D67F62">
      <w:pPr>
        <w:jc w:val="both"/>
        <w:rPr>
          <w:rtl/>
        </w:rPr>
      </w:pPr>
      <w:r>
        <w:rPr>
          <w:rFonts w:hint="cs"/>
          <w:rtl/>
        </w:rPr>
        <w:t xml:space="preserve">اگر در کلمات رجالی ها ثابت شود که غالی به معنای مراحل بالای غلو است، این مطلب از او پذیرفته می شود و صحیح است. اما در مواردی که </w:t>
      </w:r>
      <w:r w:rsidR="00594BB7">
        <w:rPr>
          <w:rFonts w:hint="cs"/>
          <w:rtl/>
        </w:rPr>
        <w:t xml:space="preserve">ثابت نشود غلوّ به معنای مراحل بالای غلو است، نمی توان آن را به معنای این مراحل تفسیر کرد زیرا روشن نیست غلوّ در کلام رجالی ها در تمام موارد به معنای مراحل بالا به کار رفته باشد. </w:t>
      </w:r>
    </w:p>
    <w:p w:rsidR="00997B67" w:rsidRDefault="00997B67" w:rsidP="00D67F62">
      <w:pPr>
        <w:jc w:val="both"/>
        <w:rPr>
          <w:rtl/>
        </w:rPr>
      </w:pPr>
      <w:r>
        <w:rPr>
          <w:rFonts w:hint="cs"/>
          <w:rtl/>
        </w:rPr>
        <w:t>معروف ترین غالی که در رجال کشی روایات مربوط به غلو ذیل ترجمه او وارد شده، ابو الخطاب است. روشن نیست ابو الخطاب ترک صلاه می کرده است. هر چند از برخی نقل ها استفاد</w:t>
      </w:r>
      <w:r w:rsidR="008C6094">
        <w:rPr>
          <w:rFonts w:hint="cs"/>
          <w:rtl/>
        </w:rPr>
        <w:t>ه می شود که ترک صلاه می کرده</w:t>
      </w:r>
      <w:r>
        <w:rPr>
          <w:rFonts w:hint="cs"/>
          <w:rtl/>
        </w:rPr>
        <w:t xml:space="preserve"> مانند رجال کشی؛ رقم 554 ولی در برخی از عبارات دیگر این است که ابو الخطاب به اصحابش دستور داده که نماز مغرب را دیر بخوانند. خطابیه نماز مغرب را با فاصله و تقریبا در زمان اقامه نماز عشاء توسط اهل سنت، می خواندند. </w:t>
      </w:r>
      <w:r w:rsidR="008C6094">
        <w:rPr>
          <w:rFonts w:hint="cs"/>
          <w:rtl/>
        </w:rPr>
        <w:t xml:space="preserve">این روایات با تعابیری مانند </w:t>
      </w:r>
      <w:r>
        <w:rPr>
          <w:rFonts w:hint="cs"/>
          <w:rtl/>
        </w:rPr>
        <w:t>«حتی تستبین النجوم»</w:t>
      </w:r>
      <w:r>
        <w:rPr>
          <w:rStyle w:val="FootnoteReference"/>
          <w:rtl/>
        </w:rPr>
        <w:footnoteReference w:id="6"/>
      </w:r>
      <w:r>
        <w:rPr>
          <w:rFonts w:hint="cs"/>
          <w:rtl/>
        </w:rPr>
        <w:t xml:space="preserve"> «حتی تشتبک النجوم»</w:t>
      </w:r>
      <w:r>
        <w:rPr>
          <w:rStyle w:val="FootnoteReference"/>
          <w:rtl/>
        </w:rPr>
        <w:footnoteReference w:id="7"/>
      </w:r>
      <w:r>
        <w:rPr>
          <w:rFonts w:hint="cs"/>
          <w:rtl/>
        </w:rPr>
        <w:t xml:space="preserve"> «حتی تظهر کوکب یقال له الخندقانی»</w:t>
      </w:r>
      <w:r w:rsidR="004321A8">
        <w:rPr>
          <w:rStyle w:val="FootnoteReference"/>
          <w:rtl/>
        </w:rPr>
        <w:footnoteReference w:id="8"/>
      </w:r>
      <w:r w:rsidR="004321A8">
        <w:rPr>
          <w:rFonts w:hint="cs"/>
          <w:rtl/>
        </w:rPr>
        <w:t xml:space="preserve"> </w:t>
      </w:r>
      <w:r w:rsidR="008C6094">
        <w:rPr>
          <w:rFonts w:hint="cs"/>
          <w:rtl/>
        </w:rPr>
        <w:t xml:space="preserve">وارد شده است که </w:t>
      </w:r>
      <w:r w:rsidR="004321A8">
        <w:rPr>
          <w:rFonts w:hint="cs"/>
          <w:rtl/>
        </w:rPr>
        <w:t>وجه اشتر</w:t>
      </w:r>
      <w:r w:rsidR="00974C82">
        <w:rPr>
          <w:rFonts w:hint="cs"/>
          <w:rtl/>
        </w:rPr>
        <w:t xml:space="preserve">اک این تعابیر «اؤخّر المغرب» است. در روایت وارد شده است: </w:t>
      </w:r>
    </w:p>
    <w:p w:rsidR="00974C82" w:rsidRDefault="00974C82" w:rsidP="00D67F62">
      <w:pPr>
        <w:jc w:val="both"/>
        <w:rPr>
          <w:color w:val="008000"/>
          <w:rtl/>
        </w:rPr>
      </w:pPr>
      <w:r w:rsidRPr="00974C82">
        <w:rPr>
          <w:color w:val="008000"/>
          <w:rtl/>
        </w:rPr>
        <w:t>عَنْ أَبِي أُسَامَةَ الشَّحَّامِ قَالَ: قَالَ رَجُلٌ لِأَبِي عَبْدِ اللَّهِ</w:t>
      </w:r>
      <w:r w:rsidR="009510F7">
        <w:rPr>
          <w:color w:val="008000"/>
          <w:rtl/>
        </w:rPr>
        <w:t xml:space="preserve"> علیه السلام </w:t>
      </w:r>
      <w:r w:rsidRPr="00974C82">
        <w:rPr>
          <w:color w:val="008000"/>
          <w:rtl/>
        </w:rPr>
        <w:t>أُؤَخِّرُ الْمَغْرِبَ حَتَّى تَسْتَبِينَ النُّجُومُ قَالَ فَقَالَ خَطَّابِيَّةٌ</w:t>
      </w:r>
      <w:r>
        <w:rPr>
          <w:rFonts w:hint="cs"/>
          <w:color w:val="008000"/>
          <w:rtl/>
        </w:rPr>
        <w:t>...</w:t>
      </w:r>
      <w:r>
        <w:rPr>
          <w:rStyle w:val="FootnoteReference"/>
          <w:color w:val="008000"/>
          <w:rtl/>
        </w:rPr>
        <w:footnoteReference w:id="9"/>
      </w:r>
    </w:p>
    <w:p w:rsidR="00974C82" w:rsidRDefault="001B3139" w:rsidP="00D67F62">
      <w:pPr>
        <w:jc w:val="both"/>
        <w:rPr>
          <w:rtl/>
        </w:rPr>
      </w:pPr>
      <w:r>
        <w:rPr>
          <w:rFonts w:hint="cs"/>
          <w:rtl/>
        </w:rPr>
        <w:t>پس خطابیه نماز را در وقتی که امام</w:t>
      </w:r>
      <w:r w:rsidR="009510F7">
        <w:rPr>
          <w:rFonts w:hint="cs"/>
          <w:rtl/>
        </w:rPr>
        <w:t xml:space="preserve"> علیه السلام </w:t>
      </w:r>
      <w:r>
        <w:rPr>
          <w:rFonts w:hint="cs"/>
          <w:rtl/>
        </w:rPr>
        <w:t xml:space="preserve">دستور داده نمی خواندند و با تأخیر می خواندند نه آنکه نماز نمی خواندند. در نتیجه حتی نسبت به ابو الخطاب و خطابیه که به طور مسلّم از غلات هستند نمی توان این گونه تعبیر کرد که اعتمادا علی معرفه الامام نماز را ترک می کردند. </w:t>
      </w:r>
      <w:r w:rsidR="00CB3BF4">
        <w:rPr>
          <w:rFonts w:hint="cs"/>
          <w:rtl/>
        </w:rPr>
        <w:t xml:space="preserve">هر چند در برخی از نقلیات این مطلب وارد شده اما روشن نیست که غلوّ درباره آنها به معنای ترک صلاه باشد. </w:t>
      </w:r>
    </w:p>
    <w:p w:rsidR="00CB3BF4" w:rsidRDefault="00CB3BF4" w:rsidP="00D67F62">
      <w:pPr>
        <w:jc w:val="both"/>
        <w:rPr>
          <w:rtl/>
        </w:rPr>
      </w:pPr>
      <w:r>
        <w:rPr>
          <w:rFonts w:hint="cs"/>
          <w:rtl/>
        </w:rPr>
        <w:t xml:space="preserve">به هر حال، </w:t>
      </w:r>
      <w:r w:rsidR="009D68EB">
        <w:rPr>
          <w:rFonts w:hint="cs"/>
          <w:rtl/>
        </w:rPr>
        <w:t xml:space="preserve">به نظر می رسد غلوّ مراتبی دارد و برخی از مراتب آن کفر و زندقه و الحاد است و برخی از مراتب آن در این حدّ نیست. </w:t>
      </w:r>
    </w:p>
    <w:p w:rsidR="008C6094" w:rsidRDefault="008C6094" w:rsidP="00A32E30">
      <w:pPr>
        <w:pStyle w:val="Heading2"/>
        <w:rPr>
          <w:rtl/>
        </w:rPr>
      </w:pPr>
      <w:bookmarkStart w:id="9" w:name="_Toc122886491"/>
      <w:r>
        <w:rPr>
          <w:rFonts w:hint="cs"/>
          <w:rtl/>
        </w:rPr>
        <w:t>متحّد نبودن معنای «تخلیط» با «غلوّ» در کلام رجالی ها</w:t>
      </w:r>
      <w:bookmarkEnd w:id="9"/>
      <w:r>
        <w:rPr>
          <w:rFonts w:hint="cs"/>
          <w:rtl/>
        </w:rPr>
        <w:t xml:space="preserve"> </w:t>
      </w:r>
    </w:p>
    <w:p w:rsidR="004C00C1" w:rsidRDefault="004A376F" w:rsidP="00D67F62">
      <w:pPr>
        <w:jc w:val="both"/>
        <w:rPr>
          <w:rtl/>
        </w:rPr>
      </w:pPr>
      <w:r>
        <w:rPr>
          <w:rFonts w:hint="cs"/>
          <w:rtl/>
        </w:rPr>
        <w:t xml:space="preserve">اگر به فرض، </w:t>
      </w:r>
      <w:r w:rsidR="004C00C1">
        <w:rPr>
          <w:rFonts w:hint="cs"/>
          <w:rtl/>
        </w:rPr>
        <w:t>غلوّ در کلام رجالی ها به معنای مراتب بالای غلوّ باشد، در واژه «تخلیط» و «فساد العقیده» و «فساد المذهب» هیچ وجهی ندارد که برای آنها محدوده مشخّص قرار دهیم.</w:t>
      </w:r>
    </w:p>
    <w:p w:rsidR="00A32E30" w:rsidRDefault="00A32E30" w:rsidP="00A32E30">
      <w:pPr>
        <w:pStyle w:val="Heading2"/>
        <w:rPr>
          <w:rtl/>
        </w:rPr>
      </w:pPr>
      <w:bookmarkStart w:id="10" w:name="_Toc122886492"/>
      <w:r>
        <w:rPr>
          <w:rFonts w:hint="cs"/>
          <w:rtl/>
        </w:rPr>
        <w:t>اجتهادی بودن انتساب راوی به «تخلیط» و «فساد عقیده»</w:t>
      </w:r>
      <w:bookmarkEnd w:id="10"/>
      <w:r>
        <w:rPr>
          <w:rFonts w:hint="cs"/>
          <w:rtl/>
        </w:rPr>
        <w:t xml:space="preserve"> </w:t>
      </w:r>
    </w:p>
    <w:p w:rsidR="00A32E30" w:rsidRDefault="004C00C1" w:rsidP="00D67F62">
      <w:pPr>
        <w:jc w:val="both"/>
        <w:rPr>
          <w:rtl/>
        </w:rPr>
      </w:pPr>
      <w:r>
        <w:rPr>
          <w:rFonts w:hint="cs"/>
          <w:rtl/>
        </w:rPr>
        <w:t>عقیقی سدیر را «مخلّط» دانسته است.</w:t>
      </w:r>
      <w:r w:rsidR="00A32E30">
        <w:rPr>
          <w:rFonts w:hint="cs"/>
          <w:rtl/>
        </w:rPr>
        <w:t xml:space="preserve"> این تعبیر عقیقی مبتلا به سه اشکال است: </w:t>
      </w:r>
    </w:p>
    <w:p w:rsidR="00A32E30" w:rsidRDefault="004C00C1" w:rsidP="00A32E30">
      <w:pPr>
        <w:pStyle w:val="ListParagraph"/>
        <w:numPr>
          <w:ilvl w:val="0"/>
          <w:numId w:val="19"/>
        </w:numPr>
        <w:jc w:val="both"/>
      </w:pPr>
      <w:r>
        <w:rPr>
          <w:rFonts w:hint="cs"/>
          <w:rtl/>
        </w:rPr>
        <w:t xml:space="preserve">پیش از این بیان شد: وثاقت عقیقی ثابت نشده و خودش متهم به «مخلّط» بودن است و بیان شده: «فی حدیث العقیقی مناکیر» </w:t>
      </w:r>
    </w:p>
    <w:p w:rsidR="00A32E30" w:rsidRDefault="004C00C1" w:rsidP="00A32E30">
      <w:pPr>
        <w:pStyle w:val="ListParagraph"/>
        <w:numPr>
          <w:ilvl w:val="0"/>
          <w:numId w:val="19"/>
        </w:numPr>
        <w:jc w:val="both"/>
      </w:pPr>
      <w:r>
        <w:rPr>
          <w:rFonts w:hint="cs"/>
          <w:rtl/>
        </w:rPr>
        <w:t xml:space="preserve">از سویی دیگر، </w:t>
      </w:r>
      <w:r w:rsidR="00EA1B14">
        <w:rPr>
          <w:rFonts w:hint="cs"/>
          <w:rtl/>
        </w:rPr>
        <w:t xml:space="preserve">ثابت نیست عقیقی درباره سدیر صیرفی این مطلب را گفته باشد و مرحوم صاحب قاموس الرجال قائل است که عقیقی این تعبیر را درباره سلمه بن الخطاب البراوستانی گفته است. </w:t>
      </w:r>
    </w:p>
    <w:p w:rsidR="00A32E30" w:rsidRDefault="00EA1B14" w:rsidP="00A32E30">
      <w:pPr>
        <w:pStyle w:val="ListParagraph"/>
        <w:numPr>
          <w:ilvl w:val="0"/>
          <w:numId w:val="19"/>
        </w:numPr>
        <w:jc w:val="both"/>
      </w:pPr>
      <w:r>
        <w:rPr>
          <w:rFonts w:hint="cs"/>
          <w:rtl/>
        </w:rPr>
        <w:t xml:space="preserve">علاوه بر این مطالب، «مخلّط» مطلب کاملا اجتهادی و استنباطی است. اگر مشابه آن را استنباط کنیم و عقیده داشته باشیم که راوی منحرف و کذّاب است، به آن عمل می شود اما به مجرّد قولی رجالی ها نمی توان شخص را ضعیف دانست. </w:t>
      </w:r>
    </w:p>
    <w:p w:rsidR="00A32E30" w:rsidRDefault="00345017" w:rsidP="00A32E30">
      <w:pPr>
        <w:jc w:val="both"/>
        <w:rPr>
          <w:rtl/>
        </w:rPr>
      </w:pPr>
      <w:r>
        <w:rPr>
          <w:rFonts w:hint="cs"/>
          <w:rtl/>
        </w:rPr>
        <w:t>یکی از استثنائات</w:t>
      </w:r>
      <w:r w:rsidR="00403968">
        <w:rPr>
          <w:rFonts w:hint="cs"/>
          <w:rtl/>
        </w:rPr>
        <w:t xml:space="preserve"> ابن ولید</w:t>
      </w:r>
      <w:r>
        <w:rPr>
          <w:rFonts w:hint="cs"/>
          <w:rtl/>
        </w:rPr>
        <w:t xml:space="preserve"> از نوادر محمد بن احمد بن یحیی بن عمران اشعری، عنوان «تخلیط» است و بیان شده: «الا ما کان فیها من تخلیط»</w:t>
      </w:r>
      <w:r w:rsidR="00403968">
        <w:rPr>
          <w:rFonts w:hint="cs"/>
          <w:rtl/>
        </w:rPr>
        <w:t xml:space="preserve"> با مطالب بیان شده روشن می شود این استثناء حجیت ندارد هر چند در نظر ما، مستثنی منه حجّت است. تمام مواردی که منشأ تضعیف «تخلیط» باشد نیز به همین صورت است و حجّیت ندارد. </w:t>
      </w:r>
    </w:p>
    <w:p w:rsidR="006408EE" w:rsidRDefault="00422585" w:rsidP="00A32E30">
      <w:pPr>
        <w:jc w:val="both"/>
        <w:rPr>
          <w:rtl/>
        </w:rPr>
      </w:pPr>
      <w:r>
        <w:rPr>
          <w:rFonts w:hint="cs"/>
          <w:rtl/>
        </w:rPr>
        <w:t>البته ما در دا</w:t>
      </w:r>
      <w:r w:rsidR="00C82CC1">
        <w:rPr>
          <w:rFonts w:hint="cs"/>
          <w:rtl/>
        </w:rPr>
        <w:t xml:space="preserve">یره وسیع تر قائل هستیم که در تمام تضعیفات رجالی ها زمینه وابستگی به مباحث اجتهادی و استنباطی وجود دارد </w:t>
      </w:r>
      <w:r w:rsidR="00DD712C">
        <w:rPr>
          <w:rFonts w:hint="cs"/>
          <w:rtl/>
        </w:rPr>
        <w:t>و ادله حجیت خبر واحد، شامل تضعیفات رجالی ها نمی شود. زیرا علم اجمالی به اجتهادی بودن برخی از تضعیفات داریم و همین علم اجمالی مانع اخذ به شهادات مرتبط با تضعیف است. بیانات دیگری نیز در این باره ارائه شده که وارد بحث از آنها نمی شویم.</w:t>
      </w:r>
      <w:r w:rsidR="00AF6D82">
        <w:rPr>
          <w:rFonts w:hint="cs"/>
          <w:rtl/>
        </w:rPr>
        <w:t xml:space="preserve"> حتی اگر در دایره وسیع قائل به عدم حجیت تضعیفات نشویم، درباره «مخلّط» این مطلب واضح تر است. آیت الله والد درباره ابن غضائری این مطلب را می فرمود که ابن غضائری بر اساس متن شناسی تضعیف می کرده و کتاب موجود به نام ابن غضائری از هر کسی باشد، نشانگر محقّق بودن نویسنده است </w:t>
      </w:r>
      <w:r w:rsidR="00DC68FA">
        <w:rPr>
          <w:rFonts w:hint="cs"/>
          <w:rtl/>
        </w:rPr>
        <w:t xml:space="preserve">که از جهت آگاهی به دقائق رجال از نجاشی نیز قوی تر است اما </w:t>
      </w:r>
      <w:r w:rsidR="006408EE">
        <w:rPr>
          <w:rFonts w:hint="cs"/>
          <w:rtl/>
        </w:rPr>
        <w:t>چون اساس تضعیفات آن بر اساس متن شناسی و استنباطی است، تضعیفات آن اعتبار ندارد هر چند مطالب دیگر</w:t>
      </w:r>
      <w:r w:rsidR="00A32E30">
        <w:rPr>
          <w:rFonts w:hint="cs"/>
          <w:rtl/>
        </w:rPr>
        <w:t xml:space="preserve"> آن</w:t>
      </w:r>
      <w:r w:rsidR="006408EE">
        <w:rPr>
          <w:rFonts w:hint="cs"/>
          <w:rtl/>
        </w:rPr>
        <w:t xml:space="preserve"> درباره کنی و القاب و نسب اشخاص، قابل پذیرش است و حتی در این جهات از نجاشی که اقوی الرجالیین است، قوی تر است. </w:t>
      </w:r>
    </w:p>
    <w:p w:rsidR="009955F8" w:rsidRDefault="006408EE" w:rsidP="00D67F62">
      <w:pPr>
        <w:jc w:val="both"/>
        <w:rPr>
          <w:rtl/>
        </w:rPr>
      </w:pPr>
      <w:r>
        <w:rPr>
          <w:rFonts w:hint="cs"/>
          <w:rtl/>
        </w:rPr>
        <w:t xml:space="preserve">آیت الله والد این مطلب را درباره تضعیفات ابن غضائری بیان کردند اما به نظر ما این مطلب تعمیم دارد و شامل تمام کتب رجالی می شود. </w:t>
      </w:r>
      <w:r w:rsidR="009955F8">
        <w:rPr>
          <w:rFonts w:hint="cs"/>
          <w:rtl/>
        </w:rPr>
        <w:t>حتی اگر در دایره گسترده قائل به عدم حجیت قول رجالی ها نشویم در دایره خاصی مانند بحث تخلیط، باید قائل به عدم اعتبار قولی رجالی ها بشویم.</w:t>
      </w:r>
      <w:r w:rsidR="00C65B11">
        <w:rPr>
          <w:rStyle w:val="FootnoteReference"/>
          <w:rtl/>
        </w:rPr>
        <w:footnoteReference w:id="10"/>
      </w:r>
      <w:r w:rsidR="009955F8">
        <w:rPr>
          <w:rFonts w:hint="cs"/>
          <w:rtl/>
        </w:rPr>
        <w:t xml:space="preserve"> </w:t>
      </w:r>
    </w:p>
    <w:p w:rsidR="00DB5B48" w:rsidRDefault="00A32E30" w:rsidP="00D67F62">
      <w:pPr>
        <w:jc w:val="both"/>
        <w:rPr>
          <w:rtl/>
        </w:rPr>
      </w:pPr>
      <w:r>
        <w:rPr>
          <w:rFonts w:hint="cs"/>
          <w:rtl/>
        </w:rPr>
        <w:t xml:space="preserve">سوال: </w:t>
      </w:r>
      <w:r w:rsidR="00DB5B48">
        <w:rPr>
          <w:rFonts w:hint="cs"/>
          <w:rtl/>
        </w:rPr>
        <w:t>توثیقات مبتنی بر متن شناسی و اجتهاد نیست؟</w:t>
      </w:r>
    </w:p>
    <w:p w:rsidR="008A04E7" w:rsidRDefault="00DB5B48" w:rsidP="00D67F62">
      <w:pPr>
        <w:jc w:val="both"/>
        <w:rPr>
          <w:rtl/>
        </w:rPr>
      </w:pPr>
      <w:r>
        <w:rPr>
          <w:rFonts w:hint="cs"/>
          <w:rtl/>
        </w:rPr>
        <w:t xml:space="preserve">پاسخ: شاهدی بر این نداریم که در توثیقات استنباط دخیل باشد. </w:t>
      </w:r>
    </w:p>
    <w:p w:rsidR="009D68EB" w:rsidRDefault="00E50555" w:rsidP="00D67F62">
      <w:pPr>
        <w:jc w:val="both"/>
        <w:rPr>
          <w:rtl/>
        </w:rPr>
      </w:pPr>
      <w:r>
        <w:rPr>
          <w:rFonts w:hint="cs"/>
          <w:rtl/>
        </w:rPr>
        <w:t xml:space="preserve">سوال: اگر کسی به خاطر غلوّ تضعیف شده باشد و بدانیم که مراتب اعلای غلوّ را داشته باشد، چرا روایات غیر مرتبط به اعتقاد او مانند روایت مرتبط به جزئیات صلات، کنار گذاشته می شود؟ </w:t>
      </w:r>
    </w:p>
    <w:p w:rsidR="00E50555" w:rsidRDefault="00E50555" w:rsidP="00D67F62">
      <w:pPr>
        <w:jc w:val="both"/>
        <w:rPr>
          <w:rtl/>
        </w:rPr>
      </w:pPr>
      <w:r>
        <w:rPr>
          <w:rFonts w:hint="cs"/>
          <w:rtl/>
        </w:rPr>
        <w:t>پاسخ: با فرض وجود مراتب بالای غلوّ در راوی، این شخص کافر است و شرط قبول خبر واحد اسلام شخص است. بله اگر به جهت نبود داعی بر کذب، اطمینان به صدق داشته باشیم،</w:t>
      </w:r>
      <w:r w:rsidR="00F227ED">
        <w:rPr>
          <w:rFonts w:hint="cs"/>
          <w:rtl/>
        </w:rPr>
        <w:t xml:space="preserve"> اطمینان حجّ</w:t>
      </w:r>
      <w:r w:rsidR="009E6ADF">
        <w:rPr>
          <w:rFonts w:hint="cs"/>
          <w:rtl/>
        </w:rPr>
        <w:t>ت ذاتی یا لااقل عقلایی است و</w:t>
      </w:r>
      <w:r>
        <w:rPr>
          <w:rFonts w:hint="cs"/>
          <w:rtl/>
        </w:rPr>
        <w:t xml:space="preserve"> قول هر کسی </w:t>
      </w:r>
      <w:r w:rsidR="009E6ADF">
        <w:rPr>
          <w:rFonts w:hint="cs"/>
          <w:rtl/>
        </w:rPr>
        <w:t xml:space="preserve">که موجب اطمینان شود، </w:t>
      </w:r>
      <w:r>
        <w:rPr>
          <w:rFonts w:hint="cs"/>
          <w:rtl/>
        </w:rPr>
        <w:t>معتبر است. بحث در جای</w:t>
      </w:r>
      <w:r w:rsidR="009E6ADF">
        <w:rPr>
          <w:rFonts w:hint="cs"/>
          <w:rtl/>
        </w:rPr>
        <w:t xml:space="preserve">ی است که اطمینان به صدق نداریم. </w:t>
      </w:r>
    </w:p>
    <w:p w:rsidR="00A32E30" w:rsidRDefault="00A32E30" w:rsidP="00A32E30">
      <w:pPr>
        <w:pStyle w:val="Heading2"/>
        <w:rPr>
          <w:rtl/>
        </w:rPr>
      </w:pPr>
      <w:bookmarkStart w:id="11" w:name="_Toc122886493"/>
      <w:r>
        <w:rPr>
          <w:rFonts w:hint="cs"/>
          <w:rtl/>
        </w:rPr>
        <w:t>معنای واژه «مختلط»</w:t>
      </w:r>
      <w:bookmarkEnd w:id="11"/>
      <w:r>
        <w:rPr>
          <w:rFonts w:hint="cs"/>
          <w:rtl/>
        </w:rPr>
        <w:t xml:space="preserve"> </w:t>
      </w:r>
    </w:p>
    <w:p w:rsidR="00C37D50" w:rsidRDefault="00EE3D22" w:rsidP="00D67F62">
      <w:pPr>
        <w:jc w:val="both"/>
        <w:rPr>
          <w:rtl/>
        </w:rPr>
      </w:pPr>
      <w:r>
        <w:rPr>
          <w:rFonts w:hint="cs"/>
          <w:rtl/>
        </w:rPr>
        <w:t xml:space="preserve">برای تکمیل بحث، به معنای «مختلط» </w:t>
      </w:r>
      <w:r w:rsidR="00C37D50">
        <w:rPr>
          <w:rFonts w:hint="cs"/>
          <w:rtl/>
        </w:rPr>
        <w:t xml:space="preserve">و «مختلط الامر» </w:t>
      </w:r>
      <w:r>
        <w:rPr>
          <w:rFonts w:hint="cs"/>
          <w:rtl/>
        </w:rPr>
        <w:t>اشاره می شود.</w:t>
      </w:r>
      <w:r w:rsidR="00C37D50">
        <w:rPr>
          <w:rFonts w:hint="cs"/>
          <w:rtl/>
        </w:rPr>
        <w:t xml:space="preserve"> البته نحوه تلفّظ «مختلِط الامر» به صیغه اسم فاعل یا «مختلَط الامر» به صیغه اسم مفعول نیازمند مراجعه به کتب لغت است. </w:t>
      </w:r>
      <w:r>
        <w:rPr>
          <w:rFonts w:hint="cs"/>
          <w:rtl/>
        </w:rPr>
        <w:t xml:space="preserve"> </w:t>
      </w:r>
    </w:p>
    <w:p w:rsidR="00A32E30" w:rsidRDefault="00A32E30" w:rsidP="00A32E30">
      <w:pPr>
        <w:pStyle w:val="Heading3"/>
        <w:rPr>
          <w:rtl/>
        </w:rPr>
      </w:pPr>
      <w:bookmarkStart w:id="12" w:name="_Toc122886494"/>
      <w:r>
        <w:rPr>
          <w:rFonts w:hint="cs"/>
          <w:rtl/>
        </w:rPr>
        <w:t>معنای اول: اتحاد معنایی با «مخلّط» در برخی از موارد</w:t>
      </w:r>
      <w:bookmarkEnd w:id="12"/>
      <w:r>
        <w:rPr>
          <w:rFonts w:hint="cs"/>
          <w:rtl/>
        </w:rPr>
        <w:t xml:space="preserve"> </w:t>
      </w:r>
    </w:p>
    <w:p w:rsidR="00EE3D22" w:rsidRDefault="00F227ED" w:rsidP="00D67F62">
      <w:pPr>
        <w:jc w:val="both"/>
        <w:rPr>
          <w:rtl/>
        </w:rPr>
      </w:pPr>
      <w:r>
        <w:rPr>
          <w:rFonts w:hint="cs"/>
          <w:rtl/>
        </w:rPr>
        <w:t xml:space="preserve">برخی از موارد استعمال «مختلط» ظاهرا به همین معنای «مخلّط» است. در ترجمه عبد الرحمن بن کثیر وارد شده است: </w:t>
      </w:r>
    </w:p>
    <w:p w:rsidR="00F227ED" w:rsidRDefault="00F227ED" w:rsidP="00D67F62">
      <w:pPr>
        <w:jc w:val="both"/>
        <w:rPr>
          <w:color w:val="000080"/>
          <w:rtl/>
        </w:rPr>
      </w:pPr>
      <w:r w:rsidRPr="00F227ED">
        <w:rPr>
          <w:color w:val="000080"/>
          <w:rtl/>
        </w:rPr>
        <w:t xml:space="preserve">كان ضعيفا غمز أصحابنا عليه و قالوا: كان يضع الحديث. </w:t>
      </w:r>
      <w:r>
        <w:rPr>
          <w:rFonts w:hint="cs"/>
          <w:color w:val="000080"/>
          <w:rtl/>
        </w:rPr>
        <w:t>...</w:t>
      </w:r>
      <w:r w:rsidRPr="00F227ED">
        <w:rPr>
          <w:color w:val="000080"/>
          <w:rtl/>
        </w:rPr>
        <w:t xml:space="preserve"> و كتاب الأظلة كتاب فاسد مختلط</w:t>
      </w:r>
      <w:r>
        <w:rPr>
          <w:rStyle w:val="FootnoteReference"/>
          <w:color w:val="000080"/>
          <w:rtl/>
        </w:rPr>
        <w:footnoteReference w:id="11"/>
      </w:r>
    </w:p>
    <w:p w:rsidR="00F227ED" w:rsidRDefault="00F227ED" w:rsidP="00D67F62">
      <w:pPr>
        <w:jc w:val="both"/>
        <w:rPr>
          <w:rtl/>
        </w:rPr>
      </w:pPr>
      <w:r>
        <w:rPr>
          <w:rFonts w:hint="cs"/>
          <w:rtl/>
        </w:rPr>
        <w:t xml:space="preserve">«اظله»  اموری مانند اشباه است که غالیان آن را مطرح می کردند. پس «مختلط» به قرینه «الاظله» به معنای غلوّ است. </w:t>
      </w:r>
    </w:p>
    <w:p w:rsidR="00F227ED" w:rsidRDefault="00F227ED" w:rsidP="00D67F62">
      <w:pPr>
        <w:jc w:val="both"/>
        <w:rPr>
          <w:rtl/>
        </w:rPr>
      </w:pPr>
      <w:r>
        <w:rPr>
          <w:rFonts w:hint="cs"/>
          <w:rtl/>
        </w:rPr>
        <w:t xml:space="preserve">به احتمال زیاد «مختلط» در ترجمه جابر بن یزید جعفی نیز به همین معنا باشد. در ترجمه جابر بن یزید آمده است: </w:t>
      </w:r>
    </w:p>
    <w:p w:rsidR="00F227ED" w:rsidRDefault="00F227ED" w:rsidP="00D67F62">
      <w:pPr>
        <w:jc w:val="both"/>
        <w:rPr>
          <w:color w:val="000080"/>
          <w:rtl/>
        </w:rPr>
      </w:pPr>
      <w:r w:rsidRPr="00F227ED">
        <w:rPr>
          <w:color w:val="000080"/>
          <w:rtl/>
        </w:rPr>
        <w:t>روى عنه جماعة غمز فيهم و ضعفوا منهم : عمرو بن شمر و مفضل بن صالح و منخل بن جميل و يوسف بن يعقوب. و كان في نفسه مختلطا</w:t>
      </w:r>
      <w:r>
        <w:rPr>
          <w:rFonts w:hint="cs"/>
          <w:color w:val="000080"/>
          <w:rtl/>
        </w:rPr>
        <w:t xml:space="preserve"> </w:t>
      </w:r>
      <w:r w:rsidRPr="00F227ED">
        <w:rPr>
          <w:color w:val="000080"/>
          <w:rtl/>
        </w:rPr>
        <w:t>و كان شيخنا أبو عبد الله محمد بن محمد بن النعمان رحمه الله ينشدنا أشعارا كثيرة في معناه تدل على الاختلاط ليس هذا موضعا لذكرها و قل ما يورد عنه شي‏ء في الحلال و الحرام‏</w:t>
      </w:r>
      <w:r>
        <w:rPr>
          <w:rStyle w:val="FootnoteReference"/>
          <w:color w:val="000080"/>
          <w:rtl/>
        </w:rPr>
        <w:footnoteReference w:id="12"/>
      </w:r>
    </w:p>
    <w:p w:rsidR="00CE14A5" w:rsidRDefault="00F227ED" w:rsidP="00D67F62">
      <w:pPr>
        <w:jc w:val="both"/>
        <w:rPr>
          <w:rtl/>
        </w:rPr>
      </w:pPr>
      <w:r>
        <w:rPr>
          <w:rFonts w:hint="cs"/>
          <w:rtl/>
        </w:rPr>
        <w:t xml:space="preserve">اما دلیلی نداریم که «مختلط» در همه جا به همین معنا باشد. </w:t>
      </w:r>
    </w:p>
    <w:p w:rsidR="00A32E30" w:rsidRDefault="00A32E30" w:rsidP="00A32E30">
      <w:pPr>
        <w:pStyle w:val="Heading3"/>
        <w:rPr>
          <w:rtl/>
        </w:rPr>
      </w:pPr>
      <w:bookmarkStart w:id="13" w:name="_Toc122886495"/>
      <w:r>
        <w:rPr>
          <w:rFonts w:hint="cs"/>
          <w:rtl/>
        </w:rPr>
        <w:t>احتمال دوم: وحدت معنایی با «یروی عن الضعفاء»</w:t>
      </w:r>
      <w:bookmarkEnd w:id="13"/>
    </w:p>
    <w:p w:rsidR="00CE14A5" w:rsidRDefault="00CE14A5" w:rsidP="00D67F62">
      <w:pPr>
        <w:jc w:val="both"/>
        <w:rPr>
          <w:rtl/>
        </w:rPr>
      </w:pPr>
      <w:r>
        <w:rPr>
          <w:rFonts w:hint="cs"/>
          <w:rtl/>
        </w:rPr>
        <w:t xml:space="preserve">مرحوم آقای خویی «مختلط» را به کسی معنا کرده که «یروی عن الضعفاء». اشکال شده که روایت از ضعفاء اختلاط نیست و همه راویان از راوی ضعیف روایت می کنند. «یروی عن الضعفاء» اگر به معنای کسی باشد که اکثار روایت از ضعفاء می کند، بر خلاف متعارف راویان است و «مختلط» می تواند به این معنا باشد. البته دلیل قاطعی نداریم که «مختلط» به این معنا باشد و آقای خویی نیز دلیلی اقامه نکرده است. </w:t>
      </w:r>
    </w:p>
    <w:p w:rsidR="00A32E30" w:rsidRDefault="00A32E30" w:rsidP="00A32E30">
      <w:pPr>
        <w:pStyle w:val="Heading3"/>
        <w:rPr>
          <w:rtl/>
        </w:rPr>
      </w:pPr>
      <w:bookmarkStart w:id="14" w:name="_Toc122886496"/>
      <w:r>
        <w:rPr>
          <w:rFonts w:hint="cs"/>
          <w:rtl/>
        </w:rPr>
        <w:t>احتمال سوم: وحدت معنایی با «یعرف و ینکر»</w:t>
      </w:r>
      <w:bookmarkEnd w:id="14"/>
      <w:r>
        <w:rPr>
          <w:rFonts w:hint="cs"/>
          <w:rtl/>
        </w:rPr>
        <w:t xml:space="preserve"> </w:t>
      </w:r>
    </w:p>
    <w:p w:rsidR="008B6DCA" w:rsidRDefault="003026A3" w:rsidP="00D67F62">
      <w:pPr>
        <w:jc w:val="both"/>
        <w:rPr>
          <w:color w:val="000080"/>
          <w:rtl/>
        </w:rPr>
      </w:pPr>
      <w:r>
        <w:rPr>
          <w:rFonts w:hint="cs"/>
          <w:rtl/>
        </w:rPr>
        <w:t xml:space="preserve">کلمه «مختلط» گاهی در مواردی به کار می رود که در کنار آن «یعرف منه و ینکر» به کار رفته است. برخی عطف «یعرف و ینکر» را دلیل بر آن دانستند که «مختلط» به معنای «یعرف و ینکر» است. به این معنا که برخی از احادیث او خوب است و برخی دیگر بد است. اما شاهدی نداریم که «مختلط» به این معنا باشد چنانچه شاهدی وجود ندارد که به این معنا نباشد. </w:t>
      </w:r>
      <w:r w:rsidR="008B6DCA">
        <w:rPr>
          <w:rFonts w:hint="cs"/>
          <w:rtl/>
        </w:rPr>
        <w:t xml:space="preserve">در رجال نجاشی در ترجمه اسماعیل بن علی بن علی بن رزین برادر زاده دعبل دارد:  </w:t>
      </w:r>
      <w:r w:rsidR="008B6DCA" w:rsidRPr="008B6DCA">
        <w:rPr>
          <w:color w:val="000080"/>
          <w:rtl/>
        </w:rPr>
        <w:t>و كان مختلطا يعرف منه و ينكر</w:t>
      </w:r>
      <w:r w:rsidR="008B6DCA">
        <w:rPr>
          <w:rStyle w:val="FootnoteReference"/>
          <w:color w:val="000080"/>
          <w:rtl/>
        </w:rPr>
        <w:footnoteReference w:id="13"/>
      </w:r>
    </w:p>
    <w:p w:rsidR="008B6DCA" w:rsidRDefault="008B6DCA" w:rsidP="00D67F62">
      <w:pPr>
        <w:jc w:val="both"/>
        <w:rPr>
          <w:rtl/>
        </w:rPr>
      </w:pPr>
      <w:r>
        <w:rPr>
          <w:rFonts w:hint="cs"/>
          <w:rtl/>
        </w:rPr>
        <w:t>برخی این را شاهد قرار دادند که «یعرف</w:t>
      </w:r>
      <w:r w:rsidR="00CE14A5">
        <w:rPr>
          <w:rFonts w:hint="cs"/>
          <w:rtl/>
        </w:rPr>
        <w:t xml:space="preserve"> منه</w:t>
      </w:r>
      <w:r>
        <w:rPr>
          <w:rFonts w:hint="cs"/>
          <w:rtl/>
        </w:rPr>
        <w:t xml:space="preserve"> و ینکر» عطف تفسیر بر «مختلطا» است. اما هیچ دلیلی بر عطف تفسیر بودن نداریم چنانچه دلیلی بر عدم آن</w:t>
      </w:r>
      <w:r w:rsidR="00CE14A5">
        <w:rPr>
          <w:rFonts w:hint="cs"/>
          <w:rtl/>
        </w:rPr>
        <w:t xml:space="preserve"> نداریم و ممکن است معنای «مختلط» و «یعرف منه و ینکر» به یک معنا باشد. </w:t>
      </w:r>
    </w:p>
    <w:p w:rsidR="00CE14A5" w:rsidRDefault="00CE14A5" w:rsidP="00D67F62">
      <w:pPr>
        <w:jc w:val="both"/>
        <w:rPr>
          <w:rtl/>
        </w:rPr>
      </w:pPr>
      <w:r>
        <w:rPr>
          <w:rFonts w:hint="cs"/>
          <w:rtl/>
        </w:rPr>
        <w:t xml:space="preserve">در فهرست در ترجمه اسماعیل بن علی بن علی آمده است: </w:t>
      </w:r>
    </w:p>
    <w:p w:rsidR="00CE14A5" w:rsidRDefault="00CE14A5" w:rsidP="00D67F62">
      <w:pPr>
        <w:jc w:val="both"/>
        <w:rPr>
          <w:color w:val="000080"/>
          <w:rtl/>
        </w:rPr>
      </w:pPr>
      <w:r w:rsidRPr="00CE14A5">
        <w:rPr>
          <w:color w:val="000080"/>
          <w:rtl/>
        </w:rPr>
        <w:t>و كان مختلط الأمر في الحديث يعرف منه و ينكر</w:t>
      </w:r>
      <w:r>
        <w:rPr>
          <w:rStyle w:val="FootnoteReference"/>
          <w:color w:val="000080"/>
          <w:rtl/>
        </w:rPr>
        <w:footnoteReference w:id="14"/>
      </w:r>
    </w:p>
    <w:p w:rsidR="00CE14A5" w:rsidRDefault="00CE14A5" w:rsidP="00D67F62">
      <w:pPr>
        <w:jc w:val="both"/>
        <w:rPr>
          <w:rtl/>
        </w:rPr>
      </w:pPr>
      <w:r>
        <w:rPr>
          <w:rFonts w:hint="cs"/>
          <w:rtl/>
        </w:rPr>
        <w:t xml:space="preserve">ابن غضائری در ترجمه ابراهیم بن اسحاق احمری می نویسد: </w:t>
      </w:r>
    </w:p>
    <w:p w:rsidR="00CE14A5" w:rsidRDefault="00CE14A5" w:rsidP="00D67F62">
      <w:pPr>
        <w:jc w:val="both"/>
        <w:rPr>
          <w:color w:val="000080"/>
          <w:rtl/>
        </w:rPr>
      </w:pPr>
      <w:r w:rsidRPr="00CE14A5">
        <w:rPr>
          <w:color w:val="000080"/>
          <w:rtl/>
        </w:rPr>
        <w:t>ف</w:t>
      </w:r>
      <w:r>
        <w:rPr>
          <w:color w:val="000080"/>
          <w:rtl/>
        </w:rPr>
        <w:t xml:space="preserve">ي حديثه ضعف و في مذهبه ارتفاع </w:t>
      </w:r>
      <w:r w:rsidRPr="00CE14A5">
        <w:rPr>
          <w:color w:val="000080"/>
          <w:rtl/>
        </w:rPr>
        <w:t>و يروي الصحيح و السقيم و أمره مختلط</w:t>
      </w:r>
      <w:r>
        <w:rPr>
          <w:rStyle w:val="FootnoteReference"/>
          <w:color w:val="000080"/>
          <w:rtl/>
        </w:rPr>
        <w:footnoteReference w:id="15"/>
      </w:r>
    </w:p>
    <w:p w:rsidR="00CE14A5" w:rsidRDefault="00CE14A5" w:rsidP="00D67F62">
      <w:pPr>
        <w:jc w:val="both"/>
        <w:rPr>
          <w:rtl/>
        </w:rPr>
      </w:pPr>
      <w:r>
        <w:rPr>
          <w:rFonts w:hint="cs"/>
          <w:rtl/>
        </w:rPr>
        <w:t>شاید ابن غضائری همین «یروی الصحیح و السقیم» را با «امره مختلط» توضیح داده باشد.</w:t>
      </w:r>
    </w:p>
    <w:p w:rsidR="00CE14A5" w:rsidRDefault="00CE14A5" w:rsidP="00D67F62">
      <w:pPr>
        <w:jc w:val="both"/>
        <w:rPr>
          <w:rtl/>
        </w:rPr>
      </w:pPr>
      <w:r>
        <w:rPr>
          <w:rFonts w:hint="cs"/>
          <w:rtl/>
        </w:rPr>
        <w:t xml:space="preserve">در ترجمه خلف بن ابی الحماد وارد شده است: </w:t>
      </w:r>
    </w:p>
    <w:p w:rsidR="00CE14A5" w:rsidRDefault="00CE14A5" w:rsidP="00D67F62">
      <w:pPr>
        <w:jc w:val="both"/>
        <w:rPr>
          <w:color w:val="000080"/>
          <w:rtl/>
        </w:rPr>
      </w:pPr>
      <w:r w:rsidRPr="00CE14A5">
        <w:rPr>
          <w:color w:val="000080"/>
          <w:rtl/>
        </w:rPr>
        <w:t>أمره مختلط . يعرف حديثه تارة و ينكر أخرى و يجوز أن يخرج شاهدا</w:t>
      </w:r>
      <w:r>
        <w:rPr>
          <w:rStyle w:val="FootnoteReference"/>
          <w:color w:val="000080"/>
          <w:rtl/>
        </w:rPr>
        <w:footnoteReference w:id="16"/>
      </w:r>
    </w:p>
    <w:p w:rsidR="00A32E30" w:rsidRDefault="00CE14A5" w:rsidP="00D67F62">
      <w:pPr>
        <w:jc w:val="both"/>
        <w:rPr>
          <w:rtl/>
        </w:rPr>
      </w:pPr>
      <w:r>
        <w:rPr>
          <w:rFonts w:hint="cs"/>
          <w:rtl/>
        </w:rPr>
        <w:t>پس احتمال دارد که «مختلط» به معنای کسی باشد</w:t>
      </w:r>
      <w:r w:rsidR="00A32E30">
        <w:rPr>
          <w:rFonts w:hint="cs"/>
          <w:rtl/>
        </w:rPr>
        <w:t xml:space="preserve"> که روایت صحیح و سقیم دارد. </w:t>
      </w:r>
    </w:p>
    <w:p w:rsidR="00A32E30" w:rsidRDefault="00A32E30" w:rsidP="00A32E30">
      <w:pPr>
        <w:pStyle w:val="Heading4"/>
        <w:rPr>
          <w:rtl/>
        </w:rPr>
      </w:pPr>
      <w:bookmarkStart w:id="15" w:name="_Toc122886497"/>
      <w:r>
        <w:rPr>
          <w:rFonts w:hint="cs"/>
          <w:rtl/>
        </w:rPr>
        <w:t>معنای «یعرف و ینکر»</w:t>
      </w:r>
      <w:bookmarkEnd w:id="15"/>
    </w:p>
    <w:p w:rsidR="00A32E30" w:rsidRDefault="00A32E30" w:rsidP="00A32E30">
      <w:pPr>
        <w:pStyle w:val="Heading5"/>
        <w:rPr>
          <w:rtl/>
        </w:rPr>
      </w:pPr>
      <w:bookmarkStart w:id="16" w:name="_Toc122886498"/>
      <w:r>
        <w:rPr>
          <w:rFonts w:hint="cs"/>
          <w:rtl/>
        </w:rPr>
        <w:t>احتمال اول: تردید در وثاقت راوی</w:t>
      </w:r>
      <w:bookmarkEnd w:id="16"/>
    </w:p>
    <w:p w:rsidR="00A32E30" w:rsidRDefault="00CE14A5" w:rsidP="00D67F62">
      <w:pPr>
        <w:jc w:val="both"/>
        <w:rPr>
          <w:rtl/>
        </w:rPr>
      </w:pPr>
      <w:r>
        <w:rPr>
          <w:rFonts w:hint="cs"/>
          <w:rtl/>
        </w:rPr>
        <w:t>برخی بیان کردند که</w:t>
      </w:r>
      <w:r w:rsidR="00C4744C">
        <w:rPr>
          <w:rFonts w:hint="cs"/>
          <w:rtl/>
        </w:rPr>
        <w:t xml:space="preserve"> مقصود از عبارت «مختلط» این است که</w:t>
      </w:r>
      <w:r>
        <w:rPr>
          <w:rFonts w:hint="cs"/>
          <w:rtl/>
        </w:rPr>
        <w:t xml:space="preserve"> </w:t>
      </w:r>
      <w:r w:rsidR="00C4744C">
        <w:rPr>
          <w:rFonts w:hint="cs"/>
          <w:rtl/>
        </w:rPr>
        <w:t>نقل روایت صحیح و سقیم باعث می شود که در وثاقت راوی تردید حاصل شود. پس نقل روایات خوب و روایات بد منشأ تردید د</w:t>
      </w:r>
      <w:r w:rsidR="00ED61B3">
        <w:rPr>
          <w:rFonts w:hint="cs"/>
          <w:rtl/>
        </w:rPr>
        <w:t>ر وثاقت راوی شده است و</w:t>
      </w:r>
      <w:r w:rsidR="00C4744C">
        <w:rPr>
          <w:rFonts w:hint="cs"/>
          <w:rtl/>
        </w:rPr>
        <w:t xml:space="preserve"> «مختلط الامر» را «مردّد الوثاقه» معنا کرده اند.</w:t>
      </w:r>
    </w:p>
    <w:p w:rsidR="00CE14A5" w:rsidRDefault="00A32E30" w:rsidP="00A32E30">
      <w:pPr>
        <w:pStyle w:val="Heading5"/>
        <w:rPr>
          <w:rtl/>
        </w:rPr>
      </w:pPr>
      <w:bookmarkStart w:id="17" w:name="_Toc122886499"/>
      <w:r>
        <w:rPr>
          <w:rFonts w:hint="cs"/>
          <w:rtl/>
        </w:rPr>
        <w:t>احتمال دوم: تردید در صحت مذهب راوی</w:t>
      </w:r>
      <w:bookmarkEnd w:id="17"/>
      <w:r>
        <w:rPr>
          <w:rFonts w:hint="cs"/>
          <w:rtl/>
        </w:rPr>
        <w:t xml:space="preserve"> </w:t>
      </w:r>
      <w:r w:rsidR="00C4744C">
        <w:rPr>
          <w:rFonts w:hint="cs"/>
          <w:rtl/>
        </w:rPr>
        <w:t xml:space="preserve"> </w:t>
      </w:r>
    </w:p>
    <w:p w:rsidR="00407B78" w:rsidRDefault="00ED61B3" w:rsidP="00D67F62">
      <w:pPr>
        <w:jc w:val="both"/>
        <w:rPr>
          <w:rtl/>
        </w:rPr>
      </w:pPr>
      <w:r>
        <w:rPr>
          <w:rFonts w:hint="cs"/>
          <w:rtl/>
        </w:rPr>
        <w:t xml:space="preserve">اما معلوم نیست مراد از «مختلط» حتی اگر به معنای «یعرف و ینکر» به این معنا باشد و ممکن است تردید در صحت مذهب حاصل شده باشد به این معنا که با وجود روایات خوب و بد، در مذهب او تردید حاصل می شود و در مجموع عالم رجالی نتوانسته به نتیجه برسد که آیا راوی فاسد المذهب </w:t>
      </w:r>
      <w:r w:rsidR="00407B78">
        <w:rPr>
          <w:rFonts w:hint="cs"/>
          <w:rtl/>
        </w:rPr>
        <w:t xml:space="preserve">است یا فاسد المذهب نیست؟ </w:t>
      </w:r>
    </w:p>
    <w:p w:rsidR="00A32E30" w:rsidRDefault="00A32E30" w:rsidP="00A32E30">
      <w:pPr>
        <w:pStyle w:val="Heading3"/>
        <w:rPr>
          <w:rtl/>
        </w:rPr>
      </w:pPr>
      <w:bookmarkStart w:id="18" w:name="_Toc122886500"/>
      <w:r>
        <w:rPr>
          <w:rFonts w:hint="cs"/>
          <w:rtl/>
        </w:rPr>
        <w:t>عدم اعتبار شهادت به «مختلط» بودن راوی</w:t>
      </w:r>
      <w:bookmarkEnd w:id="18"/>
      <w:r>
        <w:rPr>
          <w:rFonts w:hint="cs"/>
          <w:rtl/>
        </w:rPr>
        <w:t xml:space="preserve"> </w:t>
      </w:r>
    </w:p>
    <w:p w:rsidR="00ED61B3" w:rsidRDefault="00407B78" w:rsidP="00D67F62">
      <w:pPr>
        <w:jc w:val="both"/>
        <w:rPr>
          <w:rtl/>
        </w:rPr>
      </w:pPr>
      <w:r>
        <w:rPr>
          <w:rFonts w:hint="cs"/>
          <w:rtl/>
        </w:rPr>
        <w:t xml:space="preserve">احتمال اراده تردید در فساد مذهب از «مختلط» باعث می شود دیگر این شهادت قابل اعتماد نباشد زیرا احتمال دارد که این شهادت حدسی و اجتهادی باشد و همین در عدم اعتبار کفایت می کند. اگر «مختلط الامر» به معنای «غیر ثابت الوثاقه» باشد نیز قابل اعتماد نیست زیرا «غیر ثابت الوثاقه» از متن شناسی حاصل شده و منشأ شک در وثاقت، وجود روایات خوب و بد در نقلیات راوی است. </w:t>
      </w:r>
    </w:p>
    <w:p w:rsidR="004C65FA" w:rsidRDefault="004C65FA" w:rsidP="00D67F62">
      <w:pPr>
        <w:jc w:val="both"/>
        <w:rPr>
          <w:rtl/>
        </w:rPr>
      </w:pPr>
      <w:r>
        <w:rPr>
          <w:rFonts w:hint="cs"/>
          <w:rtl/>
        </w:rPr>
        <w:t xml:space="preserve">«مخلِّط» به «فاسد المذهب» معنا شد در حالی که احتمال دارد «مختلط» به معنای «مردّد الفساد فی المذهب» باشد. «فی حدیثه ضعف و فی مذهبه ارتفاع» نیز بیان می کند که فی الجمله راوی عقیده انحرافی دارد و فی الجمله در حدیث او ضعف وجود دارد اما معلوم نیست برآیند کلی درباره راوی، ضعف و فساد مذهب باشد. </w:t>
      </w:r>
      <w:r w:rsidR="006A4749">
        <w:rPr>
          <w:rFonts w:hint="cs"/>
          <w:rtl/>
        </w:rPr>
        <w:t xml:space="preserve">پس بین «مخلِّط» و «مختلط» تفاوت وجود دارد. در </w:t>
      </w:r>
      <w:r w:rsidR="00833387">
        <w:rPr>
          <w:rFonts w:hint="cs"/>
          <w:rtl/>
        </w:rPr>
        <w:t xml:space="preserve">یکی از تعابیر آمده بود: </w:t>
      </w:r>
    </w:p>
    <w:p w:rsidR="00833387" w:rsidRDefault="00833387" w:rsidP="00D67F62">
      <w:pPr>
        <w:jc w:val="both"/>
        <w:rPr>
          <w:color w:val="000080"/>
          <w:rtl/>
        </w:rPr>
      </w:pPr>
      <w:r w:rsidRPr="00833387">
        <w:rPr>
          <w:color w:val="000080"/>
          <w:rtl/>
        </w:rPr>
        <w:t>يعرف حديثه و ينكر و أكثر تخليطه فيما يرويه عن</w:t>
      </w:r>
      <w:r w:rsidR="00FA0259">
        <w:rPr>
          <w:color w:val="000080"/>
          <w:rtl/>
        </w:rPr>
        <w:t xml:space="preserve"> جابر</w:t>
      </w:r>
      <w:r w:rsidRPr="00833387">
        <w:rPr>
          <w:color w:val="000080"/>
          <w:rtl/>
        </w:rPr>
        <w:t>.</w:t>
      </w:r>
      <w:r>
        <w:rPr>
          <w:rStyle w:val="FootnoteReference"/>
          <w:color w:val="000080"/>
          <w:rtl/>
        </w:rPr>
        <w:footnoteReference w:id="17"/>
      </w:r>
    </w:p>
    <w:p w:rsidR="00FA0259" w:rsidRDefault="00FA0259" w:rsidP="00D67F62">
      <w:pPr>
        <w:jc w:val="both"/>
        <w:rPr>
          <w:rtl/>
        </w:rPr>
      </w:pPr>
      <w:r>
        <w:rPr>
          <w:rFonts w:hint="cs"/>
          <w:rtl/>
        </w:rPr>
        <w:t>«اکثر تخلیط</w:t>
      </w:r>
      <w:r w:rsidR="00A32E30">
        <w:rPr>
          <w:rFonts w:hint="cs"/>
          <w:rtl/>
        </w:rPr>
        <w:t>ه</w:t>
      </w:r>
      <w:r>
        <w:rPr>
          <w:rFonts w:hint="cs"/>
          <w:rtl/>
        </w:rPr>
        <w:t xml:space="preserve">» تفسیر «ینکر» است نه تفسیر «یعرف و ینکر» در حالی که «مختلط» می تواند به معنای مجموع «یعرف و ینکر» باشد. </w:t>
      </w:r>
    </w:p>
    <w:p w:rsidR="00BB70A6" w:rsidRDefault="00BB70A6" w:rsidP="00D67F62">
      <w:pPr>
        <w:jc w:val="both"/>
        <w:rPr>
          <w:rtl/>
        </w:rPr>
      </w:pPr>
      <w:r>
        <w:rPr>
          <w:rFonts w:hint="cs"/>
          <w:rtl/>
        </w:rPr>
        <w:t xml:space="preserve">ممکن است مفاد «مختلط» عبارتی باشد که مرحوم نجاشی در ترجمه صالح بن ابی حماد دارد: </w:t>
      </w:r>
    </w:p>
    <w:p w:rsidR="00BB70A6" w:rsidRPr="00BB70A6" w:rsidRDefault="00BB70A6" w:rsidP="00D67F62">
      <w:pPr>
        <w:jc w:val="both"/>
        <w:rPr>
          <w:color w:val="000080"/>
          <w:rtl/>
        </w:rPr>
      </w:pPr>
      <w:r w:rsidRPr="00BB70A6">
        <w:rPr>
          <w:color w:val="000080"/>
          <w:rtl/>
        </w:rPr>
        <w:t>و كان أمره ملبسا (ملتبسا) يعرف و ينكر</w:t>
      </w:r>
      <w:r>
        <w:rPr>
          <w:rStyle w:val="FootnoteReference"/>
          <w:color w:val="000080"/>
          <w:rtl/>
        </w:rPr>
        <w:footnoteReference w:id="18"/>
      </w:r>
    </w:p>
    <w:p w:rsidR="00BB70A6" w:rsidRDefault="00BB70A6" w:rsidP="00D67F62">
      <w:pPr>
        <w:jc w:val="both"/>
        <w:rPr>
          <w:rtl/>
        </w:rPr>
      </w:pPr>
      <w:r>
        <w:rPr>
          <w:rFonts w:hint="cs"/>
          <w:rtl/>
        </w:rPr>
        <w:t xml:space="preserve">نجاشی در ترجمه محمد بن حسّان رازی می نویسد: </w:t>
      </w:r>
    </w:p>
    <w:p w:rsidR="00AC6D01" w:rsidRPr="00AC6D01" w:rsidRDefault="00AC6D01" w:rsidP="00D67F62">
      <w:pPr>
        <w:jc w:val="both"/>
        <w:rPr>
          <w:color w:val="000080"/>
          <w:rtl/>
        </w:rPr>
      </w:pPr>
      <w:r w:rsidRPr="00AC6D01">
        <w:rPr>
          <w:color w:val="000080"/>
          <w:rtl/>
        </w:rPr>
        <w:t>محمد بن حسان الرازي أبو عبد الله الزينبي يعرف و ينكر بين بين يروي عن الضعفاء كثيرا</w:t>
      </w:r>
      <w:r>
        <w:rPr>
          <w:rStyle w:val="FootnoteReference"/>
          <w:color w:val="000080"/>
          <w:rtl/>
        </w:rPr>
        <w:footnoteReference w:id="19"/>
      </w:r>
    </w:p>
    <w:p w:rsidR="00AC6D01" w:rsidRDefault="00AC6D01" w:rsidP="00D67F62">
      <w:pPr>
        <w:jc w:val="both"/>
        <w:rPr>
          <w:rtl/>
        </w:rPr>
      </w:pPr>
      <w:r>
        <w:rPr>
          <w:rFonts w:hint="cs"/>
          <w:rtl/>
        </w:rPr>
        <w:t xml:space="preserve">«یعرف و ینکر» حالت بینابینی است. در برخی از تعابیر آمده است: </w:t>
      </w:r>
    </w:p>
    <w:p w:rsidR="00AC6D01" w:rsidRDefault="00AC6D01" w:rsidP="00D67F62">
      <w:pPr>
        <w:jc w:val="both"/>
        <w:rPr>
          <w:color w:val="000080"/>
          <w:rtl/>
        </w:rPr>
      </w:pPr>
      <w:r w:rsidRPr="00AC6D01">
        <w:rPr>
          <w:color w:val="000080"/>
          <w:rtl/>
        </w:rPr>
        <w:t>لم يكن في الحديث بذاك يعرف منه و ينكر</w:t>
      </w:r>
      <w:r>
        <w:rPr>
          <w:rStyle w:val="FootnoteReference"/>
          <w:color w:val="000080"/>
          <w:rtl/>
        </w:rPr>
        <w:footnoteReference w:id="20"/>
      </w:r>
    </w:p>
    <w:p w:rsidR="00A32E30" w:rsidRDefault="00A32E30" w:rsidP="00A32E30">
      <w:pPr>
        <w:pStyle w:val="Heading3"/>
        <w:rPr>
          <w:rtl/>
        </w:rPr>
      </w:pPr>
      <w:bookmarkStart w:id="19" w:name="_Toc122886501"/>
      <w:r>
        <w:rPr>
          <w:rFonts w:hint="cs"/>
          <w:rtl/>
        </w:rPr>
        <w:t>عدم اعتبار شهادت به «یعرف و ینکر»</w:t>
      </w:r>
      <w:bookmarkEnd w:id="19"/>
      <w:r>
        <w:rPr>
          <w:rFonts w:hint="cs"/>
          <w:rtl/>
        </w:rPr>
        <w:t xml:space="preserve"> </w:t>
      </w:r>
    </w:p>
    <w:p w:rsidR="00AC6D01" w:rsidRDefault="006D0FD9" w:rsidP="00D67F62">
      <w:pPr>
        <w:jc w:val="both"/>
        <w:rPr>
          <w:rtl/>
        </w:rPr>
      </w:pPr>
      <w:r>
        <w:rPr>
          <w:rFonts w:hint="cs"/>
          <w:rtl/>
        </w:rPr>
        <w:t xml:space="preserve">«یعرف و ینکر» نیز کاملا بر اساس متن شناسی است و حجیتی ندارد. آدرس مواردی که «یعرف و ینکر» در آنها وارد شده به این صورت است: رجال نجاشی، ص: 77 رقم 182 که همان شرح حال در فهرست شیخ؛ ص 55 رقم 67 وارد شده است. رجال نجاشی؛ ص: 83 رقم 199 و ص 109 رقم 277 و ص 178 رقم 268 و ص: 236 رقم 634 و ص 210 رقم 740 و ص 338 رقم 903. رجال ابن غضائری؛ ص 37 رقم 3 و ص: 66 رقم 63 و ص: 73 رقم 77 و ص 43 رقم 18 و ص 47 رقم 26 و ص 49 رقم 19 و ص 93 رقم 132 و ص 94 رقم 135 و در ترجمه معلّی بن محمد بصری نیز این تعبیر وارد شده است. در رجال ابن غضائری وارد شده است: </w:t>
      </w:r>
    </w:p>
    <w:p w:rsidR="006D0FD9" w:rsidRPr="006D0FD9" w:rsidRDefault="006D0FD9" w:rsidP="00D67F62">
      <w:pPr>
        <w:jc w:val="both"/>
        <w:rPr>
          <w:color w:val="000080"/>
          <w:rtl/>
        </w:rPr>
      </w:pPr>
      <w:r w:rsidRPr="006D0FD9">
        <w:rPr>
          <w:color w:val="000080"/>
          <w:rtl/>
        </w:rPr>
        <w:t>حديثه غير نقي يروي الصحيح و السقيم) و أمره ملتبس و يخرج شاهدا</w:t>
      </w:r>
      <w:r>
        <w:rPr>
          <w:rStyle w:val="FootnoteReference"/>
          <w:color w:val="000080"/>
          <w:rtl/>
        </w:rPr>
        <w:footnoteReference w:id="21"/>
      </w:r>
    </w:p>
    <w:p w:rsidR="00512F93" w:rsidRDefault="00A929E6" w:rsidP="00D67F62">
      <w:pPr>
        <w:jc w:val="both"/>
        <w:rPr>
          <w:rtl/>
        </w:rPr>
      </w:pPr>
      <w:r>
        <w:rPr>
          <w:rFonts w:hint="cs"/>
          <w:rtl/>
        </w:rPr>
        <w:t>شهادت به عدم اثبات وثاقت یا عدم اثبات صحت مذهب یا بین بین بودن، حجیت تعبدی ندارند زیرا این امور، امور استنباطی و اجتهادی هستند و در امور استنباطی و اجتهادی به دلیل خطای زیادی که واقع می شود، قول ائ</w:t>
      </w:r>
      <w:r w:rsidR="006818CE">
        <w:rPr>
          <w:rFonts w:hint="cs"/>
          <w:rtl/>
        </w:rPr>
        <w:t xml:space="preserve">مه رجال حجیّت تعبّدی ندارد. این مطلب مبتنی بر پذیرش حجیت تعبّدی برای قول ائمه رجال است که </w:t>
      </w:r>
      <w:r w:rsidR="008D67A3">
        <w:rPr>
          <w:rFonts w:hint="cs"/>
          <w:rtl/>
        </w:rPr>
        <w:t xml:space="preserve">خود آن محلّ بحث است. </w:t>
      </w:r>
    </w:p>
    <w:p w:rsidR="00512F93" w:rsidRDefault="008D67A3" w:rsidP="00D67F62">
      <w:pPr>
        <w:pStyle w:val="ListParagraph"/>
        <w:numPr>
          <w:ilvl w:val="0"/>
          <w:numId w:val="17"/>
        </w:numPr>
        <w:jc w:val="both"/>
        <w:rPr>
          <w:rtl/>
        </w:rPr>
      </w:pPr>
      <w:r>
        <w:rPr>
          <w:rFonts w:hint="cs"/>
          <w:rtl/>
        </w:rPr>
        <w:t xml:space="preserve">اگر به فرض برای قول ائمه رجال، حجیت تعبّدی قائل باشیم، شهادت در این امور حجیت تعبّدی ندارد. </w:t>
      </w:r>
    </w:p>
    <w:p w:rsidR="00512F93" w:rsidRDefault="008D67A3" w:rsidP="00D67F62">
      <w:pPr>
        <w:pStyle w:val="ListParagraph"/>
        <w:numPr>
          <w:ilvl w:val="0"/>
          <w:numId w:val="17"/>
        </w:numPr>
        <w:jc w:val="both"/>
        <w:rPr>
          <w:rtl/>
        </w:rPr>
      </w:pPr>
      <w:r>
        <w:rPr>
          <w:rFonts w:hint="cs"/>
          <w:rtl/>
        </w:rPr>
        <w:t xml:space="preserve">اگر برای قول ائمه رجال حجیت تعبّدی قائل نباشیم و قائل باشیم قول ائمه رجال مقدمه برای حجیت از باب قول اهل خبره است، قول اهل خبره در اموری که اختلاف انظار است، حجیت ندارد. </w:t>
      </w:r>
    </w:p>
    <w:p w:rsidR="00BB70A6" w:rsidRDefault="008D67A3" w:rsidP="00D67F62">
      <w:pPr>
        <w:pStyle w:val="ListParagraph"/>
        <w:numPr>
          <w:ilvl w:val="0"/>
          <w:numId w:val="17"/>
        </w:numPr>
        <w:jc w:val="both"/>
        <w:rPr>
          <w:rtl/>
        </w:rPr>
      </w:pPr>
      <w:r>
        <w:rPr>
          <w:rFonts w:hint="cs"/>
          <w:rtl/>
        </w:rPr>
        <w:t xml:space="preserve">اگر قائل باشیم که قول ائمه رجال مقدمه برای ایجاد وثوق است و موضوع اعتبار وثوق به قول است، در این امور که بر اساس متن شناسی است وثوق حاصل نمی شود مگر آنکه قرائن خارجی به آن ضمیمه شود. </w:t>
      </w:r>
    </w:p>
    <w:p w:rsidR="008D67A3" w:rsidRDefault="008D67A3" w:rsidP="00D67F62">
      <w:pPr>
        <w:jc w:val="both"/>
        <w:rPr>
          <w:rtl/>
        </w:rPr>
      </w:pPr>
      <w:r>
        <w:rPr>
          <w:rFonts w:hint="cs"/>
          <w:rtl/>
        </w:rPr>
        <w:t xml:space="preserve">در نتیجه، هیچ یک از این تعابیر مطابق مبانی مختلف در علت اعتبار قول ائمه رجال، اعتبار ندارد. بنابراین سدیر صیرفی از این جهت مشکلی ندارد حتی اگر عقیقی او را مخلّط گفته باشد. </w:t>
      </w:r>
    </w:p>
    <w:p w:rsidR="008D67A3" w:rsidRDefault="008D67A3" w:rsidP="00D67F62">
      <w:pPr>
        <w:jc w:val="both"/>
        <w:rPr>
          <w:rtl/>
        </w:rPr>
      </w:pPr>
      <w:r>
        <w:rPr>
          <w:rFonts w:hint="cs"/>
          <w:rtl/>
        </w:rPr>
        <w:t>این نکته نیازمند ضمیمه است که سدیر صیرفی روایتی دارد که در آن از امام</w:t>
      </w:r>
      <w:r w:rsidR="009510F7">
        <w:rPr>
          <w:rFonts w:hint="cs"/>
          <w:rtl/>
        </w:rPr>
        <w:t xml:space="preserve"> علیه السلام </w:t>
      </w:r>
      <w:r>
        <w:rPr>
          <w:rFonts w:hint="cs"/>
          <w:rtl/>
        </w:rPr>
        <w:t>در نفی غلو به معنای الوهیّت ائمه</w:t>
      </w:r>
      <w:r w:rsidR="009510F7">
        <w:rPr>
          <w:rFonts w:hint="cs"/>
          <w:rtl/>
        </w:rPr>
        <w:t xml:space="preserve"> علیهم السلام </w:t>
      </w:r>
      <w:r>
        <w:rPr>
          <w:rFonts w:hint="cs"/>
          <w:rtl/>
        </w:rPr>
        <w:t xml:space="preserve">سوال کرده است. ذیل ترجمه ابوالخطاب در رجال کشی وارد شده است: </w:t>
      </w:r>
    </w:p>
    <w:p w:rsidR="00512F93" w:rsidRDefault="00512F93" w:rsidP="00D67F62">
      <w:pPr>
        <w:jc w:val="both"/>
        <w:rPr>
          <w:color w:val="008000"/>
          <w:rtl/>
        </w:rPr>
      </w:pPr>
      <w:r w:rsidRPr="00512F93">
        <w:rPr>
          <w:color w:val="008000"/>
          <w:rtl/>
        </w:rPr>
        <w:t>عن حنان بن سدير عن أبيه قال قلت لأبي عبد الله (ع) إن قوما يزعمون أنكم آلهة يتلون علينا بذلك قرآنا يا أيها الرسل كلوا من الطيبات و اعملوا صالح</w:t>
      </w:r>
      <w:r>
        <w:rPr>
          <w:color w:val="008000"/>
          <w:rtl/>
        </w:rPr>
        <w:t>ا إني بما تعملون عليم</w:t>
      </w:r>
      <w:r>
        <w:rPr>
          <w:rFonts w:hint="cs"/>
          <w:color w:val="008000"/>
          <w:rtl/>
        </w:rPr>
        <w:t>.</w:t>
      </w:r>
      <w:r w:rsidRPr="00512F93">
        <w:rPr>
          <w:color w:val="008000"/>
          <w:rtl/>
        </w:rPr>
        <w:t xml:space="preserve"> قال: يا سدير سمعي و بصري و شعري و بشري و لحمي و دمي من هؤلاء براء برأ الله منهم و رسوله ما هؤلاء على ديني و دين آبائي و الله لا يجمعني و إياهم يوم القيامة إلا و هو عليهم ساخط قال قلت فما أنتم جعلت فداك؟ قال خزان علم الله و تراجمة وحي الله و نحن قوم معصومون أمر الله بطاعتنا و نهى عن معصيتنا نحن الحجة البالغة على من دون السماء و فوق الأرض</w:t>
      </w:r>
      <w:r w:rsidR="009510F7" w:rsidRPr="00512F93">
        <w:rPr>
          <w:color w:val="008000"/>
          <w:rtl/>
        </w:rPr>
        <w:t xml:space="preserve"> </w:t>
      </w:r>
      <w:r w:rsidRPr="00512F93">
        <w:rPr>
          <w:color w:val="008000"/>
          <w:rtl/>
        </w:rPr>
        <w:t>‏</w:t>
      </w:r>
      <w:r>
        <w:rPr>
          <w:rStyle w:val="FootnoteReference"/>
          <w:color w:val="008000"/>
          <w:rtl/>
        </w:rPr>
        <w:footnoteReference w:id="22"/>
      </w:r>
    </w:p>
    <w:p w:rsidR="00512F93" w:rsidRDefault="00512F93" w:rsidP="00D67F62">
      <w:pPr>
        <w:jc w:val="both"/>
        <w:rPr>
          <w:rtl/>
        </w:rPr>
      </w:pPr>
      <w:r>
        <w:rPr>
          <w:rFonts w:hint="cs"/>
          <w:rtl/>
        </w:rPr>
        <w:t>امام</w:t>
      </w:r>
      <w:r w:rsidR="009510F7">
        <w:rPr>
          <w:rFonts w:hint="cs"/>
          <w:rtl/>
        </w:rPr>
        <w:t xml:space="preserve"> علیه السلام </w:t>
      </w:r>
      <w:r>
        <w:rPr>
          <w:rFonts w:hint="cs"/>
          <w:rtl/>
        </w:rPr>
        <w:t xml:space="preserve">می فرماید: علم الهی در نزد ماست و برای ترجمه وحی الهی باید به ما مراجعه کنید و ما معصوم نیز هستیم و اینگونه نیست که «قوم صالحون افترض الله بطاعتهم» باشیم. </w:t>
      </w:r>
    </w:p>
    <w:p w:rsidR="00512F93" w:rsidRDefault="00512F93" w:rsidP="00D67F62">
      <w:pPr>
        <w:jc w:val="both"/>
        <w:rPr>
          <w:rtl/>
        </w:rPr>
      </w:pPr>
      <w:r>
        <w:rPr>
          <w:rFonts w:hint="cs"/>
          <w:rtl/>
        </w:rPr>
        <w:t xml:space="preserve">این روایت، عبارت جالبی دارد که در سند آن محمد بن اورمه است که متهم به غلوّ در این حدّ شده است. سدیر نیز در سند واقع شده که متهم به تخلیط شده است. </w:t>
      </w:r>
    </w:p>
    <w:p w:rsidR="00512F93" w:rsidRPr="00512F93" w:rsidRDefault="00512F93" w:rsidP="00D67F62">
      <w:pPr>
        <w:jc w:val="both"/>
        <w:rPr>
          <w:rtl/>
        </w:rPr>
      </w:pPr>
      <w:r>
        <w:rPr>
          <w:rFonts w:hint="cs"/>
          <w:rtl/>
        </w:rPr>
        <w:t xml:space="preserve">خلاصه آنکه، در اعتبار و وثاقت سدیر صیرفی بحثی نیست. </w:t>
      </w:r>
    </w:p>
    <w:sectPr w:rsidR="00512F93" w:rsidRPr="00512F93"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9DD" w:rsidRDefault="004E19DD" w:rsidP="008B750B">
      <w:pPr>
        <w:spacing w:line="240" w:lineRule="auto"/>
      </w:pPr>
      <w:r>
        <w:separator/>
      </w:r>
    </w:p>
  </w:endnote>
  <w:endnote w:type="continuationSeparator" w:id="0">
    <w:p w:rsidR="004E19DD" w:rsidRDefault="004E19D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A12C4" w:rsidRPr="00FA12C4">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AA5C0B" w:rsidP="001B6799">
          <w:pPr>
            <w:pStyle w:val="Footer"/>
            <w:bidi w:val="0"/>
            <w:rPr>
              <w:color w:val="808080" w:themeColor="background1" w:themeShade="80"/>
              <w:rtl/>
            </w:rPr>
          </w:pPr>
          <w:bookmarkStart w:id="27" w:name="BokAdres"/>
          <w:bookmarkEnd w:id="27"/>
          <w:r>
            <w:rPr>
              <w:color w:val="808080" w:themeColor="background1" w:themeShade="80"/>
            </w:rPr>
            <w:t>F1js1_14010804-016_mk3_mfeb.ir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9DD" w:rsidRDefault="004E19DD" w:rsidP="008B750B">
      <w:pPr>
        <w:spacing w:line="240" w:lineRule="auto"/>
      </w:pPr>
      <w:r>
        <w:separator/>
      </w:r>
    </w:p>
  </w:footnote>
  <w:footnote w:type="continuationSeparator" w:id="0">
    <w:p w:rsidR="004E19DD" w:rsidRDefault="004E19DD" w:rsidP="008B750B">
      <w:pPr>
        <w:spacing w:line="240" w:lineRule="auto"/>
      </w:pPr>
      <w:r>
        <w:continuationSeparator/>
      </w:r>
    </w:p>
  </w:footnote>
  <w:footnote w:id="1">
    <w:p w:rsidR="00A74994" w:rsidRDefault="00A74994" w:rsidP="00A74994">
      <w:pPr>
        <w:pStyle w:val="FootnoteText"/>
        <w:rPr>
          <w:rtl/>
        </w:rPr>
      </w:pPr>
      <w:r w:rsidRPr="001B503E">
        <w:footnoteRef/>
      </w:r>
      <w:r w:rsidRPr="001B503E">
        <w:rPr>
          <w:rtl/>
        </w:rPr>
        <w:t xml:space="preserve"> </w:t>
      </w:r>
      <w:hyperlink r:id="rId1" w:history="1">
        <w:r w:rsidRPr="001B503E">
          <w:rPr>
            <w:rStyle w:val="Hyperlink"/>
            <w:rtl/>
          </w:rPr>
          <w:t>اخت</w:t>
        </w:r>
        <w:r w:rsidRPr="001B503E">
          <w:rPr>
            <w:rStyle w:val="Hyperlink"/>
            <w:rFonts w:hint="cs"/>
            <w:rtl/>
          </w:rPr>
          <w:t>ی</w:t>
        </w:r>
        <w:r w:rsidRPr="001B503E">
          <w:rPr>
            <w:rStyle w:val="Hyperlink"/>
            <w:rFonts w:hint="eastAsia"/>
            <w:rtl/>
          </w:rPr>
          <w:t>ار</w:t>
        </w:r>
        <w:r w:rsidRPr="001B503E">
          <w:rPr>
            <w:rStyle w:val="Hyperlink"/>
            <w:rtl/>
          </w:rPr>
          <w:t xml:space="preserve"> معرفة الرجال، ش</w:t>
        </w:r>
        <w:r w:rsidRPr="001B503E">
          <w:rPr>
            <w:rStyle w:val="Hyperlink"/>
            <w:rFonts w:hint="cs"/>
            <w:rtl/>
          </w:rPr>
          <w:t>ی</w:t>
        </w:r>
        <w:r w:rsidRPr="001B503E">
          <w:rPr>
            <w:rStyle w:val="Hyperlink"/>
            <w:rFonts w:hint="eastAsia"/>
            <w:rtl/>
          </w:rPr>
          <w:t>خ</w:t>
        </w:r>
        <w:r w:rsidRPr="001B503E">
          <w:rPr>
            <w:rStyle w:val="Hyperlink"/>
            <w:rtl/>
          </w:rPr>
          <w:t xml:space="preserve"> طوس</w:t>
        </w:r>
        <w:r w:rsidRPr="001B503E">
          <w:rPr>
            <w:rStyle w:val="Hyperlink"/>
            <w:rFonts w:hint="cs"/>
            <w:rtl/>
          </w:rPr>
          <w:t>ی</w:t>
        </w:r>
        <w:r w:rsidRPr="001B503E">
          <w:rPr>
            <w:rStyle w:val="Hyperlink"/>
            <w:rFonts w:hint="eastAsia"/>
            <w:rtl/>
          </w:rPr>
          <w:t>،</w:t>
        </w:r>
        <w:r w:rsidRPr="001B503E">
          <w:rPr>
            <w:rStyle w:val="Hyperlink"/>
            <w:rtl/>
          </w:rPr>
          <w:t xml:space="preserve"> ج، ص291</w:t>
        </w:r>
        <w:r w:rsidRPr="001B503E">
          <w:rPr>
            <w:rStyle w:val="Hyperlink"/>
          </w:rPr>
          <w:t>.</w:t>
        </w:r>
      </w:hyperlink>
    </w:p>
    <w:p w:rsidR="00A74994" w:rsidRPr="001B503E" w:rsidRDefault="00A74994" w:rsidP="00A74994">
      <w:pPr>
        <w:pStyle w:val="FootnoteText"/>
      </w:pPr>
      <w:r w:rsidRPr="00A74994">
        <w:rPr>
          <w:rtl/>
        </w:rPr>
        <w:t>عَنْ بَشِيرٍ الدَّهَّانِ، عَنْ أَبِي عَبْدِ اللَّهِ (ع) قَالَ كَتَبَ أَبُو عَبْدِ اللَّهِ (ع) إِلَى أَبِي الْخَطَّابِ: بَلَغَنِي أَنَّكَ تَزْعُمُ أَنْ الزِّنَا رَجُلٌ وَ أَنَّ الْخَمْرَ رَجُلٌ وَ أَنَّ الصَّلَاةَ رَجُلٌ وَ أَنَّ الصِّيَامَ رَجُلٌ وَ أَنَّ الْفَوَاحِشَ رَجُلٌ، وَ لَيْسَ هُوَ كَمَا تَقُولُ أَنَا أَصْلُ الْحَقِّ وَ فُرُوعُ الْحَقِّ طَاعَةُ اللَّهِ، وَ عَدُوُّنَا أَصْلُ الشَّرِّ وَ فُرُوعُهُمُ الْفَوَاحِشُ، وَ كَيْفَ يُطَاعُ مَنْ لَا يُعْرَفُ وَ كَيْفَ يُعْرَفُ مَنْ لَا يُطَاعُ.</w:t>
      </w:r>
    </w:p>
  </w:footnote>
  <w:footnote w:id="2">
    <w:p w:rsidR="00C7173A" w:rsidRPr="00C7173A" w:rsidRDefault="00C7173A" w:rsidP="00C7173A">
      <w:pPr>
        <w:pStyle w:val="FootnoteText"/>
      </w:pPr>
      <w:r w:rsidRPr="00C7173A">
        <w:footnoteRef/>
      </w:r>
      <w:r w:rsidRPr="00C7173A">
        <w:rPr>
          <w:rtl/>
        </w:rPr>
        <w:t xml:space="preserve"> </w:t>
      </w:r>
      <w:hyperlink r:id="rId2" w:history="1">
        <w:r w:rsidRPr="00C7173A">
          <w:rPr>
            <w:rStyle w:val="Hyperlink"/>
            <w:rtl/>
          </w:rPr>
          <w:t>اخت</w:t>
        </w:r>
        <w:r w:rsidRPr="00C7173A">
          <w:rPr>
            <w:rStyle w:val="Hyperlink"/>
            <w:rFonts w:hint="cs"/>
            <w:rtl/>
          </w:rPr>
          <w:t>ی</w:t>
        </w:r>
        <w:r w:rsidRPr="00C7173A">
          <w:rPr>
            <w:rStyle w:val="Hyperlink"/>
            <w:rFonts w:hint="eastAsia"/>
            <w:rtl/>
          </w:rPr>
          <w:t>ار</w:t>
        </w:r>
        <w:r w:rsidRPr="00C7173A">
          <w:rPr>
            <w:rStyle w:val="Hyperlink"/>
            <w:rtl/>
          </w:rPr>
          <w:t xml:space="preserve"> </w:t>
        </w:r>
        <w:r w:rsidRPr="00C7173A">
          <w:rPr>
            <w:rStyle w:val="Hyperlink"/>
            <w:rtl/>
          </w:rPr>
          <w:t>معرفة الرجال، ش</w:t>
        </w:r>
        <w:r w:rsidRPr="00C7173A">
          <w:rPr>
            <w:rStyle w:val="Hyperlink"/>
            <w:rFonts w:hint="cs"/>
            <w:rtl/>
          </w:rPr>
          <w:t>ی</w:t>
        </w:r>
        <w:r w:rsidRPr="00C7173A">
          <w:rPr>
            <w:rStyle w:val="Hyperlink"/>
            <w:rFonts w:hint="eastAsia"/>
            <w:rtl/>
          </w:rPr>
          <w:t>خ</w:t>
        </w:r>
        <w:r w:rsidRPr="00C7173A">
          <w:rPr>
            <w:rStyle w:val="Hyperlink"/>
            <w:rtl/>
          </w:rPr>
          <w:t xml:space="preserve"> طوس</w:t>
        </w:r>
        <w:r w:rsidRPr="00C7173A">
          <w:rPr>
            <w:rStyle w:val="Hyperlink"/>
            <w:rFonts w:hint="cs"/>
            <w:rtl/>
          </w:rPr>
          <w:t>ی</w:t>
        </w:r>
        <w:r w:rsidRPr="00C7173A">
          <w:rPr>
            <w:rStyle w:val="Hyperlink"/>
            <w:rFonts w:hint="eastAsia"/>
            <w:rtl/>
          </w:rPr>
          <w:t>،</w:t>
        </w:r>
        <w:r w:rsidRPr="00C7173A">
          <w:rPr>
            <w:rStyle w:val="Hyperlink"/>
            <w:rtl/>
          </w:rPr>
          <w:t xml:space="preserve"> ج، ص325</w:t>
        </w:r>
        <w:r w:rsidRPr="00C7173A">
          <w:rPr>
            <w:rStyle w:val="Hyperlink"/>
          </w:rPr>
          <w:t>.</w:t>
        </w:r>
      </w:hyperlink>
    </w:p>
  </w:footnote>
  <w:footnote w:id="3">
    <w:p w:rsidR="00917DC8" w:rsidRPr="00917DC8" w:rsidRDefault="00917DC8" w:rsidP="00917DC8">
      <w:pPr>
        <w:pStyle w:val="FootnoteText"/>
      </w:pPr>
      <w:r w:rsidRPr="00917DC8">
        <w:footnoteRef/>
      </w:r>
      <w:r w:rsidRPr="00917DC8">
        <w:rPr>
          <w:rtl/>
        </w:rPr>
        <w:t xml:space="preserve"> </w:t>
      </w:r>
      <w:r w:rsidRPr="00917DC8">
        <w:rPr>
          <w:rFonts w:hint="eastAsia"/>
          <w:rtl/>
        </w:rPr>
        <w:t>سوره</w:t>
      </w:r>
      <w:r w:rsidRPr="00917DC8">
        <w:rPr>
          <w:rtl/>
        </w:rPr>
        <w:t xml:space="preserve"> زخرف، آيه 84.</w:t>
      </w:r>
    </w:p>
  </w:footnote>
  <w:footnote w:id="4">
    <w:p w:rsidR="00DD268C" w:rsidRPr="00DD268C" w:rsidRDefault="00DD268C" w:rsidP="00DD268C">
      <w:pPr>
        <w:pStyle w:val="FootnoteText"/>
      </w:pPr>
      <w:r w:rsidRPr="00DD268C">
        <w:footnoteRef/>
      </w:r>
      <w:r w:rsidRPr="00DD268C">
        <w:rPr>
          <w:rtl/>
        </w:rPr>
        <w:t xml:space="preserve"> </w:t>
      </w:r>
      <w:hyperlink r:id="rId3" w:history="1">
        <w:r w:rsidRPr="00DD268C">
          <w:rPr>
            <w:rStyle w:val="Hyperlink"/>
            <w:rtl/>
          </w:rPr>
          <w:t>اخت</w:t>
        </w:r>
        <w:r w:rsidRPr="00DD268C">
          <w:rPr>
            <w:rStyle w:val="Hyperlink"/>
            <w:rFonts w:hint="cs"/>
            <w:rtl/>
          </w:rPr>
          <w:t>ی</w:t>
        </w:r>
        <w:r w:rsidRPr="00DD268C">
          <w:rPr>
            <w:rStyle w:val="Hyperlink"/>
            <w:rFonts w:hint="eastAsia"/>
            <w:rtl/>
          </w:rPr>
          <w:t>ار</w:t>
        </w:r>
        <w:r w:rsidRPr="00DD268C">
          <w:rPr>
            <w:rStyle w:val="Hyperlink"/>
            <w:rtl/>
          </w:rPr>
          <w:t xml:space="preserve"> </w:t>
        </w:r>
        <w:r w:rsidRPr="00DD268C">
          <w:rPr>
            <w:rStyle w:val="Hyperlink"/>
            <w:rtl/>
          </w:rPr>
          <w:t>معرفة الرجال، ش</w:t>
        </w:r>
        <w:r w:rsidRPr="00DD268C">
          <w:rPr>
            <w:rStyle w:val="Hyperlink"/>
            <w:rFonts w:hint="cs"/>
            <w:rtl/>
          </w:rPr>
          <w:t>ی</w:t>
        </w:r>
        <w:r w:rsidRPr="00DD268C">
          <w:rPr>
            <w:rStyle w:val="Hyperlink"/>
            <w:rFonts w:hint="eastAsia"/>
            <w:rtl/>
          </w:rPr>
          <w:t>خ</w:t>
        </w:r>
        <w:r w:rsidRPr="00DD268C">
          <w:rPr>
            <w:rStyle w:val="Hyperlink"/>
            <w:rtl/>
          </w:rPr>
          <w:t xml:space="preserve"> طوس</w:t>
        </w:r>
        <w:r w:rsidRPr="00DD268C">
          <w:rPr>
            <w:rStyle w:val="Hyperlink"/>
            <w:rFonts w:hint="cs"/>
            <w:rtl/>
          </w:rPr>
          <w:t>ی</w:t>
        </w:r>
        <w:r w:rsidRPr="00DD268C">
          <w:rPr>
            <w:rStyle w:val="Hyperlink"/>
            <w:rFonts w:hint="eastAsia"/>
            <w:rtl/>
          </w:rPr>
          <w:t>،</w:t>
        </w:r>
        <w:r w:rsidRPr="00DD268C">
          <w:rPr>
            <w:rStyle w:val="Hyperlink"/>
            <w:rtl/>
          </w:rPr>
          <w:t xml:space="preserve"> ج، ص512</w:t>
        </w:r>
        <w:r w:rsidRPr="00DD268C">
          <w:rPr>
            <w:rStyle w:val="Hyperlink"/>
          </w:rPr>
          <w:t>.</w:t>
        </w:r>
      </w:hyperlink>
    </w:p>
  </w:footnote>
  <w:footnote w:id="5">
    <w:p w:rsidR="007D1E45" w:rsidRDefault="007D1E45" w:rsidP="007D1E45">
      <w:pPr>
        <w:pStyle w:val="FootnoteText"/>
        <w:rPr>
          <w:rtl/>
        </w:rPr>
      </w:pPr>
      <w:r w:rsidRPr="007D1E45">
        <w:footnoteRef/>
      </w:r>
      <w:r w:rsidRPr="007D1E45">
        <w:rPr>
          <w:rtl/>
        </w:rPr>
        <w:t xml:space="preserve"> </w:t>
      </w:r>
      <w:hyperlink r:id="rId4" w:history="1">
        <w:r w:rsidRPr="007D1E45">
          <w:rPr>
            <w:rStyle w:val="Hyperlink"/>
            <w:rtl/>
          </w:rPr>
          <w:t>اخت</w:t>
        </w:r>
        <w:r w:rsidRPr="007D1E45">
          <w:rPr>
            <w:rStyle w:val="Hyperlink"/>
            <w:rFonts w:hint="cs"/>
            <w:rtl/>
          </w:rPr>
          <w:t>ی</w:t>
        </w:r>
        <w:r w:rsidRPr="007D1E45">
          <w:rPr>
            <w:rStyle w:val="Hyperlink"/>
            <w:rFonts w:hint="eastAsia"/>
            <w:rtl/>
          </w:rPr>
          <w:t>ار</w:t>
        </w:r>
        <w:r w:rsidRPr="007D1E45">
          <w:rPr>
            <w:rStyle w:val="Hyperlink"/>
            <w:rtl/>
          </w:rPr>
          <w:t xml:space="preserve"> معرفة الرجال، ش</w:t>
        </w:r>
        <w:r w:rsidRPr="007D1E45">
          <w:rPr>
            <w:rStyle w:val="Hyperlink"/>
            <w:rFonts w:hint="cs"/>
            <w:rtl/>
          </w:rPr>
          <w:t>ی</w:t>
        </w:r>
        <w:r w:rsidRPr="007D1E45">
          <w:rPr>
            <w:rStyle w:val="Hyperlink"/>
            <w:rFonts w:hint="eastAsia"/>
            <w:rtl/>
          </w:rPr>
          <w:t>خ</w:t>
        </w:r>
        <w:r w:rsidRPr="007D1E45">
          <w:rPr>
            <w:rStyle w:val="Hyperlink"/>
            <w:rtl/>
          </w:rPr>
          <w:t xml:space="preserve"> طوس</w:t>
        </w:r>
        <w:r w:rsidRPr="007D1E45">
          <w:rPr>
            <w:rStyle w:val="Hyperlink"/>
            <w:rFonts w:hint="cs"/>
            <w:rtl/>
          </w:rPr>
          <w:t>ی</w:t>
        </w:r>
        <w:r w:rsidRPr="007D1E45">
          <w:rPr>
            <w:rStyle w:val="Hyperlink"/>
            <w:rFonts w:hint="eastAsia"/>
            <w:rtl/>
          </w:rPr>
          <w:t>،</w:t>
        </w:r>
        <w:r w:rsidRPr="007D1E45">
          <w:rPr>
            <w:rStyle w:val="Hyperlink"/>
            <w:rtl/>
          </w:rPr>
          <w:t xml:space="preserve"> ج، ص524</w:t>
        </w:r>
        <w:r w:rsidRPr="007D1E45">
          <w:rPr>
            <w:rStyle w:val="Hyperlink"/>
          </w:rPr>
          <w:t>.</w:t>
        </w:r>
      </w:hyperlink>
    </w:p>
    <w:p w:rsidR="007D1E45" w:rsidRPr="007D1E45" w:rsidRDefault="007D1E45" w:rsidP="007D1E45">
      <w:pPr>
        <w:pStyle w:val="FootnoteText"/>
      </w:pPr>
      <w:r w:rsidRPr="007D1E45">
        <w:rPr>
          <w:rtl/>
        </w:rPr>
        <w:t>أَبَا الْحَسَنِ الْعَسْكَرِيَّ (ع) أَمَرَ بِقَتْلِ فَارِسِ بْنِ حَاتِمٍ الْقَزْوِينِيِّ وَ ضَمِنَ لِمَنْ قَتَلَهُ الْجَنَةَ، فَقَتَلَهُ جُنَيْدٌ، وَ كَانَ فَارِسٌ فَتَّاناً يَفْتِنُ النَّاسَ وَ يَدْعُو إِلَى الْبِدْعَةِ، فَخَرَجَ مِنْ أَبِي الْحَسَنِ (ع): هَذَا فَارِسٌ لَعَنَهُ اللَّهُ يَعْمَلُ مِنْ قِبَلِي فَتَّاناً دَاعِياً إِلَى الْبِدْعَةِ، وَ دَمُهُ هَدَرٌ لِكُلِّ مَنْ قَتَلَهُ، فَمَنْ هَذَا الَّذِي يُرِيحُنِي مِنْهُ وَ يَقْتُلُهُ! وَ أَنَا ضَامِنٌ لَهُ عَلَى اللَّهِ الْجَنَّةَ.</w:t>
      </w:r>
    </w:p>
  </w:footnote>
  <w:footnote w:id="6">
    <w:p w:rsidR="00997B67" w:rsidRPr="00997B67" w:rsidRDefault="00997B67" w:rsidP="00997B67">
      <w:pPr>
        <w:pStyle w:val="FootnoteText"/>
      </w:pPr>
      <w:r w:rsidRPr="00997B67">
        <w:footnoteRef/>
      </w:r>
      <w:r w:rsidRPr="00997B67">
        <w:rPr>
          <w:rtl/>
        </w:rPr>
        <w:t xml:space="preserve"> </w:t>
      </w:r>
      <w:hyperlink r:id="rId5" w:history="1">
        <w:r w:rsidRPr="00997B67">
          <w:rPr>
            <w:rStyle w:val="Hyperlink"/>
            <w:rtl/>
          </w:rPr>
          <w:t>تهذ</w:t>
        </w:r>
        <w:r w:rsidRPr="00997B67">
          <w:rPr>
            <w:rStyle w:val="Hyperlink"/>
            <w:rFonts w:hint="cs"/>
            <w:rtl/>
          </w:rPr>
          <w:t>ی</w:t>
        </w:r>
        <w:r w:rsidRPr="00997B67">
          <w:rPr>
            <w:rStyle w:val="Hyperlink"/>
            <w:rFonts w:hint="eastAsia"/>
            <w:rtl/>
          </w:rPr>
          <w:t>ب</w:t>
        </w:r>
        <w:r w:rsidRPr="00997B67">
          <w:rPr>
            <w:rStyle w:val="Hyperlink"/>
            <w:rtl/>
          </w:rPr>
          <w:t xml:space="preserve"> </w:t>
        </w:r>
        <w:r w:rsidRPr="00997B67">
          <w:rPr>
            <w:rStyle w:val="Hyperlink"/>
            <w:rtl/>
          </w:rPr>
          <w:t>الاحکام، ش</w:t>
        </w:r>
        <w:r w:rsidRPr="00997B67">
          <w:rPr>
            <w:rStyle w:val="Hyperlink"/>
            <w:rFonts w:hint="cs"/>
            <w:rtl/>
          </w:rPr>
          <w:t>ی</w:t>
        </w:r>
        <w:r w:rsidRPr="00997B67">
          <w:rPr>
            <w:rStyle w:val="Hyperlink"/>
            <w:rFonts w:hint="eastAsia"/>
            <w:rtl/>
          </w:rPr>
          <w:t>خ</w:t>
        </w:r>
        <w:r w:rsidRPr="00997B67">
          <w:rPr>
            <w:rStyle w:val="Hyperlink"/>
            <w:rtl/>
          </w:rPr>
          <w:t xml:space="preserve"> طوس</w:t>
        </w:r>
        <w:r w:rsidRPr="00997B67">
          <w:rPr>
            <w:rStyle w:val="Hyperlink"/>
            <w:rFonts w:hint="cs"/>
            <w:rtl/>
          </w:rPr>
          <w:t>ی</w:t>
        </w:r>
        <w:r w:rsidRPr="00997B67">
          <w:rPr>
            <w:rStyle w:val="Hyperlink"/>
            <w:rFonts w:hint="eastAsia"/>
            <w:rtl/>
          </w:rPr>
          <w:t>،</w:t>
        </w:r>
        <w:r w:rsidRPr="00997B67">
          <w:rPr>
            <w:rStyle w:val="Hyperlink"/>
            <w:rtl/>
          </w:rPr>
          <w:t xml:space="preserve"> ج2، ص28</w:t>
        </w:r>
        <w:r w:rsidRPr="00997B67">
          <w:rPr>
            <w:rStyle w:val="Hyperlink"/>
          </w:rPr>
          <w:t>.</w:t>
        </w:r>
      </w:hyperlink>
    </w:p>
  </w:footnote>
  <w:footnote w:id="7">
    <w:p w:rsidR="00997B67" w:rsidRPr="00997B67" w:rsidRDefault="00997B67" w:rsidP="00997B67">
      <w:pPr>
        <w:pStyle w:val="FootnoteText"/>
      </w:pPr>
      <w:r w:rsidRPr="00997B67">
        <w:footnoteRef/>
      </w:r>
      <w:r w:rsidRPr="00997B67">
        <w:rPr>
          <w:rtl/>
        </w:rPr>
        <w:t xml:space="preserve"> </w:t>
      </w:r>
      <w:hyperlink r:id="rId6" w:history="1">
        <w:r w:rsidRPr="00997B67">
          <w:rPr>
            <w:rStyle w:val="Hyperlink"/>
            <w:rtl/>
          </w:rPr>
          <w:t>تهذ</w:t>
        </w:r>
        <w:r w:rsidRPr="00997B67">
          <w:rPr>
            <w:rStyle w:val="Hyperlink"/>
            <w:rFonts w:hint="cs"/>
            <w:rtl/>
          </w:rPr>
          <w:t>ی</w:t>
        </w:r>
        <w:r w:rsidRPr="00997B67">
          <w:rPr>
            <w:rStyle w:val="Hyperlink"/>
            <w:rFonts w:hint="eastAsia"/>
            <w:rtl/>
          </w:rPr>
          <w:t>ب</w:t>
        </w:r>
        <w:r w:rsidRPr="00997B67">
          <w:rPr>
            <w:rStyle w:val="Hyperlink"/>
            <w:rtl/>
          </w:rPr>
          <w:t xml:space="preserve"> الاحکام، ش</w:t>
        </w:r>
        <w:r w:rsidRPr="00997B67">
          <w:rPr>
            <w:rStyle w:val="Hyperlink"/>
            <w:rFonts w:hint="cs"/>
            <w:rtl/>
          </w:rPr>
          <w:t>ی</w:t>
        </w:r>
        <w:r w:rsidRPr="00997B67">
          <w:rPr>
            <w:rStyle w:val="Hyperlink"/>
            <w:rFonts w:hint="eastAsia"/>
            <w:rtl/>
          </w:rPr>
          <w:t>خ</w:t>
        </w:r>
        <w:r w:rsidRPr="00997B67">
          <w:rPr>
            <w:rStyle w:val="Hyperlink"/>
            <w:rtl/>
          </w:rPr>
          <w:t xml:space="preserve"> طوس</w:t>
        </w:r>
        <w:r w:rsidRPr="00997B67">
          <w:rPr>
            <w:rStyle w:val="Hyperlink"/>
            <w:rFonts w:hint="cs"/>
            <w:rtl/>
          </w:rPr>
          <w:t>ی</w:t>
        </w:r>
        <w:r w:rsidRPr="00997B67">
          <w:rPr>
            <w:rStyle w:val="Hyperlink"/>
            <w:rFonts w:hint="eastAsia"/>
            <w:rtl/>
          </w:rPr>
          <w:t>،</w:t>
        </w:r>
        <w:r w:rsidRPr="00997B67">
          <w:rPr>
            <w:rStyle w:val="Hyperlink"/>
            <w:rtl/>
          </w:rPr>
          <w:t xml:space="preserve"> ج2، ص33</w:t>
        </w:r>
        <w:r w:rsidRPr="00997B67">
          <w:rPr>
            <w:rStyle w:val="Hyperlink"/>
          </w:rPr>
          <w:t>.</w:t>
        </w:r>
      </w:hyperlink>
    </w:p>
  </w:footnote>
  <w:footnote w:id="8">
    <w:p w:rsidR="004321A8" w:rsidRDefault="004321A8" w:rsidP="004321A8">
      <w:pPr>
        <w:pStyle w:val="FootnoteText"/>
        <w:rPr>
          <w:rtl/>
        </w:rPr>
      </w:pPr>
      <w:r w:rsidRPr="004321A8">
        <w:footnoteRef/>
      </w:r>
      <w:r w:rsidRPr="004321A8">
        <w:rPr>
          <w:rtl/>
        </w:rPr>
        <w:t xml:space="preserve"> </w:t>
      </w:r>
      <w:hyperlink r:id="rId7" w:history="1">
        <w:r w:rsidRPr="004321A8">
          <w:rPr>
            <w:rStyle w:val="Hyperlink"/>
            <w:rtl/>
          </w:rPr>
          <w:t>اخت</w:t>
        </w:r>
        <w:r w:rsidRPr="004321A8">
          <w:rPr>
            <w:rStyle w:val="Hyperlink"/>
            <w:rFonts w:hint="cs"/>
            <w:rtl/>
          </w:rPr>
          <w:t>ی</w:t>
        </w:r>
        <w:r w:rsidRPr="004321A8">
          <w:rPr>
            <w:rStyle w:val="Hyperlink"/>
            <w:rFonts w:hint="eastAsia"/>
            <w:rtl/>
          </w:rPr>
          <w:t>ار</w:t>
        </w:r>
        <w:r w:rsidRPr="004321A8">
          <w:rPr>
            <w:rStyle w:val="Hyperlink"/>
            <w:rtl/>
          </w:rPr>
          <w:t xml:space="preserve"> معرفة الرجال، ش</w:t>
        </w:r>
        <w:r w:rsidRPr="004321A8">
          <w:rPr>
            <w:rStyle w:val="Hyperlink"/>
            <w:rFonts w:hint="cs"/>
            <w:rtl/>
          </w:rPr>
          <w:t>ی</w:t>
        </w:r>
        <w:r w:rsidRPr="004321A8">
          <w:rPr>
            <w:rStyle w:val="Hyperlink"/>
            <w:rFonts w:hint="eastAsia"/>
            <w:rtl/>
          </w:rPr>
          <w:t>خ</w:t>
        </w:r>
        <w:r w:rsidRPr="004321A8">
          <w:rPr>
            <w:rStyle w:val="Hyperlink"/>
            <w:rtl/>
          </w:rPr>
          <w:t xml:space="preserve"> طوس</w:t>
        </w:r>
        <w:r w:rsidRPr="004321A8">
          <w:rPr>
            <w:rStyle w:val="Hyperlink"/>
            <w:rFonts w:hint="cs"/>
            <w:rtl/>
          </w:rPr>
          <w:t>ی</w:t>
        </w:r>
        <w:r w:rsidRPr="004321A8">
          <w:rPr>
            <w:rStyle w:val="Hyperlink"/>
            <w:rFonts w:hint="eastAsia"/>
            <w:rtl/>
          </w:rPr>
          <w:t>،</w:t>
        </w:r>
        <w:r w:rsidRPr="004321A8">
          <w:rPr>
            <w:rStyle w:val="Hyperlink"/>
            <w:rtl/>
          </w:rPr>
          <w:t xml:space="preserve"> ج، ص228</w:t>
        </w:r>
        <w:r w:rsidRPr="004321A8">
          <w:rPr>
            <w:rStyle w:val="Hyperlink"/>
          </w:rPr>
          <w:t>.</w:t>
        </w:r>
      </w:hyperlink>
    </w:p>
    <w:p w:rsidR="004321A8" w:rsidRDefault="004321A8" w:rsidP="004321A8">
      <w:pPr>
        <w:pStyle w:val="FootnoteText"/>
        <w:rPr>
          <w:rtl/>
        </w:rPr>
      </w:pPr>
      <w:r>
        <w:rPr>
          <w:rFonts w:hint="cs"/>
          <w:rtl/>
        </w:rPr>
        <w:t xml:space="preserve">مقرّر: این تعبیر در روایات وارد نشده است اما در رجال کشی تعبیری شبیه به این تعبیر آمده است: </w:t>
      </w:r>
    </w:p>
    <w:p w:rsidR="004321A8" w:rsidRPr="004321A8" w:rsidRDefault="004321A8" w:rsidP="004321A8">
      <w:pPr>
        <w:pStyle w:val="FootnoteText"/>
      </w:pPr>
      <w:r>
        <w:rPr>
          <w:rFonts w:hint="cs"/>
          <w:rtl/>
        </w:rPr>
        <w:t>»</w:t>
      </w:r>
      <w:r w:rsidRPr="004321A8">
        <w:rPr>
          <w:rtl/>
        </w:rPr>
        <w:t>حَتَّى يَرَوْا كَوْكَبَ كَذَا يُقَالُ لَهُ الْقُنْدَانِيُّ</w:t>
      </w:r>
      <w:r>
        <w:rPr>
          <w:rFonts w:hint="cs"/>
          <w:rtl/>
        </w:rPr>
        <w:t>»</w:t>
      </w:r>
    </w:p>
  </w:footnote>
  <w:footnote w:id="9">
    <w:p w:rsidR="00974C82" w:rsidRPr="00974C82" w:rsidRDefault="00974C82" w:rsidP="00974C82">
      <w:pPr>
        <w:pStyle w:val="FootnoteText"/>
      </w:pPr>
      <w:r w:rsidRPr="00974C82">
        <w:footnoteRef/>
      </w:r>
      <w:r w:rsidRPr="00974C82">
        <w:rPr>
          <w:rtl/>
        </w:rPr>
        <w:t xml:space="preserve"> </w:t>
      </w:r>
      <w:hyperlink r:id="rId8" w:history="1">
        <w:r w:rsidRPr="00974C82">
          <w:rPr>
            <w:rStyle w:val="Hyperlink"/>
            <w:rtl/>
          </w:rPr>
          <w:t>تهذ</w:t>
        </w:r>
        <w:r w:rsidRPr="00974C82">
          <w:rPr>
            <w:rStyle w:val="Hyperlink"/>
            <w:rFonts w:hint="cs"/>
            <w:rtl/>
          </w:rPr>
          <w:t>ی</w:t>
        </w:r>
        <w:r w:rsidRPr="00974C82">
          <w:rPr>
            <w:rStyle w:val="Hyperlink"/>
            <w:rFonts w:hint="eastAsia"/>
            <w:rtl/>
          </w:rPr>
          <w:t>ب</w:t>
        </w:r>
        <w:r w:rsidRPr="00974C82">
          <w:rPr>
            <w:rStyle w:val="Hyperlink"/>
            <w:rtl/>
          </w:rPr>
          <w:t xml:space="preserve"> الاحکام، ش</w:t>
        </w:r>
        <w:r w:rsidRPr="00974C82">
          <w:rPr>
            <w:rStyle w:val="Hyperlink"/>
            <w:rFonts w:hint="cs"/>
            <w:rtl/>
          </w:rPr>
          <w:t>ی</w:t>
        </w:r>
        <w:r w:rsidRPr="00974C82">
          <w:rPr>
            <w:rStyle w:val="Hyperlink"/>
            <w:rFonts w:hint="eastAsia"/>
            <w:rtl/>
          </w:rPr>
          <w:t>خ</w:t>
        </w:r>
        <w:r w:rsidRPr="00974C82">
          <w:rPr>
            <w:rStyle w:val="Hyperlink"/>
            <w:rtl/>
          </w:rPr>
          <w:t xml:space="preserve"> طوس</w:t>
        </w:r>
        <w:r w:rsidRPr="00974C82">
          <w:rPr>
            <w:rStyle w:val="Hyperlink"/>
            <w:rFonts w:hint="cs"/>
            <w:rtl/>
          </w:rPr>
          <w:t>ی</w:t>
        </w:r>
        <w:r w:rsidRPr="00974C82">
          <w:rPr>
            <w:rStyle w:val="Hyperlink"/>
            <w:rFonts w:hint="eastAsia"/>
            <w:rtl/>
          </w:rPr>
          <w:t>،</w:t>
        </w:r>
        <w:r w:rsidRPr="00974C82">
          <w:rPr>
            <w:rStyle w:val="Hyperlink"/>
            <w:rtl/>
          </w:rPr>
          <w:t xml:space="preserve"> ج2، ص28</w:t>
        </w:r>
        <w:r w:rsidRPr="00974C82">
          <w:rPr>
            <w:rStyle w:val="Hyperlink"/>
          </w:rPr>
          <w:t>.</w:t>
        </w:r>
      </w:hyperlink>
    </w:p>
  </w:footnote>
  <w:footnote w:id="10">
    <w:p w:rsidR="00C65B11" w:rsidRDefault="00C65B11" w:rsidP="00C65B11">
      <w:pPr>
        <w:pStyle w:val="FootnoteText"/>
        <w:rPr>
          <w:rtl/>
        </w:rPr>
      </w:pPr>
      <w:r>
        <w:rPr>
          <w:rStyle w:val="FootnoteReference"/>
        </w:rPr>
        <w:footnoteRef/>
      </w:r>
      <w:r>
        <w:rPr>
          <w:rtl/>
        </w:rPr>
        <w:t xml:space="preserve"> </w:t>
      </w:r>
      <w:r>
        <w:rPr>
          <w:rFonts w:hint="cs"/>
          <w:rtl/>
        </w:rPr>
        <w:t>سوال</w:t>
      </w:r>
      <w:r>
        <w:rPr>
          <w:rtl/>
        </w:rPr>
        <w:t xml:space="preserve">: </w:t>
      </w:r>
      <w:r>
        <w:rPr>
          <w:rFonts w:hint="cs"/>
          <w:rtl/>
        </w:rPr>
        <w:t>اگر</w:t>
      </w:r>
      <w:r>
        <w:rPr>
          <w:rtl/>
        </w:rPr>
        <w:t xml:space="preserve"> </w:t>
      </w:r>
      <w:r>
        <w:rPr>
          <w:rFonts w:hint="cs"/>
          <w:rtl/>
        </w:rPr>
        <w:t>تضعیف</w:t>
      </w:r>
      <w:r>
        <w:rPr>
          <w:rtl/>
        </w:rPr>
        <w:t xml:space="preserve"> </w:t>
      </w:r>
      <w:r>
        <w:rPr>
          <w:rFonts w:hint="cs"/>
          <w:rtl/>
        </w:rPr>
        <w:t>راوی</w:t>
      </w:r>
      <w:r>
        <w:rPr>
          <w:rtl/>
        </w:rPr>
        <w:t xml:space="preserve"> </w:t>
      </w:r>
      <w:r>
        <w:rPr>
          <w:rFonts w:hint="cs"/>
          <w:rtl/>
        </w:rPr>
        <w:t>را</w:t>
      </w:r>
      <w:r>
        <w:rPr>
          <w:rtl/>
        </w:rPr>
        <w:t xml:space="preserve"> </w:t>
      </w:r>
      <w:r>
        <w:rPr>
          <w:rFonts w:hint="cs"/>
          <w:rtl/>
        </w:rPr>
        <w:t>به</w:t>
      </w:r>
      <w:r>
        <w:rPr>
          <w:rtl/>
        </w:rPr>
        <w:t xml:space="preserve"> </w:t>
      </w:r>
      <w:r>
        <w:rPr>
          <w:rFonts w:hint="cs"/>
          <w:rtl/>
        </w:rPr>
        <w:t>علت</w:t>
      </w:r>
      <w:r>
        <w:rPr>
          <w:rtl/>
        </w:rPr>
        <w:t xml:space="preserve"> </w:t>
      </w:r>
      <w:r>
        <w:rPr>
          <w:rFonts w:hint="cs"/>
          <w:rtl/>
        </w:rPr>
        <w:t>اجتهادی</w:t>
      </w:r>
      <w:r>
        <w:rPr>
          <w:rtl/>
        </w:rPr>
        <w:t xml:space="preserve"> </w:t>
      </w:r>
      <w:r>
        <w:rPr>
          <w:rFonts w:hint="cs"/>
          <w:rtl/>
        </w:rPr>
        <w:t>بودن</w:t>
      </w:r>
      <w:r>
        <w:rPr>
          <w:rtl/>
        </w:rPr>
        <w:t xml:space="preserve"> </w:t>
      </w:r>
      <w:r>
        <w:rPr>
          <w:rFonts w:hint="cs"/>
          <w:rtl/>
        </w:rPr>
        <w:t>تضعیف،</w:t>
      </w:r>
      <w:r>
        <w:rPr>
          <w:rtl/>
        </w:rPr>
        <w:t xml:space="preserve"> </w:t>
      </w:r>
      <w:r>
        <w:rPr>
          <w:rFonts w:hint="cs"/>
          <w:rtl/>
        </w:rPr>
        <w:t>کنار</w:t>
      </w:r>
      <w:r>
        <w:rPr>
          <w:rtl/>
        </w:rPr>
        <w:t xml:space="preserve"> </w:t>
      </w:r>
      <w:r>
        <w:rPr>
          <w:rFonts w:hint="cs"/>
          <w:rtl/>
        </w:rPr>
        <w:t>گذاشتیم</w:t>
      </w:r>
      <w:r>
        <w:rPr>
          <w:rtl/>
        </w:rPr>
        <w:t xml:space="preserve"> </w:t>
      </w:r>
      <w:r>
        <w:rPr>
          <w:rFonts w:hint="cs"/>
          <w:rtl/>
        </w:rPr>
        <w:t>و</w:t>
      </w:r>
      <w:r>
        <w:rPr>
          <w:rtl/>
        </w:rPr>
        <w:t xml:space="preserve"> </w:t>
      </w:r>
      <w:r>
        <w:rPr>
          <w:rFonts w:hint="cs"/>
          <w:rtl/>
        </w:rPr>
        <w:t>از</w:t>
      </w:r>
      <w:r>
        <w:rPr>
          <w:rtl/>
        </w:rPr>
        <w:t xml:space="preserve"> </w:t>
      </w:r>
      <w:r>
        <w:rPr>
          <w:rFonts w:hint="cs"/>
          <w:rtl/>
        </w:rPr>
        <w:t>طرف</w:t>
      </w:r>
      <w:r>
        <w:rPr>
          <w:rtl/>
        </w:rPr>
        <w:t xml:space="preserve"> </w:t>
      </w:r>
      <w:r>
        <w:rPr>
          <w:rFonts w:hint="cs"/>
          <w:rtl/>
        </w:rPr>
        <w:t>مقابل</w:t>
      </w:r>
      <w:r>
        <w:rPr>
          <w:rtl/>
        </w:rPr>
        <w:t xml:space="preserve"> </w:t>
      </w:r>
      <w:r>
        <w:rPr>
          <w:rFonts w:hint="cs"/>
          <w:rtl/>
        </w:rPr>
        <w:t>او</w:t>
      </w:r>
      <w:r>
        <w:rPr>
          <w:rtl/>
        </w:rPr>
        <w:t xml:space="preserve"> </w:t>
      </w:r>
      <w:r>
        <w:rPr>
          <w:rFonts w:hint="cs"/>
          <w:rtl/>
        </w:rPr>
        <w:t>را</w:t>
      </w:r>
      <w:r>
        <w:rPr>
          <w:rtl/>
        </w:rPr>
        <w:t xml:space="preserve"> </w:t>
      </w:r>
      <w:r>
        <w:rPr>
          <w:rFonts w:hint="cs"/>
          <w:rtl/>
        </w:rPr>
        <w:t>با</w:t>
      </w:r>
      <w:r>
        <w:rPr>
          <w:rtl/>
        </w:rPr>
        <w:t xml:space="preserve"> </w:t>
      </w:r>
      <w:r>
        <w:rPr>
          <w:rFonts w:hint="cs"/>
          <w:rtl/>
        </w:rPr>
        <w:t>اکثار</w:t>
      </w:r>
      <w:r>
        <w:rPr>
          <w:rtl/>
        </w:rPr>
        <w:t xml:space="preserve"> </w:t>
      </w:r>
      <w:r>
        <w:rPr>
          <w:rFonts w:hint="cs"/>
          <w:rtl/>
        </w:rPr>
        <w:t>و</w:t>
      </w:r>
      <w:r>
        <w:rPr>
          <w:rtl/>
        </w:rPr>
        <w:t xml:space="preserve"> </w:t>
      </w:r>
      <w:r>
        <w:rPr>
          <w:rFonts w:hint="cs"/>
          <w:rtl/>
        </w:rPr>
        <w:t>مانند</w:t>
      </w:r>
      <w:r>
        <w:rPr>
          <w:rtl/>
        </w:rPr>
        <w:t xml:space="preserve"> </w:t>
      </w:r>
      <w:r>
        <w:rPr>
          <w:rFonts w:hint="cs"/>
          <w:rtl/>
        </w:rPr>
        <w:t>آن</w:t>
      </w:r>
      <w:r>
        <w:rPr>
          <w:rtl/>
        </w:rPr>
        <w:t xml:space="preserve"> </w:t>
      </w:r>
      <w:r>
        <w:rPr>
          <w:rFonts w:hint="cs"/>
          <w:rtl/>
        </w:rPr>
        <w:t>توثیق</w:t>
      </w:r>
      <w:r>
        <w:rPr>
          <w:rtl/>
        </w:rPr>
        <w:t xml:space="preserve"> </w:t>
      </w:r>
      <w:r>
        <w:rPr>
          <w:rFonts w:hint="cs"/>
          <w:rtl/>
        </w:rPr>
        <w:t>کردیم،</w:t>
      </w:r>
      <w:r>
        <w:rPr>
          <w:rtl/>
        </w:rPr>
        <w:t xml:space="preserve"> </w:t>
      </w:r>
      <w:r>
        <w:rPr>
          <w:rFonts w:hint="cs"/>
          <w:rtl/>
        </w:rPr>
        <w:t>آیا</w:t>
      </w:r>
      <w:r>
        <w:rPr>
          <w:rtl/>
        </w:rPr>
        <w:t xml:space="preserve"> </w:t>
      </w:r>
      <w:r>
        <w:rPr>
          <w:rFonts w:hint="cs"/>
          <w:rtl/>
        </w:rPr>
        <w:t>به</w:t>
      </w:r>
      <w:r>
        <w:rPr>
          <w:rtl/>
        </w:rPr>
        <w:t xml:space="preserve"> </w:t>
      </w:r>
      <w:r>
        <w:rPr>
          <w:rFonts w:hint="cs"/>
          <w:rtl/>
        </w:rPr>
        <w:t>منفردات</w:t>
      </w:r>
      <w:r>
        <w:rPr>
          <w:rtl/>
        </w:rPr>
        <w:t xml:space="preserve"> </w:t>
      </w:r>
      <w:r>
        <w:rPr>
          <w:rFonts w:hint="cs"/>
          <w:rtl/>
        </w:rPr>
        <w:t>اعتقادی</w:t>
      </w:r>
      <w:r>
        <w:rPr>
          <w:rtl/>
        </w:rPr>
        <w:t xml:space="preserve"> </w:t>
      </w:r>
      <w:r>
        <w:rPr>
          <w:rFonts w:hint="cs"/>
          <w:rtl/>
        </w:rPr>
        <w:t>راوی</w:t>
      </w:r>
      <w:r>
        <w:rPr>
          <w:rtl/>
        </w:rPr>
        <w:t xml:space="preserve"> </w:t>
      </w:r>
      <w:r>
        <w:rPr>
          <w:rFonts w:hint="cs"/>
          <w:rtl/>
        </w:rPr>
        <w:t>اخذ</w:t>
      </w:r>
      <w:r>
        <w:rPr>
          <w:rtl/>
        </w:rPr>
        <w:t xml:space="preserve"> </w:t>
      </w:r>
      <w:r>
        <w:rPr>
          <w:rFonts w:hint="cs"/>
          <w:rtl/>
        </w:rPr>
        <w:t>می</w:t>
      </w:r>
      <w:r>
        <w:rPr>
          <w:rtl/>
        </w:rPr>
        <w:t xml:space="preserve"> </w:t>
      </w:r>
      <w:r>
        <w:rPr>
          <w:rFonts w:hint="cs"/>
          <w:rtl/>
        </w:rPr>
        <w:t>شود؟</w:t>
      </w:r>
      <w:r>
        <w:rPr>
          <w:rtl/>
        </w:rPr>
        <w:t xml:space="preserve"> </w:t>
      </w:r>
    </w:p>
    <w:p w:rsidR="00C65B11" w:rsidRDefault="00C65B11" w:rsidP="00C65B11">
      <w:pPr>
        <w:pStyle w:val="FootnoteText"/>
      </w:pPr>
      <w:r>
        <w:rPr>
          <w:rFonts w:hint="cs"/>
          <w:rtl/>
        </w:rPr>
        <w:t>پاسخ</w:t>
      </w:r>
      <w:r>
        <w:rPr>
          <w:rtl/>
        </w:rPr>
        <w:t xml:space="preserve">: </w:t>
      </w:r>
      <w:r>
        <w:rPr>
          <w:rFonts w:hint="cs"/>
          <w:rtl/>
        </w:rPr>
        <w:t>بحث</w:t>
      </w:r>
      <w:r>
        <w:rPr>
          <w:rtl/>
        </w:rPr>
        <w:t xml:space="preserve"> </w:t>
      </w:r>
      <w:r>
        <w:rPr>
          <w:rFonts w:hint="cs"/>
          <w:rtl/>
        </w:rPr>
        <w:t>منفردات،</w:t>
      </w:r>
      <w:r>
        <w:rPr>
          <w:rtl/>
        </w:rPr>
        <w:t xml:space="preserve"> </w:t>
      </w:r>
      <w:r>
        <w:rPr>
          <w:rFonts w:hint="cs"/>
          <w:rtl/>
        </w:rPr>
        <w:t>اهمیت</w:t>
      </w:r>
      <w:r>
        <w:rPr>
          <w:rtl/>
        </w:rPr>
        <w:t xml:space="preserve"> </w:t>
      </w:r>
      <w:r>
        <w:rPr>
          <w:rFonts w:hint="cs"/>
          <w:rtl/>
        </w:rPr>
        <w:t>ندارد</w:t>
      </w:r>
      <w:r>
        <w:rPr>
          <w:rtl/>
        </w:rPr>
        <w:t xml:space="preserve"> </w:t>
      </w:r>
      <w:r>
        <w:rPr>
          <w:rFonts w:hint="cs"/>
          <w:rtl/>
        </w:rPr>
        <w:t>و</w:t>
      </w:r>
      <w:r>
        <w:rPr>
          <w:rtl/>
        </w:rPr>
        <w:t xml:space="preserve"> </w:t>
      </w:r>
      <w:r>
        <w:rPr>
          <w:rFonts w:hint="cs"/>
          <w:rtl/>
        </w:rPr>
        <w:t>وارد</w:t>
      </w:r>
      <w:r>
        <w:rPr>
          <w:rtl/>
        </w:rPr>
        <w:t xml:space="preserve"> </w:t>
      </w:r>
      <w:r>
        <w:rPr>
          <w:rFonts w:hint="cs"/>
          <w:rtl/>
        </w:rPr>
        <w:t>بحث</w:t>
      </w:r>
      <w:r>
        <w:rPr>
          <w:rtl/>
        </w:rPr>
        <w:t xml:space="preserve"> </w:t>
      </w:r>
      <w:r>
        <w:rPr>
          <w:rFonts w:hint="cs"/>
          <w:rtl/>
        </w:rPr>
        <w:t>از</w:t>
      </w:r>
      <w:r>
        <w:rPr>
          <w:rtl/>
        </w:rPr>
        <w:t xml:space="preserve"> </w:t>
      </w:r>
      <w:r>
        <w:rPr>
          <w:rFonts w:hint="cs"/>
          <w:rtl/>
        </w:rPr>
        <w:t>آن</w:t>
      </w:r>
      <w:r>
        <w:rPr>
          <w:rtl/>
        </w:rPr>
        <w:t xml:space="preserve"> </w:t>
      </w:r>
      <w:r>
        <w:rPr>
          <w:rFonts w:hint="cs"/>
          <w:rtl/>
        </w:rPr>
        <w:t>نمی</w:t>
      </w:r>
      <w:r>
        <w:rPr>
          <w:rtl/>
        </w:rPr>
        <w:t xml:space="preserve"> </w:t>
      </w:r>
      <w:r>
        <w:rPr>
          <w:rFonts w:hint="cs"/>
          <w:rtl/>
        </w:rPr>
        <w:t>شویم</w:t>
      </w:r>
      <w:r>
        <w:rPr>
          <w:rtl/>
        </w:rPr>
        <w:t>.</w:t>
      </w:r>
    </w:p>
  </w:footnote>
  <w:footnote w:id="11">
    <w:p w:rsidR="00F227ED" w:rsidRPr="00F227ED" w:rsidRDefault="00F227ED" w:rsidP="00F227ED">
      <w:pPr>
        <w:pStyle w:val="FootnoteText"/>
      </w:pPr>
      <w:r w:rsidRPr="00F227ED">
        <w:footnoteRef/>
      </w:r>
      <w:r w:rsidRPr="00F227ED">
        <w:rPr>
          <w:rtl/>
        </w:rPr>
        <w:t xml:space="preserve"> </w:t>
      </w:r>
      <w:hyperlink r:id="rId9" w:history="1">
        <w:r w:rsidRPr="00F227ED">
          <w:rPr>
            <w:rStyle w:val="Hyperlink"/>
            <w:rtl/>
          </w:rPr>
          <w:t>رجال النجاش</w:t>
        </w:r>
        <w:r w:rsidRPr="00F227ED">
          <w:rPr>
            <w:rStyle w:val="Hyperlink"/>
            <w:rFonts w:hint="cs"/>
            <w:rtl/>
          </w:rPr>
          <w:t>ی</w:t>
        </w:r>
        <w:r w:rsidRPr="00F227ED">
          <w:rPr>
            <w:rStyle w:val="Hyperlink"/>
            <w:rFonts w:hint="eastAsia"/>
            <w:rtl/>
          </w:rPr>
          <w:t>،</w:t>
        </w:r>
        <w:r w:rsidRPr="00F227ED">
          <w:rPr>
            <w:rStyle w:val="Hyperlink"/>
            <w:rtl/>
          </w:rPr>
          <w:t xml:space="preserve"> ش</w:t>
        </w:r>
        <w:r w:rsidRPr="00F227ED">
          <w:rPr>
            <w:rStyle w:val="Hyperlink"/>
            <w:rFonts w:hint="cs"/>
            <w:rtl/>
          </w:rPr>
          <w:t>ی</w:t>
        </w:r>
        <w:r w:rsidRPr="00F227ED">
          <w:rPr>
            <w:rStyle w:val="Hyperlink"/>
            <w:rFonts w:hint="eastAsia"/>
            <w:rtl/>
          </w:rPr>
          <w:t>خ</w:t>
        </w:r>
        <w:r w:rsidRPr="00F227ED">
          <w:rPr>
            <w:rStyle w:val="Hyperlink"/>
            <w:rtl/>
          </w:rPr>
          <w:t xml:space="preserve"> النجاش</w:t>
        </w:r>
        <w:r w:rsidRPr="00F227ED">
          <w:rPr>
            <w:rStyle w:val="Hyperlink"/>
            <w:rFonts w:hint="cs"/>
            <w:rtl/>
          </w:rPr>
          <w:t>ی</w:t>
        </w:r>
        <w:r w:rsidRPr="00F227ED">
          <w:rPr>
            <w:rStyle w:val="Hyperlink"/>
            <w:rFonts w:hint="eastAsia"/>
            <w:rtl/>
          </w:rPr>
          <w:t>،</w:t>
        </w:r>
        <w:r w:rsidRPr="00F227ED">
          <w:rPr>
            <w:rStyle w:val="Hyperlink"/>
            <w:rtl/>
          </w:rPr>
          <w:t xml:space="preserve"> ج، ص234</w:t>
        </w:r>
        <w:r w:rsidRPr="00F227ED">
          <w:rPr>
            <w:rStyle w:val="Hyperlink"/>
          </w:rPr>
          <w:t>.</w:t>
        </w:r>
      </w:hyperlink>
    </w:p>
  </w:footnote>
  <w:footnote w:id="12">
    <w:p w:rsidR="00F227ED" w:rsidRPr="00F227ED" w:rsidRDefault="00F227ED" w:rsidP="00F227ED">
      <w:pPr>
        <w:pStyle w:val="FootnoteText"/>
      </w:pPr>
      <w:r w:rsidRPr="00F227ED">
        <w:footnoteRef/>
      </w:r>
      <w:r w:rsidRPr="00F227ED">
        <w:rPr>
          <w:rtl/>
        </w:rPr>
        <w:t xml:space="preserve"> </w:t>
      </w:r>
      <w:hyperlink r:id="rId10" w:history="1">
        <w:r w:rsidRPr="00F227ED">
          <w:rPr>
            <w:rStyle w:val="Hyperlink"/>
            <w:rtl/>
          </w:rPr>
          <w:t>رجال النجاش</w:t>
        </w:r>
        <w:r w:rsidRPr="00F227ED">
          <w:rPr>
            <w:rStyle w:val="Hyperlink"/>
            <w:rFonts w:hint="cs"/>
            <w:rtl/>
          </w:rPr>
          <w:t>ی</w:t>
        </w:r>
        <w:r w:rsidRPr="00F227ED">
          <w:rPr>
            <w:rStyle w:val="Hyperlink"/>
            <w:rFonts w:hint="eastAsia"/>
            <w:rtl/>
          </w:rPr>
          <w:t>،</w:t>
        </w:r>
        <w:r w:rsidRPr="00F227ED">
          <w:rPr>
            <w:rStyle w:val="Hyperlink"/>
            <w:rtl/>
          </w:rPr>
          <w:t xml:space="preserve"> ش</w:t>
        </w:r>
        <w:r w:rsidRPr="00F227ED">
          <w:rPr>
            <w:rStyle w:val="Hyperlink"/>
            <w:rFonts w:hint="cs"/>
            <w:rtl/>
          </w:rPr>
          <w:t>ی</w:t>
        </w:r>
        <w:r w:rsidRPr="00F227ED">
          <w:rPr>
            <w:rStyle w:val="Hyperlink"/>
            <w:rFonts w:hint="eastAsia"/>
            <w:rtl/>
          </w:rPr>
          <w:t>خ</w:t>
        </w:r>
        <w:r w:rsidRPr="00F227ED">
          <w:rPr>
            <w:rStyle w:val="Hyperlink"/>
            <w:rtl/>
          </w:rPr>
          <w:t xml:space="preserve"> النجاش</w:t>
        </w:r>
        <w:r w:rsidRPr="00F227ED">
          <w:rPr>
            <w:rStyle w:val="Hyperlink"/>
            <w:rFonts w:hint="cs"/>
            <w:rtl/>
          </w:rPr>
          <w:t>ی</w:t>
        </w:r>
        <w:r w:rsidRPr="00F227ED">
          <w:rPr>
            <w:rStyle w:val="Hyperlink"/>
            <w:rFonts w:hint="eastAsia"/>
            <w:rtl/>
          </w:rPr>
          <w:t>،</w:t>
        </w:r>
        <w:r w:rsidRPr="00F227ED">
          <w:rPr>
            <w:rStyle w:val="Hyperlink"/>
            <w:rtl/>
          </w:rPr>
          <w:t xml:space="preserve"> ج، ص128</w:t>
        </w:r>
        <w:r w:rsidRPr="00F227ED">
          <w:rPr>
            <w:rStyle w:val="Hyperlink"/>
          </w:rPr>
          <w:t>.</w:t>
        </w:r>
      </w:hyperlink>
    </w:p>
  </w:footnote>
  <w:footnote w:id="13">
    <w:p w:rsidR="008B6DCA" w:rsidRPr="008B6DCA" w:rsidRDefault="008B6DCA" w:rsidP="008B6DCA">
      <w:pPr>
        <w:pStyle w:val="FootnoteText"/>
      </w:pPr>
      <w:r w:rsidRPr="008B6DCA">
        <w:footnoteRef/>
      </w:r>
      <w:r w:rsidRPr="008B6DCA">
        <w:rPr>
          <w:rtl/>
        </w:rPr>
        <w:t xml:space="preserve"> </w:t>
      </w:r>
      <w:hyperlink r:id="rId11" w:history="1">
        <w:r w:rsidRPr="008B6DCA">
          <w:rPr>
            <w:rStyle w:val="Hyperlink"/>
            <w:rtl/>
          </w:rPr>
          <w:t>رجال النجاش</w:t>
        </w:r>
        <w:r w:rsidRPr="008B6DCA">
          <w:rPr>
            <w:rStyle w:val="Hyperlink"/>
            <w:rFonts w:hint="cs"/>
            <w:rtl/>
          </w:rPr>
          <w:t>ی</w:t>
        </w:r>
        <w:r w:rsidRPr="008B6DCA">
          <w:rPr>
            <w:rStyle w:val="Hyperlink"/>
            <w:rFonts w:hint="eastAsia"/>
            <w:rtl/>
          </w:rPr>
          <w:t>،</w:t>
        </w:r>
        <w:r w:rsidRPr="008B6DCA">
          <w:rPr>
            <w:rStyle w:val="Hyperlink"/>
            <w:rtl/>
          </w:rPr>
          <w:t xml:space="preserve"> ش</w:t>
        </w:r>
        <w:r w:rsidRPr="008B6DCA">
          <w:rPr>
            <w:rStyle w:val="Hyperlink"/>
            <w:rFonts w:hint="cs"/>
            <w:rtl/>
          </w:rPr>
          <w:t>ی</w:t>
        </w:r>
        <w:r w:rsidRPr="008B6DCA">
          <w:rPr>
            <w:rStyle w:val="Hyperlink"/>
            <w:rFonts w:hint="eastAsia"/>
            <w:rtl/>
          </w:rPr>
          <w:t>خ</w:t>
        </w:r>
        <w:r w:rsidRPr="008B6DCA">
          <w:rPr>
            <w:rStyle w:val="Hyperlink"/>
            <w:rtl/>
          </w:rPr>
          <w:t xml:space="preserve"> النجاش</w:t>
        </w:r>
        <w:r w:rsidRPr="008B6DCA">
          <w:rPr>
            <w:rStyle w:val="Hyperlink"/>
            <w:rFonts w:hint="cs"/>
            <w:rtl/>
          </w:rPr>
          <w:t>ی</w:t>
        </w:r>
        <w:r w:rsidRPr="008B6DCA">
          <w:rPr>
            <w:rStyle w:val="Hyperlink"/>
            <w:rFonts w:hint="eastAsia"/>
            <w:rtl/>
          </w:rPr>
          <w:t>،</w:t>
        </w:r>
        <w:r w:rsidRPr="008B6DCA">
          <w:rPr>
            <w:rStyle w:val="Hyperlink"/>
            <w:rtl/>
          </w:rPr>
          <w:t xml:space="preserve"> ج، ص32</w:t>
        </w:r>
        <w:r w:rsidRPr="008B6DCA">
          <w:rPr>
            <w:rStyle w:val="Hyperlink"/>
          </w:rPr>
          <w:t>.</w:t>
        </w:r>
      </w:hyperlink>
    </w:p>
  </w:footnote>
  <w:footnote w:id="14">
    <w:p w:rsidR="00CE14A5" w:rsidRPr="00CE14A5" w:rsidRDefault="00CE14A5" w:rsidP="00CE14A5">
      <w:pPr>
        <w:pStyle w:val="FootnoteText"/>
      </w:pPr>
      <w:r w:rsidRPr="00CE14A5">
        <w:footnoteRef/>
      </w:r>
      <w:r w:rsidRPr="00CE14A5">
        <w:rPr>
          <w:rtl/>
        </w:rPr>
        <w:t xml:space="preserve"> </w:t>
      </w:r>
      <w:hyperlink r:id="rId12" w:history="1">
        <w:r w:rsidRPr="00CE14A5">
          <w:rPr>
            <w:rStyle w:val="Hyperlink"/>
            <w:rtl/>
          </w:rPr>
          <w:t>الفهرست، ش</w:t>
        </w:r>
        <w:r w:rsidRPr="00CE14A5">
          <w:rPr>
            <w:rStyle w:val="Hyperlink"/>
            <w:rFonts w:hint="cs"/>
            <w:rtl/>
          </w:rPr>
          <w:t>ی</w:t>
        </w:r>
        <w:r w:rsidRPr="00CE14A5">
          <w:rPr>
            <w:rStyle w:val="Hyperlink"/>
            <w:rFonts w:hint="eastAsia"/>
            <w:rtl/>
          </w:rPr>
          <w:t>خ</w:t>
        </w:r>
        <w:r w:rsidRPr="00CE14A5">
          <w:rPr>
            <w:rStyle w:val="Hyperlink"/>
            <w:rtl/>
          </w:rPr>
          <w:t xml:space="preserve"> طوس</w:t>
        </w:r>
        <w:r w:rsidRPr="00CE14A5">
          <w:rPr>
            <w:rStyle w:val="Hyperlink"/>
            <w:rFonts w:hint="cs"/>
            <w:rtl/>
          </w:rPr>
          <w:t>ی</w:t>
        </w:r>
        <w:r w:rsidRPr="00CE14A5">
          <w:rPr>
            <w:rStyle w:val="Hyperlink"/>
            <w:rFonts w:hint="eastAsia"/>
            <w:rtl/>
          </w:rPr>
          <w:t>،</w:t>
        </w:r>
        <w:r w:rsidRPr="00CE14A5">
          <w:rPr>
            <w:rStyle w:val="Hyperlink"/>
            <w:rtl/>
          </w:rPr>
          <w:t xml:space="preserve"> ج، ص32</w:t>
        </w:r>
        <w:r w:rsidRPr="00CE14A5">
          <w:rPr>
            <w:rStyle w:val="Hyperlink"/>
          </w:rPr>
          <w:t>.</w:t>
        </w:r>
      </w:hyperlink>
    </w:p>
  </w:footnote>
  <w:footnote w:id="15">
    <w:p w:rsidR="00CE14A5" w:rsidRDefault="00CE14A5">
      <w:pPr>
        <w:pStyle w:val="FootnoteText"/>
      </w:pPr>
      <w:r>
        <w:rPr>
          <w:rStyle w:val="FootnoteReference"/>
        </w:rPr>
        <w:footnoteRef/>
      </w:r>
      <w:r>
        <w:rPr>
          <w:rtl/>
        </w:rPr>
        <w:t xml:space="preserve"> </w:t>
      </w:r>
      <w:r>
        <w:rPr>
          <w:rFonts w:hint="cs"/>
          <w:rtl/>
        </w:rPr>
        <w:t xml:space="preserve">ابن الغضائری؛ ج 1، ص: 39 </w:t>
      </w:r>
    </w:p>
  </w:footnote>
  <w:footnote w:id="16">
    <w:p w:rsidR="00CE14A5" w:rsidRDefault="00CE14A5">
      <w:pPr>
        <w:pStyle w:val="FootnoteText"/>
      </w:pPr>
      <w:r>
        <w:rPr>
          <w:rStyle w:val="FootnoteReference"/>
        </w:rPr>
        <w:footnoteRef/>
      </w:r>
      <w:r>
        <w:rPr>
          <w:rtl/>
        </w:rPr>
        <w:t xml:space="preserve"> </w:t>
      </w:r>
      <w:r>
        <w:rPr>
          <w:rFonts w:hint="cs"/>
          <w:rtl/>
        </w:rPr>
        <w:t xml:space="preserve">ابن </w:t>
      </w:r>
      <w:r>
        <w:rPr>
          <w:rFonts w:hint="cs"/>
          <w:rtl/>
        </w:rPr>
        <w:t xml:space="preserve">الغضائری؛ ج 1، ص: 57 </w:t>
      </w:r>
    </w:p>
  </w:footnote>
  <w:footnote w:id="17">
    <w:p w:rsidR="00833387" w:rsidRDefault="00833387">
      <w:pPr>
        <w:pStyle w:val="FootnoteText"/>
      </w:pPr>
      <w:r>
        <w:rPr>
          <w:rStyle w:val="FootnoteReference"/>
        </w:rPr>
        <w:footnoteRef/>
      </w:r>
      <w:r>
        <w:rPr>
          <w:rtl/>
        </w:rPr>
        <w:t xml:space="preserve"> </w:t>
      </w:r>
      <w:r>
        <w:rPr>
          <w:rFonts w:hint="cs"/>
          <w:rtl/>
        </w:rPr>
        <w:t xml:space="preserve">خلاصه </w:t>
      </w:r>
      <w:r>
        <w:rPr>
          <w:rFonts w:hint="cs"/>
          <w:rtl/>
        </w:rPr>
        <w:t xml:space="preserve">الاقوال؛ ص: 219 </w:t>
      </w:r>
    </w:p>
  </w:footnote>
  <w:footnote w:id="18">
    <w:p w:rsidR="00BB70A6" w:rsidRPr="00BB70A6" w:rsidRDefault="00BB70A6" w:rsidP="00BB70A6">
      <w:pPr>
        <w:pStyle w:val="FootnoteText"/>
      </w:pPr>
      <w:r w:rsidRPr="00BB70A6">
        <w:footnoteRef/>
      </w:r>
      <w:r w:rsidRPr="00BB70A6">
        <w:rPr>
          <w:rtl/>
        </w:rPr>
        <w:t xml:space="preserve"> </w:t>
      </w:r>
      <w:hyperlink r:id="rId13" w:history="1">
        <w:r w:rsidRPr="00BB70A6">
          <w:rPr>
            <w:rStyle w:val="Hyperlink"/>
            <w:rtl/>
          </w:rPr>
          <w:t xml:space="preserve">رجال </w:t>
        </w:r>
        <w:r w:rsidRPr="00BB70A6">
          <w:rPr>
            <w:rStyle w:val="Hyperlink"/>
            <w:rtl/>
          </w:rPr>
          <w:t>النجاش</w:t>
        </w:r>
        <w:r w:rsidRPr="00BB70A6">
          <w:rPr>
            <w:rStyle w:val="Hyperlink"/>
            <w:rFonts w:hint="cs"/>
            <w:rtl/>
          </w:rPr>
          <w:t>ی</w:t>
        </w:r>
        <w:r w:rsidRPr="00BB70A6">
          <w:rPr>
            <w:rStyle w:val="Hyperlink"/>
            <w:rFonts w:hint="eastAsia"/>
            <w:rtl/>
          </w:rPr>
          <w:t>،</w:t>
        </w:r>
        <w:r w:rsidRPr="00BB70A6">
          <w:rPr>
            <w:rStyle w:val="Hyperlink"/>
            <w:rtl/>
          </w:rPr>
          <w:t xml:space="preserve"> ش</w:t>
        </w:r>
        <w:r w:rsidRPr="00BB70A6">
          <w:rPr>
            <w:rStyle w:val="Hyperlink"/>
            <w:rFonts w:hint="cs"/>
            <w:rtl/>
          </w:rPr>
          <w:t>ی</w:t>
        </w:r>
        <w:r w:rsidRPr="00BB70A6">
          <w:rPr>
            <w:rStyle w:val="Hyperlink"/>
            <w:rFonts w:hint="eastAsia"/>
            <w:rtl/>
          </w:rPr>
          <w:t>خ</w:t>
        </w:r>
        <w:r w:rsidRPr="00BB70A6">
          <w:rPr>
            <w:rStyle w:val="Hyperlink"/>
            <w:rtl/>
          </w:rPr>
          <w:t xml:space="preserve"> النجاش</w:t>
        </w:r>
        <w:r w:rsidRPr="00BB70A6">
          <w:rPr>
            <w:rStyle w:val="Hyperlink"/>
            <w:rFonts w:hint="cs"/>
            <w:rtl/>
          </w:rPr>
          <w:t>ی</w:t>
        </w:r>
        <w:r w:rsidRPr="00BB70A6">
          <w:rPr>
            <w:rStyle w:val="Hyperlink"/>
            <w:rFonts w:hint="eastAsia"/>
            <w:rtl/>
          </w:rPr>
          <w:t>،</w:t>
        </w:r>
        <w:r w:rsidRPr="00BB70A6">
          <w:rPr>
            <w:rStyle w:val="Hyperlink"/>
            <w:rtl/>
          </w:rPr>
          <w:t xml:space="preserve"> ج، ص198</w:t>
        </w:r>
        <w:r w:rsidRPr="00BB70A6">
          <w:rPr>
            <w:rStyle w:val="Hyperlink"/>
          </w:rPr>
          <w:t>.</w:t>
        </w:r>
      </w:hyperlink>
    </w:p>
  </w:footnote>
  <w:footnote w:id="19">
    <w:p w:rsidR="00AC6D01" w:rsidRPr="00AC6D01" w:rsidRDefault="00AC6D01" w:rsidP="00AC6D01">
      <w:pPr>
        <w:pStyle w:val="FootnoteText"/>
      </w:pPr>
      <w:r w:rsidRPr="00AC6D01">
        <w:footnoteRef/>
      </w:r>
      <w:r w:rsidRPr="00AC6D01">
        <w:rPr>
          <w:rtl/>
        </w:rPr>
        <w:t xml:space="preserve"> </w:t>
      </w:r>
      <w:hyperlink r:id="rId14" w:history="1">
        <w:r w:rsidRPr="00AC6D01">
          <w:rPr>
            <w:rStyle w:val="Hyperlink"/>
            <w:rtl/>
          </w:rPr>
          <w:t>رجال النجاش</w:t>
        </w:r>
        <w:r w:rsidRPr="00AC6D01">
          <w:rPr>
            <w:rStyle w:val="Hyperlink"/>
            <w:rFonts w:hint="cs"/>
            <w:rtl/>
          </w:rPr>
          <w:t>ی</w:t>
        </w:r>
        <w:r w:rsidRPr="00AC6D01">
          <w:rPr>
            <w:rStyle w:val="Hyperlink"/>
            <w:rFonts w:hint="eastAsia"/>
            <w:rtl/>
          </w:rPr>
          <w:t>،</w:t>
        </w:r>
        <w:r w:rsidRPr="00AC6D01">
          <w:rPr>
            <w:rStyle w:val="Hyperlink"/>
            <w:rtl/>
          </w:rPr>
          <w:t xml:space="preserve"> ش</w:t>
        </w:r>
        <w:r w:rsidRPr="00AC6D01">
          <w:rPr>
            <w:rStyle w:val="Hyperlink"/>
            <w:rFonts w:hint="cs"/>
            <w:rtl/>
          </w:rPr>
          <w:t>ی</w:t>
        </w:r>
        <w:r w:rsidRPr="00AC6D01">
          <w:rPr>
            <w:rStyle w:val="Hyperlink"/>
            <w:rFonts w:hint="eastAsia"/>
            <w:rtl/>
          </w:rPr>
          <w:t>خ</w:t>
        </w:r>
        <w:r w:rsidRPr="00AC6D01">
          <w:rPr>
            <w:rStyle w:val="Hyperlink"/>
            <w:rtl/>
          </w:rPr>
          <w:t xml:space="preserve"> النجاش</w:t>
        </w:r>
        <w:r w:rsidRPr="00AC6D01">
          <w:rPr>
            <w:rStyle w:val="Hyperlink"/>
            <w:rFonts w:hint="cs"/>
            <w:rtl/>
          </w:rPr>
          <w:t>ی</w:t>
        </w:r>
        <w:r w:rsidRPr="00AC6D01">
          <w:rPr>
            <w:rStyle w:val="Hyperlink"/>
            <w:rFonts w:hint="eastAsia"/>
            <w:rtl/>
          </w:rPr>
          <w:t>،</w:t>
        </w:r>
        <w:r w:rsidRPr="00AC6D01">
          <w:rPr>
            <w:rStyle w:val="Hyperlink"/>
            <w:rtl/>
          </w:rPr>
          <w:t xml:space="preserve"> ج، ص338</w:t>
        </w:r>
        <w:r w:rsidRPr="00AC6D01">
          <w:rPr>
            <w:rStyle w:val="Hyperlink"/>
          </w:rPr>
          <w:t>.</w:t>
        </w:r>
      </w:hyperlink>
    </w:p>
  </w:footnote>
  <w:footnote w:id="20">
    <w:p w:rsidR="00AC6D01" w:rsidRPr="00AC6D01" w:rsidRDefault="00AC6D01" w:rsidP="00AC6D01">
      <w:pPr>
        <w:pStyle w:val="FootnoteText"/>
      </w:pPr>
      <w:r w:rsidRPr="00AC6D01">
        <w:footnoteRef/>
      </w:r>
      <w:r w:rsidRPr="00AC6D01">
        <w:rPr>
          <w:rtl/>
        </w:rPr>
        <w:t xml:space="preserve"> </w:t>
      </w:r>
      <w:hyperlink r:id="rId15" w:history="1">
        <w:r w:rsidRPr="00AC6D01">
          <w:rPr>
            <w:rStyle w:val="Hyperlink"/>
            <w:rtl/>
          </w:rPr>
          <w:t>رجال النجاش</w:t>
        </w:r>
        <w:r w:rsidRPr="00AC6D01">
          <w:rPr>
            <w:rStyle w:val="Hyperlink"/>
            <w:rFonts w:hint="cs"/>
            <w:rtl/>
          </w:rPr>
          <w:t>ی</w:t>
        </w:r>
        <w:r w:rsidRPr="00AC6D01">
          <w:rPr>
            <w:rStyle w:val="Hyperlink"/>
            <w:rFonts w:hint="eastAsia"/>
            <w:rtl/>
          </w:rPr>
          <w:t>،</w:t>
        </w:r>
        <w:r w:rsidRPr="00AC6D01">
          <w:rPr>
            <w:rStyle w:val="Hyperlink"/>
            <w:rtl/>
          </w:rPr>
          <w:t xml:space="preserve"> ش</w:t>
        </w:r>
        <w:r w:rsidRPr="00AC6D01">
          <w:rPr>
            <w:rStyle w:val="Hyperlink"/>
            <w:rFonts w:hint="cs"/>
            <w:rtl/>
          </w:rPr>
          <w:t>ی</w:t>
        </w:r>
        <w:r w:rsidRPr="00AC6D01">
          <w:rPr>
            <w:rStyle w:val="Hyperlink"/>
            <w:rFonts w:hint="eastAsia"/>
            <w:rtl/>
          </w:rPr>
          <w:t>خ</w:t>
        </w:r>
        <w:r w:rsidRPr="00AC6D01">
          <w:rPr>
            <w:rStyle w:val="Hyperlink"/>
            <w:rtl/>
          </w:rPr>
          <w:t xml:space="preserve"> النجاش</w:t>
        </w:r>
        <w:r w:rsidRPr="00AC6D01">
          <w:rPr>
            <w:rStyle w:val="Hyperlink"/>
            <w:rFonts w:hint="cs"/>
            <w:rtl/>
          </w:rPr>
          <w:t>ی</w:t>
        </w:r>
        <w:r w:rsidRPr="00AC6D01">
          <w:rPr>
            <w:rStyle w:val="Hyperlink"/>
            <w:rFonts w:hint="eastAsia"/>
            <w:rtl/>
          </w:rPr>
          <w:t>،</w:t>
        </w:r>
        <w:r w:rsidRPr="00AC6D01">
          <w:rPr>
            <w:rStyle w:val="Hyperlink"/>
            <w:rtl/>
          </w:rPr>
          <w:t xml:space="preserve"> ج، ص236</w:t>
        </w:r>
        <w:r w:rsidRPr="00AC6D01">
          <w:rPr>
            <w:rStyle w:val="Hyperlink"/>
          </w:rPr>
          <w:t>.</w:t>
        </w:r>
      </w:hyperlink>
    </w:p>
  </w:footnote>
  <w:footnote w:id="21">
    <w:p w:rsidR="006D0FD9" w:rsidRDefault="006D0FD9">
      <w:pPr>
        <w:pStyle w:val="FootnoteText"/>
      </w:pPr>
      <w:r>
        <w:rPr>
          <w:rStyle w:val="FootnoteReference"/>
        </w:rPr>
        <w:footnoteRef/>
      </w:r>
      <w:r>
        <w:rPr>
          <w:rtl/>
        </w:rPr>
        <w:t xml:space="preserve"> </w:t>
      </w:r>
      <w:r>
        <w:rPr>
          <w:rFonts w:hint="cs"/>
          <w:rtl/>
        </w:rPr>
        <w:t xml:space="preserve">ابن الغضائری؛ ج 1، ص: 50 </w:t>
      </w:r>
    </w:p>
  </w:footnote>
  <w:footnote w:id="22">
    <w:p w:rsidR="00512F93" w:rsidRPr="00512F93" w:rsidRDefault="00512F93" w:rsidP="00512F93">
      <w:pPr>
        <w:pStyle w:val="FootnoteText"/>
      </w:pPr>
      <w:r w:rsidRPr="00512F93">
        <w:footnoteRef/>
      </w:r>
      <w:r w:rsidRPr="00512F93">
        <w:rPr>
          <w:rtl/>
        </w:rPr>
        <w:t xml:space="preserve"> </w:t>
      </w:r>
      <w:hyperlink r:id="rId16" w:history="1">
        <w:r w:rsidRPr="00512F93">
          <w:rPr>
            <w:rStyle w:val="Hyperlink"/>
            <w:rtl/>
          </w:rPr>
          <w:t>اخت</w:t>
        </w:r>
        <w:r w:rsidRPr="00512F93">
          <w:rPr>
            <w:rStyle w:val="Hyperlink"/>
            <w:rFonts w:hint="cs"/>
            <w:rtl/>
          </w:rPr>
          <w:t>ی</w:t>
        </w:r>
        <w:r w:rsidRPr="00512F93">
          <w:rPr>
            <w:rStyle w:val="Hyperlink"/>
            <w:rFonts w:hint="eastAsia"/>
            <w:rtl/>
          </w:rPr>
          <w:t>ار</w:t>
        </w:r>
        <w:r w:rsidRPr="00512F93">
          <w:rPr>
            <w:rStyle w:val="Hyperlink"/>
            <w:rtl/>
          </w:rPr>
          <w:t xml:space="preserve"> </w:t>
        </w:r>
        <w:r w:rsidRPr="00512F93">
          <w:rPr>
            <w:rStyle w:val="Hyperlink"/>
            <w:rtl/>
          </w:rPr>
          <w:t>معرفة الرجال، ش</w:t>
        </w:r>
        <w:r w:rsidRPr="00512F93">
          <w:rPr>
            <w:rStyle w:val="Hyperlink"/>
            <w:rFonts w:hint="cs"/>
            <w:rtl/>
          </w:rPr>
          <w:t>ی</w:t>
        </w:r>
        <w:r w:rsidRPr="00512F93">
          <w:rPr>
            <w:rStyle w:val="Hyperlink"/>
            <w:rFonts w:hint="eastAsia"/>
            <w:rtl/>
          </w:rPr>
          <w:t>خ</w:t>
        </w:r>
        <w:r w:rsidRPr="00512F93">
          <w:rPr>
            <w:rStyle w:val="Hyperlink"/>
            <w:rtl/>
          </w:rPr>
          <w:t xml:space="preserve"> طوس</w:t>
        </w:r>
        <w:r w:rsidRPr="00512F93">
          <w:rPr>
            <w:rStyle w:val="Hyperlink"/>
            <w:rFonts w:hint="cs"/>
            <w:rtl/>
          </w:rPr>
          <w:t>ی</w:t>
        </w:r>
        <w:r w:rsidRPr="00512F93">
          <w:rPr>
            <w:rStyle w:val="Hyperlink"/>
            <w:rFonts w:hint="eastAsia"/>
            <w:rtl/>
          </w:rPr>
          <w:t>،</w:t>
        </w:r>
        <w:r w:rsidRPr="00512F93">
          <w:rPr>
            <w:rStyle w:val="Hyperlink"/>
            <w:rtl/>
          </w:rPr>
          <w:t xml:space="preserve"> ج1، ص306</w:t>
        </w:r>
        <w:r w:rsidRPr="00512F93">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0" w:name="BokNum"/>
    <w:bookmarkEnd w:id="20"/>
    <w:r w:rsidR="00AA5C0B">
      <w:rPr>
        <w:b/>
        <w:bCs/>
        <w:sz w:val="20"/>
        <w:szCs w:val="24"/>
        <w:rtl/>
      </w:rPr>
      <w:t>016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1" w:name="Bokdars"/>
    <w:bookmarkEnd w:id="21"/>
    <w:r w:rsidR="00AA5C0B">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2" w:name="Bokostad"/>
    <w:bookmarkEnd w:id="22"/>
    <w:r w:rsidR="00AA5C0B">
      <w:rPr>
        <w:b/>
        <w:bCs/>
        <w:color w:val="632423" w:themeColor="accent2" w:themeShade="80"/>
        <w:sz w:val="20"/>
        <w:szCs w:val="24"/>
        <w:rtl/>
      </w:rPr>
      <w:t>س</w:t>
    </w:r>
    <w:r w:rsidR="00AA5C0B">
      <w:rPr>
        <w:rFonts w:hint="cs"/>
        <w:b/>
        <w:bCs/>
        <w:color w:val="632423" w:themeColor="accent2" w:themeShade="80"/>
        <w:sz w:val="20"/>
        <w:szCs w:val="24"/>
        <w:rtl/>
      </w:rPr>
      <w:t>ی</w:t>
    </w:r>
    <w:r w:rsidR="00AA5C0B">
      <w:rPr>
        <w:rFonts w:hint="eastAsia"/>
        <w:b/>
        <w:bCs/>
        <w:color w:val="632423" w:themeColor="accent2" w:themeShade="80"/>
        <w:sz w:val="20"/>
        <w:szCs w:val="24"/>
        <w:rtl/>
      </w:rPr>
      <w:t>د</w:t>
    </w:r>
    <w:r w:rsidR="00AA5C0B">
      <w:rPr>
        <w:b/>
        <w:bCs/>
        <w:color w:val="632423" w:themeColor="accent2" w:themeShade="80"/>
        <w:sz w:val="20"/>
        <w:szCs w:val="24"/>
        <w:rtl/>
      </w:rPr>
      <w:t xml:space="preserve"> محمد جواد شب</w:t>
    </w:r>
    <w:r w:rsidR="00AA5C0B">
      <w:rPr>
        <w:rFonts w:hint="cs"/>
        <w:b/>
        <w:bCs/>
        <w:color w:val="632423" w:themeColor="accent2" w:themeShade="80"/>
        <w:sz w:val="20"/>
        <w:szCs w:val="24"/>
        <w:rtl/>
      </w:rPr>
      <w:t>ی</w:t>
    </w:r>
    <w:r w:rsidR="00AA5C0B">
      <w:rPr>
        <w:rFonts w:hint="eastAsia"/>
        <w:b/>
        <w:bCs/>
        <w:color w:val="632423" w:themeColor="accent2" w:themeShade="80"/>
        <w:sz w:val="20"/>
        <w:szCs w:val="24"/>
        <w:rtl/>
      </w:rPr>
      <w:t>ر</w:t>
    </w:r>
    <w:r w:rsidR="00AA5C0B">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3" w:name="BokTarikh"/>
    <w:bookmarkEnd w:id="23"/>
    <w:r w:rsidR="00AA5C0B">
      <w:rPr>
        <w:sz w:val="24"/>
        <w:szCs w:val="24"/>
        <w:rtl/>
      </w:rPr>
      <w:t>4 /8 /1401</w:t>
    </w:r>
  </w:p>
  <w:p w:rsidR="00FA3B17" w:rsidRPr="00F16B53" w:rsidRDefault="00935A55" w:rsidP="00BB29F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4" w:name="BokSabj"/>
    <w:bookmarkEnd w:id="24"/>
    <w:r w:rsidR="00AA5C0B">
      <w:rPr>
        <w:color w:val="000000" w:themeColor="text1"/>
        <w:sz w:val="24"/>
        <w:szCs w:val="24"/>
        <w:rtl/>
      </w:rPr>
      <w:t>شرا</w:t>
    </w:r>
    <w:r w:rsidR="00AA5C0B">
      <w:rPr>
        <w:rFonts w:hint="cs"/>
        <w:color w:val="000000" w:themeColor="text1"/>
        <w:sz w:val="24"/>
        <w:szCs w:val="24"/>
        <w:rtl/>
      </w:rPr>
      <w:t>ی</w:t>
    </w:r>
    <w:r w:rsidR="00AA5C0B">
      <w:rPr>
        <w:rFonts w:hint="eastAsia"/>
        <w:color w:val="000000" w:themeColor="text1"/>
        <w:sz w:val="24"/>
        <w:szCs w:val="24"/>
        <w:rtl/>
      </w:rPr>
      <w:t>ط</w:t>
    </w:r>
    <w:r w:rsidR="00AA5C0B">
      <w:rPr>
        <w:color w:val="000000" w:themeColor="text1"/>
        <w:sz w:val="24"/>
        <w:szCs w:val="24"/>
        <w:rtl/>
      </w:rPr>
      <w:t xml:space="preserve"> مال زکو</w:t>
    </w:r>
    <w:r w:rsidR="00AA5C0B">
      <w:rPr>
        <w:rFonts w:hint="cs"/>
        <w:color w:val="000000" w:themeColor="text1"/>
        <w:sz w:val="24"/>
        <w:szCs w:val="24"/>
        <w:rtl/>
      </w:rPr>
      <w:t>ی</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5" w:name="Bokmoqarer"/>
    <w:bookmarkEnd w:id="25"/>
    <w:r w:rsidR="00BB29F1">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6" w:name="BokSabj2"/>
    <w:bookmarkEnd w:id="26"/>
    <w:r w:rsidR="00AA5C0B">
      <w:rPr>
        <w:sz w:val="24"/>
        <w:szCs w:val="24"/>
        <w:rtl/>
      </w:rPr>
      <w:t xml:space="preserve">تمکن از تصرف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C47E3F"/>
    <w:multiLevelType w:val="hybridMultilevel"/>
    <w:tmpl w:val="3B5A5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B90115"/>
    <w:multiLevelType w:val="hybridMultilevel"/>
    <w:tmpl w:val="4E3CDD24"/>
    <w:lvl w:ilvl="0" w:tplc="3E18AE8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2621CE"/>
    <w:multiLevelType w:val="hybridMultilevel"/>
    <w:tmpl w:val="5C1C12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9A3D83"/>
    <w:multiLevelType w:val="hybridMultilevel"/>
    <w:tmpl w:val="F17CE81C"/>
    <w:lvl w:ilvl="0" w:tplc="3E18AE8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4"/>
  </w:num>
  <w:num w:numId="13">
    <w:abstractNumId w:val="18"/>
  </w:num>
  <w:num w:numId="14">
    <w:abstractNumId w:val="15"/>
  </w:num>
  <w:num w:numId="15">
    <w:abstractNumId w:val="16"/>
  </w:num>
  <w:num w:numId="16">
    <w:abstractNumId w:val="11"/>
  </w:num>
  <w:num w:numId="17">
    <w:abstractNumId w:val="12"/>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3139"/>
    <w:rsid w:val="001B503E"/>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26A3"/>
    <w:rsid w:val="00307311"/>
    <w:rsid w:val="0032100F"/>
    <w:rsid w:val="0033402C"/>
    <w:rsid w:val="00340521"/>
    <w:rsid w:val="00345017"/>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03968"/>
    <w:rsid w:val="00407B78"/>
    <w:rsid w:val="00422585"/>
    <w:rsid w:val="00425015"/>
    <w:rsid w:val="00430994"/>
    <w:rsid w:val="00431864"/>
    <w:rsid w:val="004321A8"/>
    <w:rsid w:val="00441B6D"/>
    <w:rsid w:val="004556EF"/>
    <w:rsid w:val="00462B07"/>
    <w:rsid w:val="00465BD2"/>
    <w:rsid w:val="004715C8"/>
    <w:rsid w:val="00481C31"/>
    <w:rsid w:val="00482FC1"/>
    <w:rsid w:val="00483027"/>
    <w:rsid w:val="00486E03"/>
    <w:rsid w:val="004871AA"/>
    <w:rsid w:val="004918D7"/>
    <w:rsid w:val="004926E1"/>
    <w:rsid w:val="004A2FEA"/>
    <w:rsid w:val="004A376F"/>
    <w:rsid w:val="004C00C1"/>
    <w:rsid w:val="004C65FA"/>
    <w:rsid w:val="004D2DD7"/>
    <w:rsid w:val="004D75C5"/>
    <w:rsid w:val="004E19DD"/>
    <w:rsid w:val="004E2186"/>
    <w:rsid w:val="004E66FB"/>
    <w:rsid w:val="004F470A"/>
    <w:rsid w:val="004F4C59"/>
    <w:rsid w:val="00500C8F"/>
    <w:rsid w:val="00501909"/>
    <w:rsid w:val="00507BBB"/>
    <w:rsid w:val="005128DF"/>
    <w:rsid w:val="00512F93"/>
    <w:rsid w:val="0051592A"/>
    <w:rsid w:val="005206FE"/>
    <w:rsid w:val="005257ED"/>
    <w:rsid w:val="005306F8"/>
    <w:rsid w:val="0054023D"/>
    <w:rsid w:val="005426BF"/>
    <w:rsid w:val="0056213C"/>
    <w:rsid w:val="00580C24"/>
    <w:rsid w:val="00594BB7"/>
    <w:rsid w:val="005968EF"/>
    <w:rsid w:val="00596C1E"/>
    <w:rsid w:val="005A2E26"/>
    <w:rsid w:val="005B7BCA"/>
    <w:rsid w:val="005C0DAE"/>
    <w:rsid w:val="005C188E"/>
    <w:rsid w:val="005D2349"/>
    <w:rsid w:val="005D2EA3"/>
    <w:rsid w:val="005E1B60"/>
    <w:rsid w:val="005E5507"/>
    <w:rsid w:val="005E607B"/>
    <w:rsid w:val="005F0A8D"/>
    <w:rsid w:val="00601229"/>
    <w:rsid w:val="00603B67"/>
    <w:rsid w:val="006162A2"/>
    <w:rsid w:val="006240DA"/>
    <w:rsid w:val="006309E7"/>
    <w:rsid w:val="0063256E"/>
    <w:rsid w:val="00633F04"/>
    <w:rsid w:val="00635219"/>
    <w:rsid w:val="00635EC0"/>
    <w:rsid w:val="006408EE"/>
    <w:rsid w:val="00640B58"/>
    <w:rsid w:val="00651B02"/>
    <w:rsid w:val="00651B19"/>
    <w:rsid w:val="00660A29"/>
    <w:rsid w:val="006719CD"/>
    <w:rsid w:val="006818CE"/>
    <w:rsid w:val="00695519"/>
    <w:rsid w:val="006A4134"/>
    <w:rsid w:val="006A4749"/>
    <w:rsid w:val="006A5DDA"/>
    <w:rsid w:val="006A6701"/>
    <w:rsid w:val="006B21F4"/>
    <w:rsid w:val="006B3753"/>
    <w:rsid w:val="006B7AD6"/>
    <w:rsid w:val="006C50FD"/>
    <w:rsid w:val="006D0FD9"/>
    <w:rsid w:val="006D1DD4"/>
    <w:rsid w:val="006D4014"/>
    <w:rsid w:val="006D44C1"/>
    <w:rsid w:val="006E07D6"/>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1E45"/>
    <w:rsid w:val="007D6C53"/>
    <w:rsid w:val="007E1564"/>
    <w:rsid w:val="007E1E87"/>
    <w:rsid w:val="007E5B3F"/>
    <w:rsid w:val="007F2257"/>
    <w:rsid w:val="0080091D"/>
    <w:rsid w:val="00804108"/>
    <w:rsid w:val="00804FC4"/>
    <w:rsid w:val="00816367"/>
    <w:rsid w:val="00816A0B"/>
    <w:rsid w:val="00824B22"/>
    <w:rsid w:val="00830C53"/>
    <w:rsid w:val="00833387"/>
    <w:rsid w:val="00837FAA"/>
    <w:rsid w:val="00841F77"/>
    <w:rsid w:val="0085276D"/>
    <w:rsid w:val="00863390"/>
    <w:rsid w:val="0086385C"/>
    <w:rsid w:val="00871916"/>
    <w:rsid w:val="00894F8E"/>
    <w:rsid w:val="008956DD"/>
    <w:rsid w:val="008A04E7"/>
    <w:rsid w:val="008A510E"/>
    <w:rsid w:val="008A522A"/>
    <w:rsid w:val="008B4464"/>
    <w:rsid w:val="008B6DCA"/>
    <w:rsid w:val="008B750B"/>
    <w:rsid w:val="008C3162"/>
    <w:rsid w:val="008C6094"/>
    <w:rsid w:val="008D1F14"/>
    <w:rsid w:val="008D67A3"/>
    <w:rsid w:val="008E3924"/>
    <w:rsid w:val="008F13F7"/>
    <w:rsid w:val="008F5B4D"/>
    <w:rsid w:val="00907425"/>
    <w:rsid w:val="00917DC8"/>
    <w:rsid w:val="00923C34"/>
    <w:rsid w:val="00924152"/>
    <w:rsid w:val="0092513D"/>
    <w:rsid w:val="00927A9F"/>
    <w:rsid w:val="009335CC"/>
    <w:rsid w:val="00935A55"/>
    <w:rsid w:val="00941CEB"/>
    <w:rsid w:val="0094720F"/>
    <w:rsid w:val="009510F7"/>
    <w:rsid w:val="00953B28"/>
    <w:rsid w:val="00954322"/>
    <w:rsid w:val="00957CAA"/>
    <w:rsid w:val="0096778A"/>
    <w:rsid w:val="00974C82"/>
    <w:rsid w:val="00977656"/>
    <w:rsid w:val="009846A7"/>
    <w:rsid w:val="0098794D"/>
    <w:rsid w:val="0099497B"/>
    <w:rsid w:val="009955F8"/>
    <w:rsid w:val="00997B67"/>
    <w:rsid w:val="009A43BA"/>
    <w:rsid w:val="009B0D05"/>
    <w:rsid w:val="009B4CA6"/>
    <w:rsid w:val="009B79F8"/>
    <w:rsid w:val="009C66D5"/>
    <w:rsid w:val="009D13FD"/>
    <w:rsid w:val="009D266A"/>
    <w:rsid w:val="009D68EB"/>
    <w:rsid w:val="009E6ADF"/>
    <w:rsid w:val="009F7E07"/>
    <w:rsid w:val="00A01522"/>
    <w:rsid w:val="00A10A11"/>
    <w:rsid w:val="00A13C6A"/>
    <w:rsid w:val="00A17B09"/>
    <w:rsid w:val="00A32E30"/>
    <w:rsid w:val="00A457C6"/>
    <w:rsid w:val="00A46AD0"/>
    <w:rsid w:val="00A47063"/>
    <w:rsid w:val="00A473A8"/>
    <w:rsid w:val="00A513F0"/>
    <w:rsid w:val="00A61AC8"/>
    <w:rsid w:val="00A6366F"/>
    <w:rsid w:val="00A65D4C"/>
    <w:rsid w:val="00A70512"/>
    <w:rsid w:val="00A74994"/>
    <w:rsid w:val="00A929E6"/>
    <w:rsid w:val="00AA1F60"/>
    <w:rsid w:val="00AA40D7"/>
    <w:rsid w:val="00AA5C0B"/>
    <w:rsid w:val="00AB5F7D"/>
    <w:rsid w:val="00AC0C50"/>
    <w:rsid w:val="00AC6D01"/>
    <w:rsid w:val="00AC6FE2"/>
    <w:rsid w:val="00AF3925"/>
    <w:rsid w:val="00AF6D82"/>
    <w:rsid w:val="00B1296B"/>
    <w:rsid w:val="00B2292F"/>
    <w:rsid w:val="00B43169"/>
    <w:rsid w:val="00B501A8"/>
    <w:rsid w:val="00B55AE4"/>
    <w:rsid w:val="00B70B46"/>
    <w:rsid w:val="00B739B0"/>
    <w:rsid w:val="00B814A3"/>
    <w:rsid w:val="00B96F38"/>
    <w:rsid w:val="00BA73EF"/>
    <w:rsid w:val="00BB29F1"/>
    <w:rsid w:val="00BB70A6"/>
    <w:rsid w:val="00BC716B"/>
    <w:rsid w:val="00BD0E74"/>
    <w:rsid w:val="00BD5F8C"/>
    <w:rsid w:val="00BE29DD"/>
    <w:rsid w:val="00C066AF"/>
    <w:rsid w:val="00C10E06"/>
    <w:rsid w:val="00C145B8"/>
    <w:rsid w:val="00C2438F"/>
    <w:rsid w:val="00C31AF0"/>
    <w:rsid w:val="00C32A7E"/>
    <w:rsid w:val="00C34F28"/>
    <w:rsid w:val="00C368DF"/>
    <w:rsid w:val="00C37D50"/>
    <w:rsid w:val="00C442C5"/>
    <w:rsid w:val="00C4744C"/>
    <w:rsid w:val="00C54948"/>
    <w:rsid w:val="00C57B5C"/>
    <w:rsid w:val="00C57C7C"/>
    <w:rsid w:val="00C61049"/>
    <w:rsid w:val="00C63FFE"/>
    <w:rsid w:val="00C65B11"/>
    <w:rsid w:val="00C7173A"/>
    <w:rsid w:val="00C82CC1"/>
    <w:rsid w:val="00C91EB6"/>
    <w:rsid w:val="00CA10B0"/>
    <w:rsid w:val="00CA2F8E"/>
    <w:rsid w:val="00CA3EE2"/>
    <w:rsid w:val="00CA7FD5"/>
    <w:rsid w:val="00CB3287"/>
    <w:rsid w:val="00CB33E2"/>
    <w:rsid w:val="00CB3BF4"/>
    <w:rsid w:val="00CB4E68"/>
    <w:rsid w:val="00CC2733"/>
    <w:rsid w:val="00CD0050"/>
    <w:rsid w:val="00CE14A5"/>
    <w:rsid w:val="00CE7481"/>
    <w:rsid w:val="00CF0A8F"/>
    <w:rsid w:val="00D048CE"/>
    <w:rsid w:val="00D10998"/>
    <w:rsid w:val="00D15CBD"/>
    <w:rsid w:val="00D221CB"/>
    <w:rsid w:val="00D23391"/>
    <w:rsid w:val="00D2655F"/>
    <w:rsid w:val="00D31805"/>
    <w:rsid w:val="00D434FA"/>
    <w:rsid w:val="00D552B9"/>
    <w:rsid w:val="00D67F62"/>
    <w:rsid w:val="00D735B2"/>
    <w:rsid w:val="00D74021"/>
    <w:rsid w:val="00D76D01"/>
    <w:rsid w:val="00D922A9"/>
    <w:rsid w:val="00D9394A"/>
    <w:rsid w:val="00DA2645"/>
    <w:rsid w:val="00DB0CBB"/>
    <w:rsid w:val="00DB5B48"/>
    <w:rsid w:val="00DB67CC"/>
    <w:rsid w:val="00DC3783"/>
    <w:rsid w:val="00DC68FA"/>
    <w:rsid w:val="00DD268C"/>
    <w:rsid w:val="00DD712C"/>
    <w:rsid w:val="00DE1070"/>
    <w:rsid w:val="00E00219"/>
    <w:rsid w:val="00E0316B"/>
    <w:rsid w:val="00E25E10"/>
    <w:rsid w:val="00E50555"/>
    <w:rsid w:val="00E50B41"/>
    <w:rsid w:val="00E5219B"/>
    <w:rsid w:val="00E52D07"/>
    <w:rsid w:val="00E5518B"/>
    <w:rsid w:val="00E609FE"/>
    <w:rsid w:val="00E630BE"/>
    <w:rsid w:val="00E75920"/>
    <w:rsid w:val="00E80D96"/>
    <w:rsid w:val="00E871FA"/>
    <w:rsid w:val="00E936A4"/>
    <w:rsid w:val="00E954BB"/>
    <w:rsid w:val="00EA1B14"/>
    <w:rsid w:val="00EA45E7"/>
    <w:rsid w:val="00EB78E3"/>
    <w:rsid w:val="00EB7BE3"/>
    <w:rsid w:val="00EC1C4B"/>
    <w:rsid w:val="00EC735A"/>
    <w:rsid w:val="00ED5F38"/>
    <w:rsid w:val="00ED61B3"/>
    <w:rsid w:val="00ED7802"/>
    <w:rsid w:val="00EE3D22"/>
    <w:rsid w:val="00EF27FE"/>
    <w:rsid w:val="00F07FB6"/>
    <w:rsid w:val="00F149D0"/>
    <w:rsid w:val="00F16B53"/>
    <w:rsid w:val="00F227ED"/>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0259"/>
    <w:rsid w:val="00FA12C4"/>
    <w:rsid w:val="00FA3B17"/>
    <w:rsid w:val="00FA5E8D"/>
    <w:rsid w:val="00FA5F3D"/>
    <w:rsid w:val="00FB399E"/>
    <w:rsid w:val="00FB7F50"/>
    <w:rsid w:val="00FC2A85"/>
    <w:rsid w:val="00FC40AF"/>
    <w:rsid w:val="00FC73B9"/>
    <w:rsid w:val="00FD0A16"/>
    <w:rsid w:val="00FD4705"/>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6912081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40669280">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73489036">
      <w:bodyDiv w:val="1"/>
      <w:marLeft w:val="0"/>
      <w:marRight w:val="0"/>
      <w:marTop w:val="0"/>
      <w:marBottom w:val="0"/>
      <w:divBdr>
        <w:top w:val="none" w:sz="0" w:space="0" w:color="auto"/>
        <w:left w:val="none" w:sz="0" w:space="0" w:color="auto"/>
        <w:bottom w:val="none" w:sz="0" w:space="0" w:color="auto"/>
        <w:right w:val="none" w:sz="0" w:space="0" w:color="auto"/>
      </w:divBdr>
    </w:div>
    <w:div w:id="1097411172">
      <w:bodyDiv w:val="1"/>
      <w:marLeft w:val="0"/>
      <w:marRight w:val="0"/>
      <w:marTop w:val="0"/>
      <w:marBottom w:val="0"/>
      <w:divBdr>
        <w:top w:val="none" w:sz="0" w:space="0" w:color="auto"/>
        <w:left w:val="none" w:sz="0" w:space="0" w:color="auto"/>
        <w:bottom w:val="none" w:sz="0" w:space="0" w:color="auto"/>
        <w:right w:val="none" w:sz="0" w:space="0" w:color="auto"/>
      </w:divBdr>
    </w:div>
    <w:div w:id="114754805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9265165">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0770339">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99109911">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64924230">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83/2/28/" TargetMode="External"/><Relationship Id="rId13" Type="http://schemas.openxmlformats.org/officeDocument/2006/relationships/hyperlink" Target="http://lib.eshia.ir/14028//198/" TargetMode="External"/><Relationship Id="rId3" Type="http://schemas.openxmlformats.org/officeDocument/2006/relationships/hyperlink" Target="http://lib.eshia.ir/14015//512/" TargetMode="External"/><Relationship Id="rId7" Type="http://schemas.openxmlformats.org/officeDocument/2006/relationships/hyperlink" Target="http://lib.eshia.ir/14015//228/" TargetMode="External"/><Relationship Id="rId12" Type="http://schemas.openxmlformats.org/officeDocument/2006/relationships/hyperlink" Target="http://lib.eshia.ir/14010//32/" TargetMode="External"/><Relationship Id="rId2" Type="http://schemas.openxmlformats.org/officeDocument/2006/relationships/hyperlink" Target="http://lib.eshia.ir/14015//325/" TargetMode="External"/><Relationship Id="rId16" Type="http://schemas.openxmlformats.org/officeDocument/2006/relationships/hyperlink" Target="http://lib.eshia.ir/14015/1/306/" TargetMode="External"/><Relationship Id="rId1" Type="http://schemas.openxmlformats.org/officeDocument/2006/relationships/hyperlink" Target="http://lib.eshia.ir/14015//291/" TargetMode="External"/><Relationship Id="rId6" Type="http://schemas.openxmlformats.org/officeDocument/2006/relationships/hyperlink" Target="http://lib.eshia.ir/10083/2/33/" TargetMode="External"/><Relationship Id="rId11" Type="http://schemas.openxmlformats.org/officeDocument/2006/relationships/hyperlink" Target="http://lib.eshia.ir/14028//32/" TargetMode="External"/><Relationship Id="rId5" Type="http://schemas.openxmlformats.org/officeDocument/2006/relationships/hyperlink" Target="http://lib.eshia.ir/10083/2/28/" TargetMode="External"/><Relationship Id="rId15" Type="http://schemas.openxmlformats.org/officeDocument/2006/relationships/hyperlink" Target="http://lib.eshia.ir/14028//236/" TargetMode="External"/><Relationship Id="rId10" Type="http://schemas.openxmlformats.org/officeDocument/2006/relationships/hyperlink" Target="http://lib.eshia.ir/14028//128/" TargetMode="External"/><Relationship Id="rId4" Type="http://schemas.openxmlformats.org/officeDocument/2006/relationships/hyperlink" Target="http://lib.eshia.ir/14015//524/" TargetMode="External"/><Relationship Id="rId9" Type="http://schemas.openxmlformats.org/officeDocument/2006/relationships/hyperlink" Target="http://lib.eshia.ir/14028//234/" TargetMode="External"/><Relationship Id="rId14" Type="http://schemas.openxmlformats.org/officeDocument/2006/relationships/hyperlink" Target="http://lib.eshia.ir/14028//33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BFEC6-7544-4D45-A26B-D73C45C14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11</Pages>
  <Words>2341</Words>
  <Characters>13346</Characters>
  <Application>Microsoft Office Word</Application>
  <DocSecurity>0</DocSecurity>
  <Lines>111</Lines>
  <Paragraphs>31</Paragraphs>
  <ScaleCrop>false</ScaleCrop>
  <HeadingPairs>
    <vt:vector size="6" baseType="variant">
      <vt:variant>
        <vt:lpstr>Title</vt:lpstr>
      </vt:variant>
      <vt:variant>
        <vt:i4>1</vt:i4>
      </vt:variant>
      <vt:variant>
        <vt:lpstr>Headings</vt:lpstr>
      </vt:variant>
      <vt:variant>
        <vt:i4>11</vt:i4>
      </vt:variant>
      <vt:variant>
        <vt:lpstr>عنوان</vt:lpstr>
      </vt:variant>
      <vt:variant>
        <vt:i4>1</vt:i4>
      </vt:variant>
    </vt:vector>
  </HeadingPairs>
  <TitlesOfParts>
    <vt:vector size="13" baseType="lpstr">
      <vt:lpstr>تقریرات دروس خارج مدرسه فقهی امام محمد باقر علیه السلام</vt:lpstr>
      <vt:lpstr>    معنای غلوّ </vt:lpstr>
      <vt:lpstr>        مراتب مطرح شده از غلوّ در روایات </vt:lpstr>
      <vt:lpstr>        معنای غلوّ در کلام رجالی ها </vt:lpstr>
      <vt:lpstr>    متحّد نبودن معنای «تخلیط» با «غلوّ» در کلام رجالی ها </vt:lpstr>
      <vt:lpstr>    اجتهادی بودن انتساب راوی به «تخلیط» و «فساد عقیده» </vt:lpstr>
      <vt:lpstr>    معنای واژه «مختلط» </vt:lpstr>
      <vt:lpstr>        معنای اول: اتحاد معنایی با «مخلّط» در برخی از موارد </vt:lpstr>
      <vt:lpstr>        احتمال دوم: وحدت معنایی با «یروی عن الضعفاء»</vt:lpstr>
      <vt:lpstr>        احتمال سوم: وحدت معنایی با «یعرف و ینکر» </vt:lpstr>
      <vt:lpstr>        عدم اعتبار شهادت به «مختلط» بودن راوی </vt:lpstr>
      <vt:lpstr>        عدم اعتبار شهادت به «یعرف و ینکر» </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15656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5</cp:revision>
  <cp:lastPrinted>2022-12-25T15:18:00Z</cp:lastPrinted>
  <dcterms:created xsi:type="dcterms:W3CDTF">2022-12-25T15:18:00Z</dcterms:created>
  <dcterms:modified xsi:type="dcterms:W3CDTF">2023-12-10T04:34:00Z</dcterms:modified>
  <cp:contentStatus>ویرایش 2.5</cp:contentStatus>
  <cp:version>2.7</cp:version>
</cp:coreProperties>
</file>