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23BDE">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E6F6D" w:rsidRPr="00236620" w:rsidRDefault="003E6F6D" w:rsidP="003E6F6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3E6F6D" w:rsidRPr="00236620" w:rsidRDefault="003E6F6D" w:rsidP="003E6F6D">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801</w:t>
      </w:r>
      <w:bookmarkStart w:id="0" w:name="_GoBack"/>
      <w:bookmarkEnd w:id="0"/>
    </w:p>
    <w:p w:rsidR="00C91EB6" w:rsidRPr="00C91EB6" w:rsidRDefault="00C23BDE" w:rsidP="003E6F6D">
      <w:pPr>
        <w:pStyle w:val="TOC2"/>
        <w:tabs>
          <w:tab w:val="right" w:leader="dot" w:pos="10194"/>
        </w:tabs>
      </w:pPr>
      <w:r>
        <w:rPr>
          <w:bCs w:val="0"/>
          <w:noProof/>
          <w:webHidden/>
          <w:szCs w:val="24"/>
          <w:rtl/>
        </w:rPr>
        <w:fldChar w:fldCharType="begin"/>
      </w:r>
      <w:r>
        <w:rPr>
          <w:bCs w:val="0"/>
          <w:noProof/>
          <w:webHidden/>
          <w:szCs w:val="24"/>
          <w:rtl/>
        </w:rPr>
        <w:instrText xml:space="preserve"> </w:instrText>
      </w:r>
      <w:r>
        <w:rPr>
          <w:bCs w:val="0"/>
          <w:noProof/>
          <w:webHidden/>
          <w:szCs w:val="24"/>
        </w:rPr>
        <w:instrText>TOC</w:instrText>
      </w:r>
      <w:r>
        <w:rPr>
          <w:bCs w:val="0"/>
          <w:noProof/>
          <w:webHidden/>
          <w:szCs w:val="24"/>
          <w:rtl/>
        </w:rPr>
        <w:instrText xml:space="preserve"> \</w:instrText>
      </w:r>
      <w:r>
        <w:rPr>
          <w:bCs w:val="0"/>
          <w:noProof/>
          <w:webHidden/>
          <w:szCs w:val="24"/>
        </w:rPr>
        <w:instrText>o "</w:instrText>
      </w:r>
      <w:r>
        <w:rPr>
          <w:bCs w:val="0"/>
          <w:noProof/>
          <w:webHidden/>
          <w:szCs w:val="24"/>
          <w:rtl/>
        </w:rPr>
        <w:instrText>1-9</w:instrText>
      </w:r>
      <w:r>
        <w:rPr>
          <w:bCs w:val="0"/>
          <w:noProof/>
          <w:webHidden/>
          <w:szCs w:val="24"/>
        </w:rPr>
        <w:instrText>" \h \z \u</w:instrText>
      </w:r>
      <w:r>
        <w:rPr>
          <w:bCs w:val="0"/>
          <w:noProof/>
          <w:webHidden/>
          <w:szCs w:val="24"/>
          <w:rtl/>
        </w:rPr>
        <w:instrText xml:space="preserve"> </w:instrText>
      </w:r>
      <w:r>
        <w:rPr>
          <w:bCs w:val="0"/>
          <w:noProof/>
          <w:webHidden/>
          <w:szCs w:val="24"/>
          <w:rtl/>
        </w:rPr>
        <w:fldChar w:fldCharType="separate"/>
      </w:r>
      <w:r>
        <w:rPr>
          <w:bCs w:val="0"/>
          <w:noProof/>
          <w:webHidden/>
          <w:szCs w:val="24"/>
          <w:rtl/>
        </w:rPr>
        <w:fldChar w:fldCharType="end"/>
      </w:r>
    </w:p>
    <w:p w:rsidR="00F343FB" w:rsidRPr="00A6366F" w:rsidRDefault="00F842AD" w:rsidP="00C23BD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950E4">
        <w:rPr>
          <w:rtl/>
        </w:rPr>
        <w:t xml:space="preserve">تمکّن از تصرّف </w:t>
      </w:r>
      <w:r w:rsidR="00025B70">
        <w:rPr>
          <w:rFonts w:hint="cs"/>
          <w:rtl/>
        </w:rPr>
        <w:t xml:space="preserve"> </w:t>
      </w:r>
      <w:r w:rsidR="00386C11" w:rsidRPr="00A6366F">
        <w:rPr>
          <w:rFonts w:hint="cs"/>
          <w:rtl/>
        </w:rPr>
        <w:t>/</w:t>
      </w:r>
      <w:bookmarkStart w:id="2" w:name="BokSabj_d"/>
      <w:bookmarkEnd w:id="2"/>
      <w:r w:rsidR="006950E4">
        <w:rPr>
          <w:rtl/>
        </w:rPr>
        <w:t>شرا</w:t>
      </w:r>
      <w:r w:rsidR="006950E4">
        <w:rPr>
          <w:rFonts w:hint="cs"/>
          <w:rtl/>
        </w:rPr>
        <w:t>ی</w:t>
      </w:r>
      <w:r w:rsidR="006950E4">
        <w:rPr>
          <w:rFonts w:hint="eastAsia"/>
          <w:rtl/>
        </w:rPr>
        <w:t>ط</w:t>
      </w:r>
      <w:r w:rsidR="006950E4">
        <w:rPr>
          <w:rtl/>
        </w:rPr>
        <w:t xml:space="preserve"> مال زکو</w:t>
      </w:r>
      <w:r w:rsidR="006950E4">
        <w:rPr>
          <w:rFonts w:hint="cs"/>
          <w:rtl/>
        </w:rPr>
        <w:t>ی</w:t>
      </w:r>
      <w:r w:rsidR="00386C11" w:rsidRPr="00A6366F">
        <w:rPr>
          <w:rFonts w:hint="cs"/>
          <w:rtl/>
        </w:rPr>
        <w:t xml:space="preserve"> /</w:t>
      </w:r>
      <w:bookmarkStart w:id="3" w:name="Bokkolli"/>
      <w:bookmarkEnd w:id="3"/>
      <w:r w:rsidR="006950E4">
        <w:rPr>
          <w:rtl/>
        </w:rPr>
        <w:t>زکات</w:t>
      </w:r>
      <w:r w:rsidR="001B6799" w:rsidRPr="00A6366F">
        <w:rPr>
          <w:rFonts w:hint="cs"/>
          <w:rtl/>
        </w:rPr>
        <w:t xml:space="preserve"> </w:t>
      </w:r>
    </w:p>
    <w:p w:rsidR="008F5B4D" w:rsidRPr="009C66D5" w:rsidRDefault="008F5B4D" w:rsidP="00C23BDE">
      <w:pPr>
        <w:jc w:val="both"/>
        <w:rPr>
          <w:rStyle w:val="Emphasis"/>
          <w:b/>
          <w:bCs w:val="0"/>
          <w:rtl/>
        </w:rPr>
      </w:pPr>
      <w:r w:rsidRPr="009C66D5">
        <w:rPr>
          <w:rStyle w:val="Emphasis"/>
          <w:rFonts w:hint="cs"/>
          <w:b/>
          <w:bCs w:val="0"/>
          <w:rtl/>
        </w:rPr>
        <w:t>خلاصه مباحث گذشته:</w:t>
      </w:r>
    </w:p>
    <w:p w:rsidR="003A6148" w:rsidRDefault="008F5B4D" w:rsidP="00C23BDE">
      <w:pPr>
        <w:pBdr>
          <w:bottom w:val="double" w:sz="6" w:space="1" w:color="auto"/>
        </w:pBdr>
        <w:jc w:val="both"/>
        <w:rPr>
          <w:rtl/>
        </w:rPr>
      </w:pPr>
      <w:r>
        <w:rPr>
          <w:rFonts w:hint="cs"/>
          <w:rtl/>
        </w:rPr>
        <w:t>متن خلاصه ...</w:t>
      </w:r>
    </w:p>
    <w:p w:rsidR="00247D2F" w:rsidRPr="003A6148" w:rsidRDefault="00247D2F" w:rsidP="00C23BDE">
      <w:pPr>
        <w:pBdr>
          <w:bottom w:val="double" w:sz="6" w:space="1" w:color="auto"/>
        </w:pBdr>
        <w:jc w:val="both"/>
      </w:pPr>
    </w:p>
    <w:p w:rsidR="008F5B4D" w:rsidRDefault="008F5B4D" w:rsidP="00C23BDE">
      <w:pPr>
        <w:jc w:val="both"/>
      </w:pPr>
    </w:p>
    <w:p w:rsidR="00833D6F" w:rsidRDefault="00833D6F" w:rsidP="00C23BDE">
      <w:pPr>
        <w:pStyle w:val="Heading2"/>
        <w:jc w:val="both"/>
      </w:pPr>
      <w:bookmarkStart w:id="4" w:name="_Toc117492347"/>
      <w:bookmarkStart w:id="5" w:name="_Toc117492373"/>
      <w:r>
        <w:rPr>
          <w:rFonts w:hint="cs"/>
          <w:rtl/>
        </w:rPr>
        <w:t>معنای واژه "تخلیط" در کلام ائمه رجال</w:t>
      </w:r>
      <w:bookmarkEnd w:id="4"/>
      <w:bookmarkEnd w:id="5"/>
      <w:r>
        <w:rPr>
          <w:rFonts w:hint="cs"/>
          <w:rtl/>
        </w:rPr>
        <w:t xml:space="preserve"> </w:t>
      </w:r>
    </w:p>
    <w:p w:rsidR="00833D6F" w:rsidRDefault="00C363AE" w:rsidP="00C23BDE">
      <w:pPr>
        <w:jc w:val="both"/>
        <w:rPr>
          <w:rtl/>
        </w:rPr>
      </w:pPr>
      <w:r>
        <w:rPr>
          <w:rFonts w:hint="cs"/>
          <w:rtl/>
        </w:rPr>
        <w:t>بحث درباره معنای واژه "تخلیط" بود. مرحوم کاظمی در العده فی الرجال، می فرماید: اگر تخلیط به صورت مطلق ذکر شود، مراد از آن فساد عقیده است بر خلاف صورتی که به صورت مقیّد ذکر شود. مرحوم ابو علی حائری در منتهی المقال را این بحث را قبول نکرده و بیان می کند: مراد از این لفظ کسی است که «</w:t>
      </w:r>
      <w:r w:rsidRPr="00C363AE">
        <w:rPr>
          <w:color w:val="000080"/>
          <w:rtl/>
        </w:rPr>
        <w:t xml:space="preserve"> </w:t>
      </w:r>
      <w:r w:rsidRPr="00AF49D4">
        <w:rPr>
          <w:color w:val="000080"/>
          <w:rtl/>
        </w:rPr>
        <w:t>لا يبالي عمّن يروي و ممن يأخذ، يجمع بين الغثّ و السمين</w:t>
      </w:r>
      <w:r>
        <w:rPr>
          <w:rFonts w:hint="cs"/>
          <w:color w:val="000080"/>
          <w:rtl/>
        </w:rPr>
        <w:t>»</w:t>
      </w:r>
      <w:r>
        <w:rPr>
          <w:rStyle w:val="FootnoteReference"/>
          <w:color w:val="000080"/>
          <w:rtl/>
        </w:rPr>
        <w:footnoteReference w:id="1"/>
      </w:r>
      <w:r>
        <w:rPr>
          <w:rFonts w:hint="cs"/>
          <w:color w:val="000080"/>
          <w:rtl/>
        </w:rPr>
        <w:t xml:space="preserve"> </w:t>
      </w:r>
      <w:r w:rsidRPr="00C363AE">
        <w:rPr>
          <w:rFonts w:hint="cs"/>
          <w:rtl/>
        </w:rPr>
        <w:t>ایشان شواهدی را بر این مطلب ذکر کرده که برخ</w:t>
      </w:r>
      <w:r>
        <w:rPr>
          <w:rFonts w:hint="cs"/>
          <w:rtl/>
        </w:rPr>
        <w:t xml:space="preserve">ی از آنها ارتباطی به بحث ندارد. </w:t>
      </w:r>
    </w:p>
    <w:p w:rsidR="00833D6F" w:rsidRDefault="00833D6F" w:rsidP="00C23BDE">
      <w:pPr>
        <w:pStyle w:val="Heading3"/>
        <w:jc w:val="both"/>
        <w:rPr>
          <w:rtl/>
        </w:rPr>
      </w:pPr>
      <w:bookmarkStart w:id="6" w:name="_Toc117492348"/>
      <w:bookmarkStart w:id="7" w:name="_Toc117492374"/>
      <w:r>
        <w:rPr>
          <w:rFonts w:hint="cs"/>
          <w:rtl/>
        </w:rPr>
        <w:lastRenderedPageBreak/>
        <w:t>محتملات در معنای "قلیل التخلیط"</w:t>
      </w:r>
      <w:bookmarkEnd w:id="6"/>
      <w:bookmarkEnd w:id="7"/>
    </w:p>
    <w:p w:rsidR="00833D6F" w:rsidRDefault="00C363AE" w:rsidP="00C23BDE">
      <w:pPr>
        <w:jc w:val="both"/>
        <w:rPr>
          <w:color w:val="000080"/>
          <w:rtl/>
        </w:rPr>
      </w:pPr>
      <w:r>
        <w:rPr>
          <w:rFonts w:hint="cs"/>
          <w:rtl/>
        </w:rPr>
        <w:t xml:space="preserve">یکی از شواهدی که ایشان اقامه کرده، این است: </w:t>
      </w:r>
      <w:r w:rsidRPr="00C363AE">
        <w:rPr>
          <w:color w:val="000080"/>
          <w:rtl/>
        </w:rPr>
        <w:t>و في ترجمة محمّد بن وهبان الديبلي: ثقة، من أصحابنا، واضح الرواية، قليل التخليط</w:t>
      </w:r>
      <w:r>
        <w:rPr>
          <w:rFonts w:hint="cs"/>
          <w:color w:val="000080"/>
          <w:rtl/>
        </w:rPr>
        <w:t xml:space="preserve"> </w:t>
      </w:r>
      <w:r w:rsidRPr="00C363AE">
        <w:rPr>
          <w:color w:val="000080"/>
          <w:rtl/>
        </w:rPr>
        <w:t>فلاحظ و تدبر، فإنّه ينادي بما قلناه، و صريح فيما فهمناه‏</w:t>
      </w:r>
      <w:r>
        <w:rPr>
          <w:rStyle w:val="FootnoteReference"/>
          <w:color w:val="000080"/>
          <w:rtl/>
        </w:rPr>
        <w:footnoteReference w:id="2"/>
      </w:r>
    </w:p>
    <w:p w:rsidR="00833D6F" w:rsidRPr="00833D6F" w:rsidRDefault="00833D6F" w:rsidP="00C23BDE">
      <w:pPr>
        <w:pStyle w:val="Heading4"/>
        <w:jc w:val="both"/>
        <w:rPr>
          <w:rtl/>
        </w:rPr>
      </w:pPr>
      <w:bookmarkStart w:id="8" w:name="_Toc117492349"/>
      <w:bookmarkStart w:id="9" w:name="_Toc117492375"/>
      <w:r>
        <w:rPr>
          <w:rFonts w:hint="cs"/>
          <w:rtl/>
        </w:rPr>
        <w:t>احتمال اول: نقل روایت از ضعفا در برخی از موارد</w:t>
      </w:r>
      <w:bookmarkEnd w:id="8"/>
      <w:bookmarkEnd w:id="9"/>
    </w:p>
    <w:p w:rsidR="00833D6F" w:rsidRDefault="00C363AE" w:rsidP="00C23BDE">
      <w:pPr>
        <w:jc w:val="both"/>
        <w:rPr>
          <w:rtl/>
        </w:rPr>
      </w:pPr>
      <w:r>
        <w:rPr>
          <w:rFonts w:hint="cs"/>
          <w:rtl/>
        </w:rPr>
        <w:t xml:space="preserve">ظاهرا برداشت ایشان از فساد عقیده، اشکالاتی مانند واقفی و فطحی و مانند آن بوده است و به همین دلیل اشکال کرده که برخی از کسانی که مخلّط دانسته شدند، چنین فساد عقیده ای ندارند. </w:t>
      </w:r>
    </w:p>
    <w:p w:rsidR="00833D6F" w:rsidRDefault="00833D6F" w:rsidP="00C23BDE">
      <w:pPr>
        <w:pStyle w:val="Heading4"/>
        <w:jc w:val="both"/>
        <w:rPr>
          <w:rtl/>
        </w:rPr>
      </w:pPr>
      <w:bookmarkStart w:id="10" w:name="_Toc117492350"/>
      <w:bookmarkStart w:id="11" w:name="_Toc117492376"/>
      <w:r>
        <w:rPr>
          <w:rFonts w:hint="cs"/>
          <w:rtl/>
        </w:rPr>
        <w:t>احتمال دوم: فساد عقیده در حد اندک</w:t>
      </w:r>
      <w:bookmarkEnd w:id="10"/>
      <w:bookmarkEnd w:id="11"/>
      <w:r>
        <w:rPr>
          <w:rFonts w:hint="cs"/>
          <w:rtl/>
        </w:rPr>
        <w:t xml:space="preserve"> </w:t>
      </w:r>
    </w:p>
    <w:p w:rsidR="00833D6F" w:rsidRDefault="00C363AE" w:rsidP="00C23BDE">
      <w:pPr>
        <w:jc w:val="both"/>
        <w:rPr>
          <w:rtl/>
        </w:rPr>
      </w:pPr>
      <w:r>
        <w:rPr>
          <w:rFonts w:hint="cs"/>
          <w:rtl/>
        </w:rPr>
        <w:t xml:space="preserve">در حالی که ظاهرا مراد کاظمی از فساد عقیده، </w:t>
      </w:r>
      <w:r w:rsidR="00370FCB">
        <w:rPr>
          <w:rFonts w:hint="cs"/>
          <w:rtl/>
        </w:rPr>
        <w:t xml:space="preserve">در وادی غلوّ است و مراد از آن کسانی است که در مقامات ائمه علیهم السلام به بیش از مقداری که شرعا ذکر شده و ائمه دارای آن مقامات هستند، قائل هستند. </w:t>
      </w:r>
      <w:r w:rsidR="000A6267">
        <w:rPr>
          <w:rFonts w:hint="cs"/>
          <w:rtl/>
        </w:rPr>
        <w:t xml:space="preserve">اگر "تخلیط" به معنای فطحی یا واقفی باشد، قلیل و کثیر در آن معنا ندارد اما اگر مراد از آن این باشد که درباره مقامات ائمه علیهم السلام مطلب نادرست دارد، "قلیل التخلیط" صادق است به این صورت که برخی از عقائد او باطل است. البته به احتمال زیاد "قلیل التخلیط" به این معنا نیست. </w:t>
      </w:r>
    </w:p>
    <w:p w:rsidR="00833D6F" w:rsidRDefault="00833D6F" w:rsidP="00C23BDE">
      <w:pPr>
        <w:pStyle w:val="Heading4"/>
        <w:jc w:val="both"/>
        <w:rPr>
          <w:rtl/>
        </w:rPr>
      </w:pPr>
      <w:bookmarkStart w:id="12" w:name="_Toc117492351"/>
      <w:bookmarkStart w:id="13" w:name="_Toc117492377"/>
      <w:r>
        <w:rPr>
          <w:rFonts w:hint="cs"/>
          <w:rtl/>
        </w:rPr>
        <w:t>احتمال سوم: خطای کمتر در روایت</w:t>
      </w:r>
      <w:bookmarkEnd w:id="12"/>
      <w:bookmarkEnd w:id="13"/>
      <w:r>
        <w:rPr>
          <w:rFonts w:hint="cs"/>
          <w:rtl/>
        </w:rPr>
        <w:t xml:space="preserve"> </w:t>
      </w:r>
    </w:p>
    <w:p w:rsidR="00C363AE" w:rsidRDefault="00833D6F" w:rsidP="00C23BDE">
      <w:pPr>
        <w:jc w:val="both"/>
        <w:rPr>
          <w:rtl/>
        </w:rPr>
      </w:pPr>
      <w:r>
        <w:rPr>
          <w:rFonts w:hint="cs"/>
          <w:rtl/>
        </w:rPr>
        <w:t xml:space="preserve">یکی از معانی تخلیط در لغت، افساد است و در استعمالات به معنای خطا و اشتباه زیاد به کار می رود. </w:t>
      </w:r>
      <w:r w:rsidR="00DC0734">
        <w:rPr>
          <w:rFonts w:hint="cs"/>
          <w:rtl/>
        </w:rPr>
        <w:t xml:space="preserve">در کتب عامه تخلیط به این معنا زیاد به کار رفته است و در نوع موارد به معنای اشتباه استعمال شده است. به عنوان مثال در مجروحین ابن حبان ذیل ترجمه ناجیه بن کعب آمده است: </w:t>
      </w:r>
    </w:p>
    <w:p w:rsidR="00DC0734" w:rsidRPr="00DC0734" w:rsidRDefault="00DC0734" w:rsidP="00C23BDE">
      <w:pPr>
        <w:jc w:val="both"/>
        <w:rPr>
          <w:color w:val="000080"/>
          <w:rtl/>
        </w:rPr>
      </w:pPr>
      <w:r w:rsidRPr="00DC0734">
        <w:rPr>
          <w:color w:val="000080"/>
          <w:rtl/>
        </w:rPr>
        <w:t>كَانَ شَيخا صَالحا إِلَّا أَن فِي حَدِيثه تَخْلِيط</w:t>
      </w:r>
      <w:r>
        <w:rPr>
          <w:rFonts w:hint="cs"/>
          <w:color w:val="000080"/>
          <w:rtl/>
        </w:rPr>
        <w:t xml:space="preserve"> </w:t>
      </w:r>
      <w:r w:rsidRPr="00833D6F">
        <w:rPr>
          <w:rFonts w:hint="cs"/>
          <w:rtl/>
        </w:rPr>
        <w:t>(تخلیطا درست است)</w:t>
      </w:r>
      <w:r w:rsidRPr="00DC0734">
        <w:rPr>
          <w:color w:val="000080"/>
          <w:rtl/>
        </w:rPr>
        <w:t xml:space="preserve"> لَا يشبه حَدِيث أقرانه الثِّقَات</w:t>
      </w:r>
      <w:r>
        <w:rPr>
          <w:rStyle w:val="FootnoteReference"/>
          <w:color w:val="000080"/>
          <w:rtl/>
        </w:rPr>
        <w:footnoteReference w:id="3"/>
      </w:r>
    </w:p>
    <w:p w:rsidR="00C363AE" w:rsidRDefault="00DC0734" w:rsidP="00C23BDE">
      <w:pPr>
        <w:jc w:val="both"/>
        <w:rPr>
          <w:rtl/>
        </w:rPr>
      </w:pPr>
      <w:r>
        <w:rPr>
          <w:rFonts w:hint="cs"/>
          <w:rtl/>
        </w:rPr>
        <w:t xml:space="preserve">در مغنی ذهبی ذیل ترجمه ابو العلاء واسطی می نویسد: </w:t>
      </w:r>
      <w:r w:rsidRPr="00DC0734">
        <w:rPr>
          <w:color w:val="000080"/>
          <w:rtl/>
        </w:rPr>
        <w:t>صَاحب تَخْلِيط لَا يوثق بِهِ</w:t>
      </w:r>
      <w:r>
        <w:rPr>
          <w:rStyle w:val="FootnoteReference"/>
          <w:color w:val="000080"/>
          <w:rtl/>
        </w:rPr>
        <w:footnoteReference w:id="4"/>
      </w:r>
    </w:p>
    <w:p w:rsidR="00DC0734" w:rsidRDefault="00DC0734" w:rsidP="00C23BDE">
      <w:pPr>
        <w:jc w:val="both"/>
        <w:rPr>
          <w:rtl/>
        </w:rPr>
      </w:pPr>
      <w:r>
        <w:rPr>
          <w:rFonts w:hint="cs"/>
          <w:rtl/>
        </w:rPr>
        <w:t xml:space="preserve">البته تعابیر دیگری نیز وارد شده است. مانند «مخلّط مدلّس» «مخلّط </w:t>
      </w:r>
      <w:r w:rsidR="00B16CE8">
        <w:rPr>
          <w:rFonts w:hint="cs"/>
          <w:rtl/>
        </w:rPr>
        <w:t xml:space="preserve">ضعیف الحدیث» «مخلّط یکذب» «مخلّط غیر محمود» که روشن نیست به همین معنای خطا و اشتباه باشد. در شرح حال یکی از روات آمده است: </w:t>
      </w:r>
    </w:p>
    <w:p w:rsidR="00C363AE" w:rsidRDefault="00B16CE8" w:rsidP="00C23BDE">
      <w:pPr>
        <w:jc w:val="both"/>
        <w:rPr>
          <w:color w:val="000080"/>
          <w:rtl/>
        </w:rPr>
      </w:pPr>
      <w:r w:rsidRPr="00B16CE8">
        <w:rPr>
          <w:color w:val="000080"/>
          <w:rtl/>
        </w:rPr>
        <w:t>صدوق في روايته عن أهل بلده مخلط في غيرهم</w:t>
      </w:r>
      <w:r>
        <w:rPr>
          <w:rStyle w:val="FootnoteReference"/>
          <w:color w:val="000080"/>
          <w:rtl/>
        </w:rPr>
        <w:footnoteReference w:id="5"/>
      </w:r>
    </w:p>
    <w:p w:rsidR="00B16CE8" w:rsidRDefault="00B16CE8" w:rsidP="00C23BDE">
      <w:pPr>
        <w:jc w:val="both"/>
        <w:rPr>
          <w:rtl/>
        </w:rPr>
      </w:pPr>
      <w:r>
        <w:rPr>
          <w:rFonts w:hint="cs"/>
          <w:rtl/>
        </w:rPr>
        <w:t xml:space="preserve">مخلّط در مقابل صدوق ظاهرا به این معناست که خطا و اشتباه دارد نه اینکه ثقه نیست. گویا در روایاتی که از اهل بلد می کند، ثقه است و خطا ندارد بر خلاف روایاتی که از غیر اهل بلد نقل می کند که به علت خطا، غیر صدوق است. </w:t>
      </w:r>
    </w:p>
    <w:p w:rsidR="00B16CE8" w:rsidRDefault="00B16CE8" w:rsidP="00C23BDE">
      <w:pPr>
        <w:jc w:val="both"/>
        <w:rPr>
          <w:rtl/>
        </w:rPr>
      </w:pPr>
      <w:r>
        <w:rPr>
          <w:rFonts w:hint="cs"/>
          <w:rtl/>
        </w:rPr>
        <w:t xml:space="preserve">در صحاح دارد: </w:t>
      </w:r>
      <w:r w:rsidRPr="00B16CE8">
        <w:rPr>
          <w:color w:val="000080"/>
          <w:rtl/>
        </w:rPr>
        <w:t>والتَخليطُ في الأمر: الإفسادُ فيه</w:t>
      </w:r>
      <w:r w:rsidRPr="00B16CE8">
        <w:rPr>
          <w:rtl/>
        </w:rPr>
        <w:t>.</w:t>
      </w:r>
      <w:r>
        <w:rPr>
          <w:rStyle w:val="FootnoteReference"/>
          <w:rtl/>
        </w:rPr>
        <w:footnoteReference w:id="6"/>
      </w:r>
    </w:p>
    <w:p w:rsidR="00B16CE8" w:rsidRDefault="00B16CE8" w:rsidP="00C23BDE">
      <w:pPr>
        <w:jc w:val="both"/>
        <w:rPr>
          <w:rtl/>
        </w:rPr>
      </w:pPr>
      <w:r>
        <w:rPr>
          <w:rFonts w:hint="cs"/>
          <w:rtl/>
        </w:rPr>
        <w:lastRenderedPageBreak/>
        <w:t xml:space="preserve">با توجه به این نکات، قلیل التخلیط به معنایی نیست که ابو علی حائری ذکر کرده است و به معنای فاسد المذهب که کاظمی گفته، نیست. بلکه به نظر می رسد که قلیل التخلیط به معنای آن است که در روایت کمتر خطا می کند و واضح الروایه بدین معناست که روایات روشن و پاکیزه ای دارد. </w:t>
      </w:r>
    </w:p>
    <w:p w:rsidR="0029705C" w:rsidRDefault="0029705C" w:rsidP="00C23BDE">
      <w:pPr>
        <w:pStyle w:val="Heading3"/>
        <w:jc w:val="both"/>
        <w:rPr>
          <w:rtl/>
        </w:rPr>
      </w:pPr>
      <w:bookmarkStart w:id="14" w:name="_Toc117492352"/>
      <w:bookmarkStart w:id="15" w:name="_Toc117492378"/>
      <w:r>
        <w:rPr>
          <w:rFonts w:hint="cs"/>
          <w:rtl/>
        </w:rPr>
        <w:t>موارد استعمال مخلّط</w:t>
      </w:r>
      <w:bookmarkEnd w:id="14"/>
      <w:r>
        <w:rPr>
          <w:rFonts w:hint="cs"/>
          <w:rtl/>
        </w:rPr>
        <w:t xml:space="preserve"> </w:t>
      </w:r>
      <w:r w:rsidR="00C23BDE">
        <w:rPr>
          <w:rFonts w:hint="cs"/>
          <w:rtl/>
        </w:rPr>
        <w:t>در روایات</w:t>
      </w:r>
      <w:bookmarkEnd w:id="15"/>
      <w:r w:rsidR="00C23BDE">
        <w:rPr>
          <w:rFonts w:hint="cs"/>
          <w:rtl/>
        </w:rPr>
        <w:t xml:space="preserve"> </w:t>
      </w:r>
    </w:p>
    <w:p w:rsidR="0029705C" w:rsidRDefault="00E5058A" w:rsidP="00C23BDE">
      <w:pPr>
        <w:jc w:val="both"/>
        <w:rPr>
          <w:rtl/>
        </w:rPr>
      </w:pPr>
      <w:r>
        <w:rPr>
          <w:rFonts w:hint="cs"/>
          <w:rtl/>
        </w:rPr>
        <w:t xml:space="preserve">در جلسه گذشته بیان شد: محدوده ای که بحث دنبال می شود، کلمات ائمه رجال است نه روایات و نه کتب بعد از ائمه رجال. زیرا امکان دارد بین آنها تفاوت وجود داشته باشد. رجال عامه نیز مدّ نظر ما نیست زیرا روشن نیست اصطلاح رجال عامه با رجال شیعه، یکی باشد. به همین دلیل محور پژوهش خصوص رجال شیعه قرار داده شده است. </w:t>
      </w:r>
    </w:p>
    <w:p w:rsidR="0071349C" w:rsidRDefault="0029705C" w:rsidP="00C23BDE">
      <w:pPr>
        <w:jc w:val="both"/>
        <w:rPr>
          <w:rtl/>
        </w:rPr>
      </w:pPr>
      <w:r>
        <w:rPr>
          <w:rFonts w:hint="cs"/>
          <w:rtl/>
        </w:rPr>
        <w:t xml:space="preserve">یکی از موارد استعمال مخلّط در روایات موردی است که </w:t>
      </w:r>
      <w:r w:rsidR="00E5058A">
        <w:rPr>
          <w:rFonts w:hint="cs"/>
          <w:rtl/>
        </w:rPr>
        <w:t xml:space="preserve">سید حسن صدر </w:t>
      </w:r>
      <w:r w:rsidR="0071349C">
        <w:rPr>
          <w:rFonts w:hint="cs"/>
          <w:rtl/>
        </w:rPr>
        <w:t>اینگونه نقل کرده است:</w:t>
      </w:r>
    </w:p>
    <w:p w:rsidR="00E5058A" w:rsidRPr="005D5216" w:rsidRDefault="005D5216" w:rsidP="00C23BDE">
      <w:pPr>
        <w:jc w:val="both"/>
        <w:rPr>
          <w:color w:val="000080"/>
          <w:rtl/>
        </w:rPr>
      </w:pPr>
      <w:r w:rsidRPr="005D5216">
        <w:rPr>
          <w:rFonts w:hint="cs"/>
          <w:color w:val="000080"/>
          <w:rtl/>
        </w:rPr>
        <w:t>روا</w:t>
      </w:r>
      <w:r w:rsidRPr="005D5216">
        <w:rPr>
          <w:color w:val="000080"/>
          <w:rtl/>
        </w:rPr>
        <w:t>ه الشيخ عن إسماعيل الجعفري، قال: قلت لابي جعفر عليه السلام رجل يحب أمير المؤمنين عليه السلام ولا يتبرأ من أعدائه ويقول هو أحب الي. فقال عليه السلام: (هو مخلط وهو عدو لا تصل خلفه، ولا كرامة، إلا أن تتقيه</w:t>
      </w:r>
      <w:r>
        <w:rPr>
          <w:rStyle w:val="FootnoteReference"/>
          <w:color w:val="000080"/>
          <w:rtl/>
        </w:rPr>
        <w:footnoteReference w:id="7"/>
      </w:r>
      <w:r w:rsidR="00E5058A" w:rsidRPr="005D5216">
        <w:rPr>
          <w:rFonts w:hint="cs"/>
          <w:color w:val="000080"/>
          <w:rtl/>
        </w:rPr>
        <w:t xml:space="preserve"> </w:t>
      </w:r>
    </w:p>
    <w:p w:rsidR="0071349C" w:rsidRDefault="0029705C" w:rsidP="00C23BDE">
      <w:pPr>
        <w:jc w:val="both"/>
        <w:rPr>
          <w:rtl/>
        </w:rPr>
      </w:pPr>
      <w:r>
        <w:rPr>
          <w:rFonts w:hint="cs"/>
          <w:rtl/>
        </w:rPr>
        <w:t xml:space="preserve">در این نقل </w:t>
      </w:r>
      <w:r w:rsidR="0071349C">
        <w:rPr>
          <w:rFonts w:hint="cs"/>
          <w:rtl/>
        </w:rPr>
        <w:t xml:space="preserve">اسماعیل </w:t>
      </w:r>
      <w:r w:rsidR="005D5216">
        <w:rPr>
          <w:rFonts w:hint="cs"/>
          <w:rtl/>
        </w:rPr>
        <w:t>جعفی صحیح است.</w:t>
      </w:r>
      <w:r w:rsidR="005D5216">
        <w:rPr>
          <w:rStyle w:val="FootnoteReference"/>
          <w:rtl/>
        </w:rPr>
        <w:footnoteReference w:id="8"/>
      </w:r>
      <w:r w:rsidR="005D5216">
        <w:rPr>
          <w:rFonts w:hint="cs"/>
          <w:rtl/>
        </w:rPr>
        <w:t xml:space="preserve"> در این روایت ظاهرا مخلط در معنای لغوی به کار رفته است به این معنا که هم حب امیر المؤمنین علیه السلام و هم حبّ اعداء او را با هم قاطی کرده است. </w:t>
      </w:r>
      <w:r w:rsidR="00FD31C8">
        <w:rPr>
          <w:rFonts w:hint="cs"/>
          <w:rtl/>
        </w:rPr>
        <w:t xml:space="preserve">در استعمالات مخلّط غذا نیز </w:t>
      </w:r>
      <w:r>
        <w:rPr>
          <w:rFonts w:hint="cs"/>
          <w:rtl/>
        </w:rPr>
        <w:t>وجود دارد</w:t>
      </w:r>
      <w:r w:rsidR="00FD31C8">
        <w:rPr>
          <w:rFonts w:hint="cs"/>
          <w:rtl/>
        </w:rPr>
        <w:t xml:space="preserve"> به این </w:t>
      </w:r>
      <w:r>
        <w:rPr>
          <w:rFonts w:hint="cs"/>
          <w:rtl/>
        </w:rPr>
        <w:t>معنا</w:t>
      </w:r>
      <w:r w:rsidR="00FD31C8">
        <w:rPr>
          <w:rFonts w:hint="cs"/>
          <w:rtl/>
        </w:rPr>
        <w:t xml:space="preserve"> که در</w:t>
      </w:r>
      <w:r w:rsidR="005D5216">
        <w:rPr>
          <w:rFonts w:hint="cs"/>
          <w:rtl/>
        </w:rPr>
        <w:t xml:space="preserve"> غذا دو چیز نامربوط </w:t>
      </w:r>
      <w:r w:rsidR="00FD31C8">
        <w:rPr>
          <w:rFonts w:hint="cs"/>
          <w:rtl/>
        </w:rPr>
        <w:t xml:space="preserve">و نامأنوس را </w:t>
      </w:r>
      <w:r>
        <w:rPr>
          <w:rFonts w:hint="cs"/>
          <w:rtl/>
        </w:rPr>
        <w:t>با هم مخلوط می کند</w:t>
      </w:r>
      <w:r w:rsidR="00FD31C8">
        <w:rPr>
          <w:rFonts w:hint="cs"/>
          <w:rtl/>
        </w:rPr>
        <w:t xml:space="preserve"> و باعث از بین رفتن غذا و خراب شدن آن می شود. </w:t>
      </w:r>
      <w:r>
        <w:rPr>
          <w:rFonts w:hint="cs"/>
          <w:rtl/>
        </w:rPr>
        <w:t>پس در این روایت،</w:t>
      </w:r>
      <w:r w:rsidR="00FD31C8">
        <w:rPr>
          <w:rFonts w:hint="cs"/>
          <w:rtl/>
        </w:rPr>
        <w:t xml:space="preserve"> مخلّط به افساد و خراب کردن </w:t>
      </w:r>
      <w:r>
        <w:rPr>
          <w:rFonts w:hint="cs"/>
          <w:rtl/>
        </w:rPr>
        <w:t xml:space="preserve">و برگرفته </w:t>
      </w:r>
      <w:r w:rsidR="00FD31C8">
        <w:rPr>
          <w:rFonts w:hint="cs"/>
          <w:rtl/>
        </w:rPr>
        <w:t xml:space="preserve">از همان معنای اولیه خودش است. </w:t>
      </w:r>
    </w:p>
    <w:p w:rsidR="00FD31C8" w:rsidRDefault="00FD31C8" w:rsidP="00C23BDE">
      <w:pPr>
        <w:jc w:val="both"/>
        <w:rPr>
          <w:rtl/>
        </w:rPr>
      </w:pPr>
      <w:r>
        <w:rPr>
          <w:rFonts w:hint="cs"/>
          <w:rtl/>
        </w:rPr>
        <w:t>در مجمع البحرین به این روایت تمسک کرده و مخلّط را اینگونه معنا کرده است:</w:t>
      </w:r>
    </w:p>
    <w:p w:rsidR="00FD31C8" w:rsidRPr="00FD31C8" w:rsidRDefault="00FD31C8" w:rsidP="00C23BDE">
      <w:pPr>
        <w:jc w:val="both"/>
        <w:rPr>
          <w:color w:val="000080"/>
          <w:rtl/>
        </w:rPr>
      </w:pPr>
      <w:r w:rsidRPr="00FD31C8">
        <w:rPr>
          <w:color w:val="000080"/>
          <w:rtl/>
        </w:rPr>
        <w:t>و المُخل</w:t>
      </w:r>
      <w:r w:rsidRPr="00FD31C8">
        <w:rPr>
          <w:rFonts w:hint="cs"/>
          <w:color w:val="000080"/>
          <w:rtl/>
        </w:rPr>
        <w:t>ّ</w:t>
      </w:r>
      <w:r w:rsidRPr="00FD31C8">
        <w:rPr>
          <w:color w:val="000080"/>
          <w:rtl/>
        </w:rPr>
        <w:t>طُ: هو الذي يحب عليا ع و لا يبرأ من عدوه،</w:t>
      </w:r>
      <w:r>
        <w:rPr>
          <w:rStyle w:val="FootnoteReference"/>
          <w:color w:val="000080"/>
          <w:rtl/>
        </w:rPr>
        <w:footnoteReference w:id="9"/>
      </w:r>
    </w:p>
    <w:p w:rsidR="00FD31C8" w:rsidRDefault="00FD31C8" w:rsidP="00C23BDE">
      <w:pPr>
        <w:jc w:val="both"/>
        <w:rPr>
          <w:rtl/>
        </w:rPr>
      </w:pPr>
      <w:r>
        <w:rPr>
          <w:rFonts w:hint="cs"/>
          <w:rtl/>
        </w:rPr>
        <w:t xml:space="preserve">اما این معنای مخلّط نیست بلکه مصداق آن است. </w:t>
      </w:r>
    </w:p>
    <w:p w:rsidR="00A37CEE" w:rsidRDefault="00A37CEE" w:rsidP="00C23BDE">
      <w:pPr>
        <w:jc w:val="both"/>
        <w:rPr>
          <w:rtl/>
        </w:rPr>
      </w:pPr>
      <w:r>
        <w:rPr>
          <w:rFonts w:hint="cs"/>
          <w:rtl/>
        </w:rPr>
        <w:t xml:space="preserve">به هر حال، این موارد از محدوده بحث خارج است و به احتمال زیاد مخلّط در آنها به معنای لغوی به کار رفته است. همانگونه که بیان شد، بحث ما در خصوص کلمات رجالیون است آن هم در صورتی که تخلیط و مخلّط به صورت مطلق به کار رفته باشد نه تعابیری مانند «خلّط فی اسناده» یا «مخلّط فی اسناد» مرحوم کاظمی نیز به این مطلب تصریح کرده و محلّ کلام را مخلّط </w:t>
      </w:r>
      <w:r w:rsidR="00463D73">
        <w:rPr>
          <w:rFonts w:hint="cs"/>
          <w:rtl/>
        </w:rPr>
        <w:t>علی وجه الاطلاق قرار داده است.</w:t>
      </w:r>
    </w:p>
    <w:p w:rsidR="0029705C" w:rsidRDefault="0029705C" w:rsidP="00C23BDE">
      <w:pPr>
        <w:pStyle w:val="Heading3"/>
        <w:jc w:val="both"/>
        <w:rPr>
          <w:rtl/>
        </w:rPr>
      </w:pPr>
      <w:bookmarkStart w:id="16" w:name="_Toc117492353"/>
      <w:bookmarkStart w:id="17" w:name="_Toc117492379"/>
      <w:r>
        <w:rPr>
          <w:rFonts w:hint="cs"/>
          <w:rtl/>
        </w:rPr>
        <w:t>معنای واژه "مِخلَط" در لغت</w:t>
      </w:r>
      <w:bookmarkEnd w:id="16"/>
      <w:bookmarkEnd w:id="17"/>
      <w:r>
        <w:rPr>
          <w:rFonts w:hint="cs"/>
          <w:rtl/>
        </w:rPr>
        <w:t xml:space="preserve"> </w:t>
      </w:r>
    </w:p>
    <w:p w:rsidR="00463D73" w:rsidRDefault="00463D73" w:rsidP="00C23BDE">
      <w:pPr>
        <w:jc w:val="both"/>
        <w:rPr>
          <w:color w:val="000080"/>
          <w:rtl/>
        </w:rPr>
      </w:pPr>
      <w:r>
        <w:rPr>
          <w:rFonts w:hint="cs"/>
          <w:rtl/>
        </w:rPr>
        <w:t xml:space="preserve">اشاره به این نکته مفید است که برخی «مخلّط» را «مِخلَط» خواندند. در کتب لغت، چند </w:t>
      </w:r>
      <w:r w:rsidR="001B34EF">
        <w:rPr>
          <w:rFonts w:hint="cs"/>
          <w:rtl/>
        </w:rPr>
        <w:t xml:space="preserve">معنا برای «مِخلَط» بیان شده است. در نهایه ابن اثیر «مِخلَط» اینگونه معنا شده است: </w:t>
      </w:r>
      <w:r w:rsidR="001B34EF" w:rsidRPr="001B34EF">
        <w:rPr>
          <w:color w:val="000080"/>
          <w:rtl/>
        </w:rPr>
        <w:t>الْمِخْلَطُ بالكسر الذى يَخْلِطُ الأشياء فيلبسها على السامعين و الناظرين.</w:t>
      </w:r>
      <w:r w:rsidR="001B34EF">
        <w:rPr>
          <w:rStyle w:val="FootnoteReference"/>
          <w:color w:val="000080"/>
          <w:rtl/>
        </w:rPr>
        <w:footnoteReference w:id="10"/>
      </w:r>
    </w:p>
    <w:p w:rsidR="001B34EF" w:rsidRDefault="001B34EF" w:rsidP="00C23BDE">
      <w:pPr>
        <w:jc w:val="both"/>
        <w:rPr>
          <w:rtl/>
        </w:rPr>
      </w:pPr>
      <w:r>
        <w:rPr>
          <w:rFonts w:hint="cs"/>
          <w:rtl/>
        </w:rPr>
        <w:t>در لسان العرب</w:t>
      </w:r>
      <w:r>
        <w:rPr>
          <w:rStyle w:val="FootnoteReference"/>
          <w:rtl/>
        </w:rPr>
        <w:footnoteReference w:id="11"/>
      </w:r>
      <w:r>
        <w:rPr>
          <w:rFonts w:hint="cs"/>
          <w:rtl/>
        </w:rPr>
        <w:t xml:space="preserve"> نیز همین عبارت آمده است. در معجم مقاییس اللغه اینگونه تعبیر کرده است: </w:t>
      </w:r>
    </w:p>
    <w:p w:rsidR="001B34EF" w:rsidRDefault="001B34EF" w:rsidP="00C23BDE">
      <w:pPr>
        <w:jc w:val="both"/>
        <w:rPr>
          <w:color w:val="000080"/>
          <w:rtl/>
        </w:rPr>
      </w:pPr>
      <w:r w:rsidRPr="001B34EF">
        <w:rPr>
          <w:color w:val="000080"/>
          <w:rtl/>
        </w:rPr>
        <w:lastRenderedPageBreak/>
        <w:t>و رجل مِخْلَطٌ، أى حَسَن المداخَلة للأمورِ. و خِلافُه المِزْيل‏</w:t>
      </w:r>
      <w:r>
        <w:rPr>
          <w:rStyle w:val="FootnoteReference"/>
          <w:color w:val="000080"/>
          <w:rtl/>
        </w:rPr>
        <w:footnoteReference w:id="12"/>
      </w:r>
    </w:p>
    <w:p w:rsidR="001B34EF" w:rsidRDefault="001B34EF" w:rsidP="00C23BDE">
      <w:pPr>
        <w:jc w:val="both"/>
        <w:rPr>
          <w:color w:val="000080"/>
          <w:rtl/>
        </w:rPr>
      </w:pPr>
      <w:r>
        <w:rPr>
          <w:rFonts w:hint="cs"/>
          <w:rtl/>
        </w:rPr>
        <w:t xml:space="preserve">این معنا با معنایی که ابن اثیر بیان کرده، متفاوت است. در محکم دارد:  </w:t>
      </w:r>
      <w:r w:rsidRPr="001B34EF">
        <w:rPr>
          <w:color w:val="000080"/>
          <w:rtl/>
        </w:rPr>
        <w:t>وَرجل مِخْلَط: مِزيَلٌ يُخالط الْأُمُور ويُزايلها.</w:t>
      </w:r>
      <w:r>
        <w:rPr>
          <w:rStyle w:val="FootnoteReference"/>
          <w:color w:val="000080"/>
          <w:rtl/>
        </w:rPr>
        <w:footnoteReference w:id="13"/>
      </w:r>
    </w:p>
    <w:p w:rsidR="001B34EF" w:rsidRDefault="00032BE9" w:rsidP="00C23BDE">
      <w:pPr>
        <w:jc w:val="both"/>
        <w:rPr>
          <w:color w:val="000080"/>
          <w:rtl/>
        </w:rPr>
      </w:pPr>
      <w:r>
        <w:rPr>
          <w:rFonts w:hint="cs"/>
          <w:rtl/>
        </w:rPr>
        <w:t xml:space="preserve">در شمس العلوم وارد شده است: </w:t>
      </w:r>
      <w:r w:rsidRPr="00032BE9">
        <w:rPr>
          <w:color w:val="000080"/>
          <w:rtl/>
        </w:rPr>
        <w:t>يقولون: رجل مِخْلَط مِزْيَل:</w:t>
      </w:r>
      <w:r w:rsidRPr="00032BE9">
        <w:rPr>
          <w:rFonts w:hint="cs"/>
          <w:color w:val="000080"/>
          <w:rtl/>
        </w:rPr>
        <w:t xml:space="preserve"> </w:t>
      </w:r>
      <w:r w:rsidRPr="00032BE9">
        <w:rPr>
          <w:color w:val="000080"/>
          <w:rtl/>
        </w:rPr>
        <w:t>أي بصير بمخالطة الأمر ومزايلته</w:t>
      </w:r>
      <w:r>
        <w:rPr>
          <w:rStyle w:val="FootnoteReference"/>
          <w:color w:val="000080"/>
          <w:rtl/>
        </w:rPr>
        <w:footnoteReference w:id="14"/>
      </w:r>
    </w:p>
    <w:p w:rsidR="00032BE9" w:rsidRDefault="00032BE9" w:rsidP="00C23BDE">
      <w:pPr>
        <w:jc w:val="both"/>
        <w:rPr>
          <w:rtl/>
        </w:rPr>
      </w:pPr>
      <w:r>
        <w:rPr>
          <w:rFonts w:hint="cs"/>
          <w:rtl/>
        </w:rPr>
        <w:t>بنده نتوانستم این معانی را با یکدیگر جمع کنم. احتمال بدوی این است که مراد از «مِخلط و مزیل» کسی</w:t>
      </w:r>
      <w:r w:rsidR="0029705C">
        <w:rPr>
          <w:rFonts w:hint="cs"/>
          <w:rtl/>
        </w:rPr>
        <w:t xml:space="preserve"> است</w:t>
      </w:r>
      <w:r>
        <w:rPr>
          <w:rFonts w:hint="cs"/>
          <w:rtl/>
        </w:rPr>
        <w:t xml:space="preserve"> که شعبده بازی می کند و اشیاء را با هم قاطی می کند و جدا می کند به این صورت که به درهم کردن اشیاء و جدا کردن آنها آگاه است. مراد از  </w:t>
      </w:r>
      <w:r w:rsidRPr="001B34EF">
        <w:rPr>
          <w:color w:val="000080"/>
          <w:rtl/>
        </w:rPr>
        <w:t>يَخْلِطُ الأشياء فيلبسها على السامعين و الناظرين</w:t>
      </w:r>
      <w:r>
        <w:rPr>
          <w:rFonts w:hint="cs"/>
          <w:color w:val="000080"/>
          <w:rtl/>
        </w:rPr>
        <w:t xml:space="preserve"> </w:t>
      </w:r>
      <w:r w:rsidR="0029705C" w:rsidRPr="0029705C">
        <w:rPr>
          <w:rFonts w:hint="cs"/>
          <w:rtl/>
        </w:rPr>
        <w:t xml:space="preserve">در حقیقت </w:t>
      </w:r>
      <w:r w:rsidRPr="0029705C">
        <w:rPr>
          <w:rFonts w:hint="cs"/>
          <w:rtl/>
        </w:rPr>
        <w:t>نوعی</w:t>
      </w:r>
      <w:r w:rsidRPr="00032BE9">
        <w:rPr>
          <w:rFonts w:hint="cs"/>
          <w:rtl/>
        </w:rPr>
        <w:t xml:space="preserve"> عملیات شعبده بازی است. البته دلیل روشنی بر این معنا پیدا نکردم.</w:t>
      </w:r>
    </w:p>
    <w:p w:rsidR="00032BE9" w:rsidRDefault="00032BE9" w:rsidP="00C23BDE">
      <w:pPr>
        <w:jc w:val="both"/>
        <w:rPr>
          <w:rtl/>
        </w:rPr>
      </w:pPr>
      <w:r>
        <w:rPr>
          <w:rFonts w:hint="cs"/>
          <w:rtl/>
        </w:rPr>
        <w:t xml:space="preserve">به هر حال، عبارت صحیح «مخلّط» است نه «مِخلط» که در جلسات گذشته بیان شد و نکات آن نیز ذکر شد. </w:t>
      </w:r>
    </w:p>
    <w:p w:rsidR="0029705C" w:rsidRDefault="0029705C" w:rsidP="00C23BDE">
      <w:pPr>
        <w:pStyle w:val="Heading3"/>
        <w:jc w:val="both"/>
        <w:rPr>
          <w:rtl/>
        </w:rPr>
      </w:pPr>
      <w:bookmarkStart w:id="18" w:name="_Toc117492354"/>
      <w:bookmarkStart w:id="19" w:name="_Toc117492380"/>
      <w:r>
        <w:rPr>
          <w:rFonts w:hint="cs"/>
          <w:rtl/>
        </w:rPr>
        <w:t>معنای "مخلّط" در لغت</w:t>
      </w:r>
      <w:bookmarkEnd w:id="18"/>
      <w:bookmarkEnd w:id="19"/>
      <w:r>
        <w:rPr>
          <w:rFonts w:hint="cs"/>
          <w:rtl/>
        </w:rPr>
        <w:t xml:space="preserve"> </w:t>
      </w:r>
    </w:p>
    <w:p w:rsidR="00032BE9" w:rsidRDefault="00032BE9" w:rsidP="00C23BDE">
      <w:pPr>
        <w:jc w:val="both"/>
        <w:rPr>
          <w:rtl/>
        </w:rPr>
      </w:pPr>
      <w:r>
        <w:rPr>
          <w:rFonts w:hint="cs"/>
          <w:rtl/>
        </w:rPr>
        <w:t xml:space="preserve">«مخلّط» در لغت به معنای افساد و هم چنین به معنای قاطی کردن آمدن است. در المحکم مطلبی آمده که تا حدودی با مطلبی ابو علی حائری در منتهی المقال بیان کرده، تطبیق می شود. در المحکم در توضیح رجال حاطب لیل آمده است: </w:t>
      </w:r>
    </w:p>
    <w:p w:rsidR="00032BE9" w:rsidRDefault="00032BE9" w:rsidP="00C23BDE">
      <w:pPr>
        <w:jc w:val="both"/>
        <w:rPr>
          <w:color w:val="000080"/>
          <w:rtl/>
        </w:rPr>
      </w:pPr>
      <w:r w:rsidRPr="00032BE9">
        <w:rPr>
          <w:color w:val="000080"/>
          <w:rtl/>
        </w:rPr>
        <w:t>مخلط فِي أمره وَكَلَامه، وَلَا يتفقد كَلَامه، كالحاطِبِ بِاللَّيْلِ كل رَدِيء وجيد، لِأَنَّهُ لَا يبصر مَا يجمع فِي حبله.</w:t>
      </w:r>
      <w:r>
        <w:rPr>
          <w:rStyle w:val="FootnoteReference"/>
          <w:color w:val="000080"/>
          <w:rtl/>
        </w:rPr>
        <w:footnoteReference w:id="15"/>
      </w:r>
    </w:p>
    <w:p w:rsidR="00032BE9" w:rsidRDefault="00032BE9" w:rsidP="00C23BDE">
      <w:pPr>
        <w:jc w:val="both"/>
      </w:pPr>
      <w:r>
        <w:rPr>
          <w:rFonts w:hint="cs"/>
          <w:rtl/>
        </w:rPr>
        <w:t xml:space="preserve">احتمالا بعد از «کالحاطب باللیل» </w:t>
      </w:r>
      <w:r w:rsidR="009C396B">
        <w:rPr>
          <w:rFonts w:hint="cs"/>
          <w:rtl/>
        </w:rPr>
        <w:t xml:space="preserve">«یأخذ» یا </w:t>
      </w:r>
      <w:r>
        <w:rPr>
          <w:rFonts w:hint="cs"/>
          <w:rtl/>
        </w:rPr>
        <w:t xml:space="preserve">«یحطب» داشته باشد به معنای هیزم جمع کردن. </w:t>
      </w:r>
      <w:r w:rsidR="003056D6">
        <w:rPr>
          <w:rFonts w:hint="cs"/>
          <w:rtl/>
        </w:rPr>
        <w:t xml:space="preserve">به این معنا که کسی که شبانه هیزم جمع کند، هیزم های خوب و بد را جمع می کند. این عبارت با عبارتی که ابو علی حائری داشت، تناسب دارد. </w:t>
      </w:r>
    </w:p>
    <w:p w:rsidR="007A6D3B" w:rsidRDefault="007A6D3B" w:rsidP="00C23BDE">
      <w:pPr>
        <w:pStyle w:val="Heading3"/>
        <w:jc w:val="both"/>
        <w:rPr>
          <w:rtl/>
        </w:rPr>
      </w:pPr>
      <w:bookmarkStart w:id="20" w:name="_Toc117492355"/>
      <w:bookmarkStart w:id="21" w:name="_Toc117492381"/>
      <w:r>
        <w:rPr>
          <w:rFonts w:hint="cs"/>
          <w:rtl/>
        </w:rPr>
        <w:t>معنای "مخلّط" در اصطلاح ائمه رجال</w:t>
      </w:r>
      <w:bookmarkEnd w:id="20"/>
      <w:bookmarkEnd w:id="21"/>
    </w:p>
    <w:p w:rsidR="009C396B" w:rsidRDefault="009C396B" w:rsidP="00C23BDE">
      <w:pPr>
        <w:jc w:val="both"/>
        <w:rPr>
          <w:rtl/>
        </w:rPr>
      </w:pPr>
      <w:r>
        <w:rPr>
          <w:rFonts w:hint="cs"/>
          <w:rtl/>
        </w:rPr>
        <w:t>اما در اصطلاح ائمه رجال، «مخلّط» در جلّ موارد به معنای فساد عقیده به کار رفته و به صورت نادر در غیر این معنا استعمال شده است. کلمه «فاسد العقیده» ظاهرا در جایی اطلاق می شود که فساد عقیده، به یک شکل مشخصی مانند واقفه و فطحیه و ناووسیه و مانند آن نباشد. زیرا واقفه و فطحیه اسم خاص و عنوان مشخّص داشتند و اگر کسی فطحی باشد، از عنوان فاسد العقیده استفاده نمی کردند و عنوان خاص فطحیه را استعمال می کردند. مرحوم شیخ مفید در مقدمه اوائل الامامیه می فرماید: کلمه امامی در اصل اصطلاح معنای عامی است که شامل ناووسیه، فطحیه و واقفه می شود. مراد از امامی کسی است که به اصل عصمت، ضرورت امامت و نص</w:t>
      </w:r>
      <w:r w:rsidR="007A6D3B">
        <w:rPr>
          <w:rStyle w:val="FootnoteReference"/>
          <w:rtl/>
        </w:rPr>
        <w:footnoteReference w:id="16"/>
      </w:r>
      <w:r>
        <w:rPr>
          <w:rFonts w:hint="cs"/>
          <w:rtl/>
        </w:rPr>
        <w:t xml:space="preserve"> قائل باشد. </w:t>
      </w:r>
      <w:r w:rsidR="00972F02">
        <w:rPr>
          <w:rFonts w:hint="cs"/>
          <w:rtl/>
        </w:rPr>
        <w:t>ایشان در ادامه می فرماید: امامی در اصطلاح</w:t>
      </w:r>
      <w:r w:rsidR="007A6D3B">
        <w:rPr>
          <w:rFonts w:hint="cs"/>
          <w:rtl/>
        </w:rPr>
        <w:t>، به کسانی</w:t>
      </w:r>
      <w:r w:rsidR="00972F02">
        <w:rPr>
          <w:rFonts w:hint="cs"/>
          <w:rtl/>
        </w:rPr>
        <w:t xml:space="preserve"> اختصاص پیدا کرده که</w:t>
      </w:r>
      <w:r w:rsidR="00F97982">
        <w:rPr>
          <w:rFonts w:hint="cs"/>
          <w:rtl/>
        </w:rPr>
        <w:t xml:space="preserve"> به امامت امام هشتم قائل باشند و اگر زمان ائمه بعدی را درک کرده </w:t>
      </w:r>
      <w:r w:rsidR="007A6D3B">
        <w:rPr>
          <w:rFonts w:hint="cs"/>
          <w:rtl/>
        </w:rPr>
        <w:t xml:space="preserve">اند، به آن معتقد باشند. </w:t>
      </w:r>
      <w:r w:rsidR="00F97982">
        <w:rPr>
          <w:rFonts w:hint="cs"/>
          <w:rtl/>
        </w:rPr>
        <w:t xml:space="preserve">در زمان ما، امامی کسی است که اثنا عشری باشد و به دوازده امام معتقد باشد. ایشان در توضیح بیان می کند: این امر به این دلیل است که واقفه، فطحیه و ناووسیه و مانند آن اسم خاص دارند و اگر </w:t>
      </w:r>
      <w:r w:rsidR="00D41930">
        <w:rPr>
          <w:rFonts w:hint="cs"/>
          <w:rtl/>
        </w:rPr>
        <w:t xml:space="preserve">مراد این طوایف از امامیه بود، اسم خاص آنها ذکر می شود. همین امر باعث می شود که کلمه «امامی» به امامیه اثناعشریه </w:t>
      </w:r>
      <w:r w:rsidR="007A6D3B">
        <w:rPr>
          <w:rFonts w:hint="cs"/>
          <w:rtl/>
        </w:rPr>
        <w:t>- با توضیحی که بیان شد-</w:t>
      </w:r>
      <w:r w:rsidR="00D41930">
        <w:rPr>
          <w:rFonts w:hint="cs"/>
          <w:rtl/>
        </w:rPr>
        <w:t xml:space="preserve"> اختصاص پیدا کند. </w:t>
      </w:r>
    </w:p>
    <w:p w:rsidR="00835D65" w:rsidRDefault="00835D65" w:rsidP="00C23BDE">
      <w:pPr>
        <w:jc w:val="both"/>
        <w:rPr>
          <w:rtl/>
        </w:rPr>
      </w:pPr>
      <w:r>
        <w:rPr>
          <w:rFonts w:hint="cs"/>
          <w:rtl/>
        </w:rPr>
        <w:t xml:space="preserve">کلمه «فاسد العقیده» نیز از جهتی شبیه کلمه امامی است. مراد از فاسد العقیده کسی است که فساد عقیده او به نحو ناووسی و فطحی و واقفی نباشد زیرا این فساد عقیده ها اسم خاص دارند و به همین دلیل کلمه فاسد العقیده و فاسد المذهب درباره آنها به کار نمی رفته است. فاسد العقیده و فاسد المذهب در مواردی مانند غلوّ به کار می رود که امور منضبطی نیست که در چارچوب خاص گنجانده شود. به همین جهت در این موارد از «فسد مذهبه» «فاسد العقیده» و «فاسد المذهب» استفاده می شود. </w:t>
      </w:r>
    </w:p>
    <w:p w:rsidR="007A6D3B" w:rsidRDefault="007A6D3B" w:rsidP="00C23BDE">
      <w:pPr>
        <w:pStyle w:val="Heading3"/>
        <w:jc w:val="both"/>
        <w:rPr>
          <w:rtl/>
        </w:rPr>
      </w:pPr>
      <w:bookmarkStart w:id="22" w:name="_Toc117492356"/>
      <w:bookmarkStart w:id="23" w:name="_Toc117492382"/>
      <w:r>
        <w:rPr>
          <w:rFonts w:hint="cs"/>
          <w:rtl/>
        </w:rPr>
        <w:t>استعمالات مخلّط در کلام ائمه رجال</w:t>
      </w:r>
      <w:bookmarkEnd w:id="22"/>
      <w:bookmarkEnd w:id="23"/>
      <w:r>
        <w:rPr>
          <w:rFonts w:hint="cs"/>
          <w:rtl/>
        </w:rPr>
        <w:t xml:space="preserve"> </w:t>
      </w:r>
    </w:p>
    <w:p w:rsidR="007A6D3B" w:rsidRDefault="00835D65" w:rsidP="00C23BDE">
      <w:pPr>
        <w:jc w:val="both"/>
        <w:rPr>
          <w:rtl/>
        </w:rPr>
      </w:pPr>
      <w:r>
        <w:rPr>
          <w:rFonts w:hint="cs"/>
          <w:rtl/>
        </w:rPr>
        <w:t>غالب موارد استعمال کلمه مخلّط و در کلمات ائمه رجال</w:t>
      </w:r>
      <w:r w:rsidR="00F617B5">
        <w:rPr>
          <w:rFonts w:hint="cs"/>
          <w:rtl/>
        </w:rPr>
        <w:t xml:space="preserve"> تخلیط </w:t>
      </w:r>
      <w:r w:rsidR="00F617B5">
        <w:rPr>
          <w:rFonts w:ascii="Sakkal Majalla" w:hAnsi="Sakkal Majalla" w:cs="Sakkal Majalla" w:hint="cs"/>
          <w:rtl/>
        </w:rPr>
        <w:t>–</w:t>
      </w:r>
      <w:r w:rsidR="00F617B5">
        <w:rPr>
          <w:rFonts w:hint="cs"/>
          <w:rtl/>
        </w:rPr>
        <w:t xml:space="preserve"> بیش از 90 درصد استعمالات-</w:t>
      </w:r>
      <w:r>
        <w:rPr>
          <w:rFonts w:hint="cs"/>
          <w:rtl/>
        </w:rPr>
        <w:t xml:space="preserve"> در مواردی است که </w:t>
      </w:r>
      <w:r w:rsidR="00B6547B">
        <w:rPr>
          <w:rFonts w:hint="cs"/>
          <w:rtl/>
        </w:rPr>
        <w:t>با فساد عقیده و غلوّ و مانند آن همراه است. لا اقل کسی ا</w:t>
      </w:r>
      <w:r w:rsidR="00D22292">
        <w:rPr>
          <w:rFonts w:hint="cs"/>
          <w:rtl/>
        </w:rPr>
        <w:t>ست که در مورد او اتهام به غلوّ یا رمی به غلوّ یا</w:t>
      </w:r>
      <w:r w:rsidR="00B6547B">
        <w:rPr>
          <w:rFonts w:hint="cs"/>
          <w:rtl/>
        </w:rPr>
        <w:t xml:space="preserve"> رمی به فساد عقیده مطرح شده است. </w:t>
      </w:r>
      <w:r w:rsidR="00D22292">
        <w:rPr>
          <w:rFonts w:hint="cs"/>
          <w:rtl/>
        </w:rPr>
        <w:t xml:space="preserve">در برخی از موارد در ترجمه خود راوی فساد مذهب درباره راوی مطرح نشده است اما از موارد دیگر می توان فساد مذهب را برداشت کرد. استعمال تخلیط و مخلّط چه درباره راوی و چه درباره کتاب راوی، در مواردی است که فساد مذهب و غلوّ درباره راوی مطرح است. </w:t>
      </w:r>
      <w:r w:rsidR="007A6D3B">
        <w:rPr>
          <w:rFonts w:hint="cs"/>
          <w:rtl/>
        </w:rPr>
        <w:t xml:space="preserve">استعمال کلمه تخلیط به انواع مختلف در کلام ائمه رجال موجود است. </w:t>
      </w:r>
    </w:p>
    <w:p w:rsidR="007A6D3B" w:rsidRDefault="007A6D3B" w:rsidP="00C23BDE">
      <w:pPr>
        <w:pStyle w:val="Heading4"/>
        <w:jc w:val="both"/>
        <w:rPr>
          <w:rtl/>
        </w:rPr>
      </w:pPr>
      <w:bookmarkStart w:id="24" w:name="_Toc117492357"/>
      <w:bookmarkStart w:id="25" w:name="_Toc117492383"/>
      <w:r>
        <w:rPr>
          <w:rFonts w:hint="cs"/>
          <w:rtl/>
        </w:rPr>
        <w:t>نوع اول: مواردی که در ترجمه تصریح به غلو شده است</w:t>
      </w:r>
      <w:bookmarkEnd w:id="24"/>
      <w:bookmarkEnd w:id="25"/>
    </w:p>
    <w:p w:rsidR="00835D65" w:rsidRDefault="00C43C2A" w:rsidP="00C23BDE">
      <w:pPr>
        <w:jc w:val="both"/>
        <w:rPr>
          <w:rtl/>
        </w:rPr>
      </w:pPr>
      <w:r>
        <w:rPr>
          <w:rFonts w:hint="cs"/>
          <w:rtl/>
        </w:rPr>
        <w:t>آدرس مواردی که این واژه ها به کار رفته و ذیل ترجمه درباره راوی یا کتاب، مسأله فساد مذ</w:t>
      </w:r>
      <w:r w:rsidR="007A6D3B">
        <w:rPr>
          <w:rFonts w:hint="cs"/>
          <w:rtl/>
        </w:rPr>
        <w:t xml:space="preserve">هب یا غلو یا رمی غلوّ مطرح است، به شرح ذیل است: </w:t>
      </w:r>
    </w:p>
    <w:p w:rsidR="00C43C2A" w:rsidRDefault="00C43C2A" w:rsidP="00C23BDE">
      <w:pPr>
        <w:jc w:val="both"/>
        <w:rPr>
          <w:rtl/>
        </w:rPr>
      </w:pPr>
      <w:r>
        <w:rPr>
          <w:rFonts w:hint="cs"/>
          <w:rtl/>
        </w:rPr>
        <w:t xml:space="preserve">رجال نجاشی ص 67 رقم 159 ص 73 رقم 178 ص 80 رقم 192 ص 164 رقم 434 ص 217 رقم 566 ص 251 رقم 660 ص 265 رقم 691 ص 267 ذیل رقم 692 ص 329 رقم 891 ص 336 رقم 899 ص 350 رقم 942 </w:t>
      </w:r>
    </w:p>
    <w:p w:rsidR="00C43C2A" w:rsidRDefault="00C43C2A" w:rsidP="00C23BDE">
      <w:pPr>
        <w:jc w:val="both"/>
        <w:rPr>
          <w:rtl/>
        </w:rPr>
      </w:pPr>
      <w:r>
        <w:rPr>
          <w:rFonts w:hint="cs"/>
          <w:rtl/>
        </w:rPr>
        <w:t xml:space="preserve">فهرست شیخ طوسی ص 57 رقم 70 ص 271 رقم 390 ص 406 رقم 620 ص 407 رقم 621 ص 412 رقم 625 ص 413 رقم 627 </w:t>
      </w:r>
    </w:p>
    <w:p w:rsidR="00C43C2A" w:rsidRDefault="00C43C2A" w:rsidP="00C23BDE">
      <w:pPr>
        <w:jc w:val="both"/>
        <w:rPr>
          <w:rtl/>
        </w:rPr>
      </w:pPr>
      <w:r>
        <w:rPr>
          <w:rFonts w:hint="cs"/>
          <w:rtl/>
        </w:rPr>
        <w:t xml:space="preserve">رجال ابن غضائری ص 85 رقم 111 </w:t>
      </w:r>
    </w:p>
    <w:p w:rsidR="007A6D3B" w:rsidRDefault="007A6D3B" w:rsidP="00C23BDE">
      <w:pPr>
        <w:pStyle w:val="Heading4"/>
        <w:jc w:val="both"/>
        <w:rPr>
          <w:rtl/>
        </w:rPr>
      </w:pPr>
      <w:bookmarkStart w:id="26" w:name="_Toc117492358"/>
      <w:bookmarkStart w:id="27" w:name="_Toc117492384"/>
      <w:r>
        <w:rPr>
          <w:rFonts w:hint="cs"/>
          <w:rtl/>
        </w:rPr>
        <w:t>نوع دوم: مواردی که از قرائن دیگر غلو برداشت می شود</w:t>
      </w:r>
      <w:bookmarkEnd w:id="26"/>
      <w:bookmarkEnd w:id="27"/>
    </w:p>
    <w:p w:rsidR="00C43C2A" w:rsidRDefault="00C43C2A" w:rsidP="00C23BDE">
      <w:pPr>
        <w:jc w:val="both"/>
        <w:rPr>
          <w:rtl/>
        </w:rPr>
      </w:pPr>
      <w:r>
        <w:rPr>
          <w:rFonts w:hint="cs"/>
          <w:rtl/>
        </w:rPr>
        <w:t xml:space="preserve">افراد دیگری نیز هستند که کلمه مخلّط درباره آنها به کار رفته است اما در خود ترجمه، فساد مذهب مطرح نیست اما در جای دیگر همین مباحث درباره آنها مطرح است. مانند عمر بن عبد العزیز معروف به زحل که نجاشی ص 286 رقم 754 او را مخلّط را دانسته است. در رجال کشی ذیل عنوان </w:t>
      </w:r>
      <w:r w:rsidR="0086565B" w:rsidRPr="0086565B">
        <w:rPr>
          <w:rtl/>
        </w:rPr>
        <w:t>أبي حفص عمر بن عبد العزيز بن أبي بشار المعروف بزحل</w:t>
      </w:r>
      <w:r w:rsidR="0086565B">
        <w:rPr>
          <w:rFonts w:hint="cs"/>
          <w:rtl/>
        </w:rPr>
        <w:t xml:space="preserve"> از فضل بن شاذان نقل می کند: </w:t>
      </w:r>
      <w:r w:rsidR="0086565B" w:rsidRPr="0086565B">
        <w:rPr>
          <w:color w:val="000080"/>
          <w:rtl/>
        </w:rPr>
        <w:t>زحل أبو حفص يروي المناكير و ليس بغال</w:t>
      </w:r>
      <w:r w:rsidR="0086565B" w:rsidRPr="0086565B">
        <w:rPr>
          <w:rtl/>
        </w:rPr>
        <w:t>.</w:t>
      </w:r>
      <w:r w:rsidR="0086565B">
        <w:rPr>
          <w:rStyle w:val="FootnoteReference"/>
          <w:rtl/>
        </w:rPr>
        <w:footnoteReference w:id="17"/>
      </w:r>
    </w:p>
    <w:p w:rsidR="0086565B" w:rsidRDefault="0086565B" w:rsidP="00C23BDE">
      <w:pPr>
        <w:jc w:val="both"/>
        <w:rPr>
          <w:color w:val="000080"/>
          <w:rtl/>
        </w:rPr>
      </w:pPr>
      <w:r>
        <w:rPr>
          <w:rFonts w:hint="cs"/>
          <w:rtl/>
        </w:rPr>
        <w:t xml:space="preserve">در رجال نجاشی ص 448 رقم 1210 درباره یونس به ظبیان گفته شده: </w:t>
      </w:r>
      <w:r w:rsidRPr="0086565B">
        <w:rPr>
          <w:color w:val="000080"/>
          <w:rtl/>
        </w:rPr>
        <w:t>ضعيف جدا لا يلتفت إلى ما رواه. كل كتبه تخليط</w:t>
      </w:r>
    </w:p>
    <w:p w:rsidR="00C43C2A" w:rsidRDefault="0086565B" w:rsidP="00C23BDE">
      <w:pPr>
        <w:jc w:val="both"/>
        <w:rPr>
          <w:color w:val="000080"/>
          <w:rtl/>
        </w:rPr>
      </w:pPr>
      <w:r>
        <w:rPr>
          <w:rFonts w:hint="cs"/>
          <w:rtl/>
        </w:rPr>
        <w:t xml:space="preserve">در رجال ابن غضائری ص 101 رقم 152 درباره یونس بن ظبیان می نویسد: </w:t>
      </w:r>
      <w:r w:rsidRPr="0086565B">
        <w:rPr>
          <w:color w:val="000080"/>
          <w:rtl/>
        </w:rPr>
        <w:t>غال وضاع للحديث. روى عن أبي عبد الله عليه السلام. لا يلتفت إلى حديثه</w:t>
      </w:r>
    </w:p>
    <w:p w:rsidR="0086565B" w:rsidRPr="0086565B" w:rsidRDefault="0086565B" w:rsidP="00C23BDE">
      <w:pPr>
        <w:jc w:val="both"/>
        <w:rPr>
          <w:rtl/>
        </w:rPr>
      </w:pPr>
      <w:r>
        <w:rPr>
          <w:rFonts w:hint="cs"/>
          <w:rtl/>
        </w:rPr>
        <w:t xml:space="preserve">در رجال کشی ص 363 رقم 673 ص 364 رقم 674  نیز روایاتی دارد که همین معنای لغوّ از آنها استفاده می شود.  </w:t>
      </w:r>
    </w:p>
    <w:p w:rsidR="0086565B" w:rsidRDefault="0086565B" w:rsidP="00C23BDE">
      <w:pPr>
        <w:jc w:val="both"/>
        <w:rPr>
          <w:color w:val="000080"/>
          <w:rtl/>
        </w:rPr>
      </w:pPr>
      <w:r>
        <w:rPr>
          <w:rFonts w:hint="cs"/>
          <w:rtl/>
        </w:rPr>
        <w:t xml:space="preserve">در رجال ابن غضائری ص 56 رقم 43  درباره خیبری بن علی می نویسد: </w:t>
      </w:r>
      <w:r w:rsidRPr="0086565B">
        <w:rPr>
          <w:color w:val="000080"/>
          <w:rtl/>
        </w:rPr>
        <w:t>ضعيف الحديث غالي المذهب كان يصحب يونس بن ظبيان و يكثر الرواية عنه‏</w:t>
      </w:r>
    </w:p>
    <w:p w:rsidR="0086565B" w:rsidRDefault="0086565B" w:rsidP="00C23BDE">
      <w:pPr>
        <w:jc w:val="both"/>
        <w:rPr>
          <w:rtl/>
        </w:rPr>
      </w:pPr>
      <w:r>
        <w:rPr>
          <w:rFonts w:hint="cs"/>
          <w:rtl/>
        </w:rPr>
        <w:t>در رجال طوسی</w:t>
      </w:r>
      <w:r w:rsidR="00C01BC7">
        <w:rPr>
          <w:rStyle w:val="FootnoteReference"/>
          <w:rtl/>
        </w:rPr>
        <w:footnoteReference w:id="18"/>
      </w:r>
      <w:r>
        <w:rPr>
          <w:rFonts w:hint="cs"/>
          <w:rtl/>
        </w:rPr>
        <w:t xml:space="preserve"> علی بن احمد عقیقی را مخلّط دانسته است و در فهرست دارد: </w:t>
      </w:r>
      <w:r w:rsidRPr="00C01BC7">
        <w:rPr>
          <w:rFonts w:hint="cs"/>
          <w:color w:val="000080"/>
          <w:rtl/>
        </w:rPr>
        <w:t>فی حدیث العقیقی مناکیر</w:t>
      </w:r>
      <w:r w:rsidR="00C01BC7">
        <w:rPr>
          <w:rFonts w:hint="cs"/>
          <w:rtl/>
        </w:rPr>
        <w:t>.</w:t>
      </w:r>
      <w:r w:rsidR="00C01BC7">
        <w:rPr>
          <w:rStyle w:val="FootnoteReference"/>
          <w:rtl/>
        </w:rPr>
        <w:footnoteReference w:id="19"/>
      </w:r>
      <w:r w:rsidR="00C01BC7">
        <w:rPr>
          <w:rFonts w:hint="cs"/>
          <w:rtl/>
        </w:rPr>
        <w:t xml:space="preserve"> </w:t>
      </w:r>
      <w:r>
        <w:rPr>
          <w:rFonts w:hint="cs"/>
          <w:rtl/>
        </w:rPr>
        <w:t xml:space="preserve">درباره عقیقی توضیحی در جلسه آینده اشاره خواهد شد که تخلیط به معنای فساد مذهب است ولی نوعا فساد مذهب از متن شناسی و از نقل روایات نادرست، استخراج می شده است. </w:t>
      </w:r>
    </w:p>
    <w:p w:rsidR="007A6D3B" w:rsidRDefault="007A6D3B" w:rsidP="00C23BDE">
      <w:pPr>
        <w:pStyle w:val="Heading4"/>
        <w:jc w:val="both"/>
        <w:rPr>
          <w:rtl/>
        </w:rPr>
      </w:pPr>
      <w:bookmarkStart w:id="28" w:name="_Toc117492359"/>
      <w:bookmarkStart w:id="29" w:name="_Toc117492385"/>
      <w:r>
        <w:rPr>
          <w:rFonts w:hint="cs"/>
          <w:rtl/>
        </w:rPr>
        <w:t>نوع سوم: مواردی که تخلیط معطوف به غلو است</w:t>
      </w:r>
      <w:bookmarkEnd w:id="28"/>
      <w:bookmarkEnd w:id="29"/>
      <w:r>
        <w:rPr>
          <w:rFonts w:hint="cs"/>
          <w:rtl/>
        </w:rPr>
        <w:t xml:space="preserve"> </w:t>
      </w:r>
    </w:p>
    <w:p w:rsidR="00C01BC7" w:rsidRDefault="002B0AC0" w:rsidP="00C23BDE">
      <w:pPr>
        <w:jc w:val="both"/>
        <w:rPr>
          <w:rtl/>
        </w:rPr>
      </w:pPr>
      <w:r>
        <w:rPr>
          <w:rFonts w:hint="cs"/>
          <w:rtl/>
        </w:rPr>
        <w:t>موارد دیگری وجود دارد که تخلیط و غلو با واو یا او عطف به همدیگر ع</w:t>
      </w:r>
      <w:r w:rsidR="000977A7">
        <w:rPr>
          <w:rFonts w:hint="cs"/>
          <w:rtl/>
        </w:rPr>
        <w:t>طف شده اند که مؤید همین معنا برای مخلّط است. تنها آدرس آنها را ذکر می کنیم:</w:t>
      </w:r>
    </w:p>
    <w:p w:rsidR="000977A7" w:rsidRDefault="000977A7" w:rsidP="00C23BDE">
      <w:pPr>
        <w:jc w:val="both"/>
        <w:rPr>
          <w:rtl/>
        </w:rPr>
      </w:pPr>
      <w:r>
        <w:rPr>
          <w:rFonts w:hint="cs"/>
          <w:rtl/>
        </w:rPr>
        <w:t xml:space="preserve">رجال نجاشی ص 80 رقم 192 ذیل ترجمه سیاری که در فهرست شیخ ص 57 رقم 80 نیز وارد شده است. </w:t>
      </w:r>
    </w:p>
    <w:p w:rsidR="000977A7" w:rsidRDefault="000977A7" w:rsidP="00C23BDE">
      <w:pPr>
        <w:jc w:val="both"/>
        <w:rPr>
          <w:rtl/>
        </w:rPr>
      </w:pPr>
      <w:r>
        <w:rPr>
          <w:rFonts w:hint="cs"/>
          <w:rtl/>
        </w:rPr>
        <w:t xml:space="preserve">رجال نجاشی ص 326 رقم 199 </w:t>
      </w:r>
      <w:r>
        <w:rPr>
          <w:rStyle w:val="FootnoteReference"/>
          <w:rtl/>
        </w:rPr>
        <w:footnoteReference w:id="20"/>
      </w:r>
      <w:r>
        <w:rPr>
          <w:rFonts w:hint="cs"/>
          <w:rtl/>
        </w:rPr>
        <w:t xml:space="preserve"> که در شرح حال آن غلو است هر چند تصریح به غلو نشده است. </w:t>
      </w:r>
    </w:p>
    <w:p w:rsidR="000977A7" w:rsidRDefault="000977A7" w:rsidP="00C23BDE">
      <w:pPr>
        <w:jc w:val="both"/>
        <w:rPr>
          <w:rtl/>
        </w:rPr>
      </w:pPr>
      <w:r>
        <w:rPr>
          <w:rFonts w:hint="cs"/>
          <w:rtl/>
        </w:rPr>
        <w:t xml:space="preserve">فهرست ص 406 رقم 620  ص 407 رقم 621  ص 409 رقم 623 و ص 412 رقم 625 ص 413 رقم 627 </w:t>
      </w:r>
    </w:p>
    <w:p w:rsidR="007A6D3B" w:rsidRDefault="007A6D3B" w:rsidP="00C23BDE">
      <w:pPr>
        <w:pStyle w:val="Heading3"/>
        <w:jc w:val="both"/>
        <w:rPr>
          <w:rtl/>
        </w:rPr>
      </w:pPr>
      <w:bookmarkStart w:id="30" w:name="_Toc117492360"/>
      <w:bookmarkStart w:id="31" w:name="_Toc117492386"/>
      <w:r>
        <w:rPr>
          <w:rFonts w:hint="cs"/>
          <w:rtl/>
        </w:rPr>
        <w:t>استشهاد به کلام شیخ در عده برای شناخت معنای تخلیط</w:t>
      </w:r>
      <w:bookmarkEnd w:id="30"/>
      <w:bookmarkEnd w:id="31"/>
      <w:r>
        <w:rPr>
          <w:rFonts w:hint="cs"/>
          <w:rtl/>
        </w:rPr>
        <w:t xml:space="preserve"> </w:t>
      </w:r>
    </w:p>
    <w:p w:rsidR="000977A7" w:rsidRDefault="000977A7" w:rsidP="00C23BDE">
      <w:pPr>
        <w:jc w:val="both"/>
        <w:rPr>
          <w:rtl/>
        </w:rPr>
      </w:pPr>
      <w:r>
        <w:rPr>
          <w:rFonts w:hint="cs"/>
          <w:rtl/>
        </w:rPr>
        <w:t>علاوه بر اینها در عده شیخ طوسی</w:t>
      </w:r>
      <w:r w:rsidR="00AD4475">
        <w:rPr>
          <w:rStyle w:val="FootnoteReference"/>
          <w:rtl/>
        </w:rPr>
        <w:footnoteReference w:id="21"/>
      </w:r>
      <w:r>
        <w:rPr>
          <w:rFonts w:hint="cs"/>
          <w:rtl/>
        </w:rPr>
        <w:t xml:space="preserve"> ب</w:t>
      </w:r>
      <w:r w:rsidR="00AD4475">
        <w:rPr>
          <w:rFonts w:hint="cs"/>
          <w:rtl/>
        </w:rPr>
        <w:t>حث تخلیط ذیل غلوّ مطرح شده است:</w:t>
      </w:r>
    </w:p>
    <w:p w:rsidR="000E4F88" w:rsidRDefault="00AD4475" w:rsidP="00C23BDE">
      <w:pPr>
        <w:jc w:val="both"/>
        <w:rPr>
          <w:color w:val="000080"/>
          <w:rtl/>
        </w:rPr>
      </w:pPr>
      <w:r w:rsidRPr="00AD4475">
        <w:rPr>
          <w:color w:val="000080"/>
          <w:rtl/>
        </w:rPr>
        <w:t xml:space="preserve">و أما ما ترويه الغلاة، و المتهمون، و المضعفون و غير هؤلاء، فما يختص الغلاة بروايته، فإن كانوا ممن عرف لهم حال استقامة و حال غلو، عمل بما رووه في حال الاستقامة و ترك ما رووه في حال خطاءهم، </w:t>
      </w:r>
    </w:p>
    <w:p w:rsidR="000E4F88" w:rsidRPr="000E4F88" w:rsidRDefault="000E4F88" w:rsidP="00C23BDE">
      <w:pPr>
        <w:jc w:val="both"/>
        <w:rPr>
          <w:color w:val="000000"/>
          <w:rtl/>
        </w:rPr>
      </w:pPr>
      <w:r>
        <w:rPr>
          <w:rFonts w:hint="cs"/>
          <w:rtl/>
        </w:rPr>
        <w:t>«</w:t>
      </w:r>
      <w:r w:rsidRPr="000E4F88">
        <w:rPr>
          <w:rtl/>
        </w:rPr>
        <w:t xml:space="preserve"> </w:t>
      </w:r>
      <w:r w:rsidRPr="00AD4475">
        <w:rPr>
          <w:rtl/>
        </w:rPr>
        <w:t>حال خطاءهم</w:t>
      </w:r>
      <w:r>
        <w:rPr>
          <w:rFonts w:hint="cs"/>
          <w:rtl/>
        </w:rPr>
        <w:t>» دو نسخه بدل دیگر دارد در حاشیه «تخلیطهم» دارد و در اوثق الوسائل</w:t>
      </w:r>
      <w:r>
        <w:rPr>
          <w:rStyle w:val="FootnoteReference"/>
          <w:rtl/>
        </w:rPr>
        <w:footnoteReference w:id="22"/>
      </w:r>
      <w:r>
        <w:rPr>
          <w:rFonts w:hint="cs"/>
          <w:rtl/>
        </w:rPr>
        <w:t xml:space="preserve"> به لفظ «خلطهم» از عده نقل کرده است اما معمولا همان «خطاءهم» نقل شده است. مانند قوانین ج 2 ص 478 و مفاتیح الاصول ص 365 در متن چاپی نیز به همین صورت موجود است. </w:t>
      </w:r>
    </w:p>
    <w:p w:rsidR="000E4F88" w:rsidRPr="000E4F88" w:rsidRDefault="000E4F88" w:rsidP="00C23BDE">
      <w:pPr>
        <w:jc w:val="both"/>
        <w:rPr>
          <w:color w:val="000000"/>
          <w:rtl/>
        </w:rPr>
      </w:pPr>
      <w:r>
        <w:rPr>
          <w:rFonts w:hint="cs"/>
          <w:rtl/>
        </w:rPr>
        <w:t>در ادامه می نویسد:</w:t>
      </w:r>
    </w:p>
    <w:p w:rsidR="00AD4475" w:rsidRDefault="00AD4475" w:rsidP="00C23BDE">
      <w:pPr>
        <w:jc w:val="both"/>
        <w:rPr>
          <w:color w:val="000080"/>
          <w:rtl/>
        </w:rPr>
      </w:pPr>
      <w:r w:rsidRPr="00AD4475">
        <w:rPr>
          <w:color w:val="000080"/>
          <w:rtl/>
        </w:rPr>
        <w:t xml:space="preserve">و لأجل ذلك عملت الطائفة بما رواه أبو الخطاب محمد بن أبي زينب في حال استقامته و تركوا ما رواه في </w:t>
      </w:r>
      <w:r w:rsidRPr="008B3EA1">
        <w:rPr>
          <w:b/>
          <w:bCs/>
          <w:color w:val="000080"/>
          <w:u w:val="single"/>
          <w:rtl/>
        </w:rPr>
        <w:t>حال تخليطه</w:t>
      </w:r>
      <w:r w:rsidRPr="008B3EA1">
        <w:rPr>
          <w:b/>
          <w:bCs/>
          <w:color w:val="000080"/>
          <w:rtl/>
        </w:rPr>
        <w:t>،</w:t>
      </w:r>
      <w:r w:rsidRPr="00AD4475">
        <w:rPr>
          <w:color w:val="000080"/>
          <w:rtl/>
        </w:rPr>
        <w:t xml:space="preserve"> و كذلك القول في أحمد بن هلال العبرتائي، و ابن أبي عذافر و غير هؤلاء.</w:t>
      </w:r>
      <w:r w:rsidRPr="00AD4475">
        <w:rPr>
          <w:rFonts w:hint="cs"/>
          <w:color w:val="000080"/>
          <w:rtl/>
        </w:rPr>
        <w:t xml:space="preserve"> </w:t>
      </w:r>
      <w:r w:rsidRPr="00AD4475">
        <w:rPr>
          <w:color w:val="000080"/>
          <w:rtl/>
        </w:rPr>
        <w:t>فأما ما يرويه في حال تخليطهم فلا يجوز العمل به على كل حال.</w:t>
      </w:r>
    </w:p>
    <w:p w:rsidR="008B3EA1" w:rsidRDefault="008B3EA1" w:rsidP="00C23BDE">
      <w:pPr>
        <w:jc w:val="both"/>
        <w:rPr>
          <w:rtl/>
        </w:rPr>
      </w:pPr>
      <w:r>
        <w:rPr>
          <w:rFonts w:hint="cs"/>
          <w:rtl/>
        </w:rPr>
        <w:t xml:space="preserve">«عذافر» صحیح نیست و «عذاقر» درست است. «یرویه» باید «ِیروونه» باشد. </w:t>
      </w:r>
    </w:p>
    <w:p w:rsidR="00F63323" w:rsidRDefault="00F63323" w:rsidP="00C23BDE">
      <w:pPr>
        <w:jc w:val="both"/>
        <w:rPr>
          <w:rtl/>
        </w:rPr>
      </w:pPr>
      <w:r>
        <w:rPr>
          <w:rFonts w:hint="cs"/>
          <w:rtl/>
        </w:rPr>
        <w:t>تخلیط به این اعتبار که مصداق خطاست به کار می رود و به همین دلیل در عبارت عده نیز در یک جا، خطا به کار رفته و در یک جا تخلیط به کار رفته است. تخلیط در لغت به معنای افساد آمده است. تخلیط به معنای انحراف</w:t>
      </w:r>
      <w:r w:rsidR="007A6D3B">
        <w:rPr>
          <w:rFonts w:hint="cs"/>
          <w:rtl/>
        </w:rPr>
        <w:t>،</w:t>
      </w:r>
      <w:r>
        <w:rPr>
          <w:rFonts w:hint="cs"/>
          <w:rtl/>
        </w:rPr>
        <w:t xml:space="preserve"> از همین معنای افساد و خطاست که نوعی خطای عقیدتی است. مرحوم شیخ در ادامه عبارتی دارد که مؤید این است که ایشان غلات را مخطیء در اعتقاد می داند و به همین دلیل می نویسد: </w:t>
      </w:r>
    </w:p>
    <w:p w:rsidR="00F63323" w:rsidRDefault="00F63323" w:rsidP="00C23BDE">
      <w:pPr>
        <w:jc w:val="both"/>
        <w:rPr>
          <w:color w:val="000080"/>
          <w:rtl/>
        </w:rPr>
      </w:pPr>
      <w:r w:rsidRPr="00F63323">
        <w:rPr>
          <w:color w:val="000080"/>
          <w:rtl/>
        </w:rPr>
        <w:t>فأما من كان مخطئا ف</w:t>
      </w:r>
      <w:r>
        <w:rPr>
          <w:color w:val="000080"/>
          <w:rtl/>
        </w:rPr>
        <w:t>ي بعض الأفعال، أو فاسقا بأفعا</w:t>
      </w:r>
      <w:r>
        <w:rPr>
          <w:rFonts w:hint="cs"/>
          <w:color w:val="000080"/>
          <w:rtl/>
        </w:rPr>
        <w:t xml:space="preserve">ل </w:t>
      </w:r>
      <w:r w:rsidRPr="00F63323">
        <w:rPr>
          <w:color w:val="000080"/>
          <w:rtl/>
        </w:rPr>
        <w:t>الجوارح، و كان ثقة في روايته متحرزا فيها،</w:t>
      </w:r>
    </w:p>
    <w:p w:rsidR="009E53DC" w:rsidRDefault="00F63323" w:rsidP="00C23BDE">
      <w:pPr>
        <w:jc w:val="both"/>
        <w:rPr>
          <w:rtl/>
        </w:rPr>
      </w:pPr>
      <w:r>
        <w:rPr>
          <w:rFonts w:hint="cs"/>
          <w:rtl/>
        </w:rPr>
        <w:t xml:space="preserve">در مجموع به نظر می رسد، "تخلیط" به معنای انحراف عقیدتی است که اصل آن از معنای لغوی خطا و افساد است که یا در اصطلاح رجالی ها به این معنا نقل پیدا کرده یا انصراف پیدا کرده است. چنانچه در جلّ موارد استعمالات در کتب رجال، به همین معناست. </w:t>
      </w:r>
    </w:p>
    <w:p w:rsidR="009E53DC" w:rsidRDefault="009E53DC" w:rsidP="00C23BDE">
      <w:pPr>
        <w:pStyle w:val="Heading4"/>
        <w:jc w:val="both"/>
        <w:rPr>
          <w:rtl/>
        </w:rPr>
      </w:pPr>
      <w:bookmarkStart w:id="32" w:name="_Toc117492361"/>
      <w:bookmarkStart w:id="33" w:name="_Toc117492387"/>
      <w:r>
        <w:rPr>
          <w:rFonts w:hint="cs"/>
          <w:rtl/>
        </w:rPr>
        <w:t>نوع چهارم: مواردی که روشن نیست به معنای فساد عقیده باشد</w:t>
      </w:r>
      <w:bookmarkEnd w:id="32"/>
      <w:bookmarkEnd w:id="33"/>
    </w:p>
    <w:p w:rsidR="00F63323" w:rsidRDefault="00F63323" w:rsidP="00C23BDE">
      <w:pPr>
        <w:jc w:val="both"/>
        <w:rPr>
          <w:rtl/>
        </w:rPr>
      </w:pPr>
      <w:r>
        <w:rPr>
          <w:rFonts w:hint="cs"/>
          <w:rtl/>
        </w:rPr>
        <w:t xml:space="preserve">تنها چند مورد در کل استعمالات </w:t>
      </w:r>
      <w:r w:rsidR="00263E8C">
        <w:rPr>
          <w:rFonts w:hint="cs"/>
          <w:rtl/>
        </w:rPr>
        <w:t xml:space="preserve">وجود </w:t>
      </w:r>
      <w:r>
        <w:rPr>
          <w:rFonts w:hint="cs"/>
          <w:rtl/>
        </w:rPr>
        <w:t xml:space="preserve">دارد که </w:t>
      </w:r>
      <w:r w:rsidR="00263E8C">
        <w:rPr>
          <w:rFonts w:hint="cs"/>
          <w:rtl/>
        </w:rPr>
        <w:t xml:space="preserve">روشن نیست به معنای فساد عقیده باشد که </w:t>
      </w:r>
      <w:r>
        <w:rPr>
          <w:rFonts w:hint="cs"/>
          <w:rtl/>
        </w:rPr>
        <w:t xml:space="preserve">آدرس آنها ذکر می شود و در جلسه آینده درباره آن بحث می شود: </w:t>
      </w:r>
    </w:p>
    <w:p w:rsidR="00263E8C" w:rsidRDefault="00263E8C" w:rsidP="00C23BDE">
      <w:pPr>
        <w:jc w:val="both"/>
        <w:rPr>
          <w:rtl/>
        </w:rPr>
      </w:pPr>
      <w:r>
        <w:rPr>
          <w:rFonts w:hint="cs"/>
          <w:rtl/>
        </w:rPr>
        <w:t xml:space="preserve">در ترجمه عطاء بن رباح در رجال شیخ طوسی ص 175 رقم 721 </w:t>
      </w:r>
    </w:p>
    <w:p w:rsidR="00263E8C" w:rsidRDefault="00263E8C" w:rsidP="00C23BDE">
      <w:pPr>
        <w:jc w:val="both"/>
        <w:rPr>
          <w:rtl/>
        </w:rPr>
      </w:pPr>
      <w:r>
        <w:rPr>
          <w:rFonts w:hint="cs"/>
          <w:rtl/>
        </w:rPr>
        <w:t xml:space="preserve">در ترجمه سلمه بن صالح الاحمر در رجال طوسی ص 219 رقم 2910 </w:t>
      </w:r>
    </w:p>
    <w:p w:rsidR="00263E8C" w:rsidRDefault="00263E8C" w:rsidP="00C23BDE">
      <w:pPr>
        <w:jc w:val="both"/>
        <w:rPr>
          <w:rtl/>
        </w:rPr>
      </w:pPr>
      <w:r>
        <w:rPr>
          <w:rFonts w:hint="cs"/>
          <w:rtl/>
        </w:rPr>
        <w:t xml:space="preserve">در ترجمه محمد بن وهبان در رجال نجاشی ص 396 رقم 1060 «قلیل التخلیط» آمده است که شاهدی وجود ندارد که مراد از آن فساد عقیده باشد چنانچه دلیل بر نفی نیز نداریم. </w:t>
      </w:r>
    </w:p>
    <w:p w:rsidR="00263E8C" w:rsidRDefault="00263E8C" w:rsidP="00C23BDE">
      <w:pPr>
        <w:jc w:val="both"/>
        <w:rPr>
          <w:rtl/>
        </w:rPr>
      </w:pPr>
      <w:r>
        <w:rPr>
          <w:rFonts w:hint="cs"/>
          <w:rtl/>
        </w:rPr>
        <w:t xml:space="preserve">این موارد نیازمند توضیح است که در جلسه آینده بیان می شود و نکات دیگری نیز وجود دارد که ذکر می شود. در حال حاضر وارد بحث از مختلط نمی شویم که فردا درباره آن توضیح می دهیم. </w:t>
      </w:r>
    </w:p>
    <w:p w:rsidR="00263E8C" w:rsidRDefault="00263E8C" w:rsidP="00C23BDE">
      <w:pPr>
        <w:jc w:val="both"/>
        <w:rPr>
          <w:rtl/>
        </w:rPr>
      </w:pPr>
      <w:r>
        <w:rPr>
          <w:rFonts w:hint="cs"/>
          <w:rtl/>
        </w:rPr>
        <w:t xml:space="preserve">خلاصه آنکه، کلمه تخلیط و مخلّط در جلّ موارد استعمال در کتاب رجالی ها، به معنای فاسد العقیده در امور شبیه به غلوّ یا مراتب پایین تر از غلوّ است. در سماء المقال می نویسد: </w:t>
      </w:r>
    </w:p>
    <w:p w:rsidR="00F63323" w:rsidRPr="00263E8C" w:rsidRDefault="00263E8C" w:rsidP="00C23BDE">
      <w:pPr>
        <w:jc w:val="both"/>
        <w:rPr>
          <w:color w:val="000080"/>
          <w:rtl/>
        </w:rPr>
      </w:pPr>
      <w:r w:rsidRPr="00263E8C">
        <w:rPr>
          <w:color w:val="000080"/>
          <w:rtl/>
        </w:rPr>
        <w:t xml:space="preserve">ذكر بعض أصحابنا أن الظاهر من تتبع كلماتهم، أنه عبارة عن القول بالمناكير، سواء بلغ الغلو أم لا. </w:t>
      </w:r>
      <w:r>
        <w:rPr>
          <w:rStyle w:val="FootnoteReference"/>
          <w:color w:val="000080"/>
          <w:rtl/>
        </w:rPr>
        <w:footnoteReference w:id="23"/>
      </w:r>
    </w:p>
    <w:p w:rsidR="000E4F88" w:rsidRPr="000E4F88" w:rsidRDefault="00263E8C" w:rsidP="00C23BDE">
      <w:pPr>
        <w:jc w:val="both"/>
        <w:rPr>
          <w:rtl/>
        </w:rPr>
      </w:pPr>
      <w:r>
        <w:rPr>
          <w:rFonts w:hint="cs"/>
          <w:rtl/>
        </w:rPr>
        <w:t xml:space="preserve">مراد از مناکیر مطالبی است که مرتبط با عقائد مرتبط با مقامات ائمه علیهم السلام است و از مراتب پایین غلو شمرده می شود. پس مراد از فساد عقیده این مفاهیم خاص است. </w:t>
      </w:r>
    </w:p>
    <w:sectPr w:rsidR="000E4F88" w:rsidRPr="000E4F8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2F" w:rsidRDefault="0076172F" w:rsidP="008B750B">
      <w:pPr>
        <w:spacing w:line="240" w:lineRule="auto"/>
      </w:pPr>
      <w:r>
        <w:separator/>
      </w:r>
    </w:p>
  </w:endnote>
  <w:endnote w:type="continuationSeparator" w:id="0">
    <w:p w:rsidR="0076172F" w:rsidRDefault="007617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E6F6D" w:rsidRPr="003E6F6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950E4" w:rsidP="001B6799">
          <w:pPr>
            <w:pStyle w:val="Footer"/>
            <w:bidi w:val="0"/>
            <w:rPr>
              <w:color w:val="808080" w:themeColor="background1" w:themeShade="80"/>
              <w:rtl/>
            </w:rPr>
          </w:pPr>
          <w:bookmarkStart w:id="41" w:name="BokAdres"/>
          <w:bookmarkEnd w:id="41"/>
          <w:r>
            <w:rPr>
              <w:color w:val="808080" w:themeColor="background1" w:themeShade="80"/>
            </w:rPr>
            <w:t>F1js1_14010801-013_mk3_mfeb.ir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2F" w:rsidRDefault="0076172F" w:rsidP="008B750B">
      <w:pPr>
        <w:spacing w:line="240" w:lineRule="auto"/>
      </w:pPr>
      <w:r>
        <w:separator/>
      </w:r>
    </w:p>
  </w:footnote>
  <w:footnote w:type="continuationSeparator" w:id="0">
    <w:p w:rsidR="0076172F" w:rsidRDefault="0076172F" w:rsidP="008B750B">
      <w:pPr>
        <w:spacing w:line="240" w:lineRule="auto"/>
      </w:pPr>
      <w:r>
        <w:continuationSeparator/>
      </w:r>
    </w:p>
  </w:footnote>
  <w:footnote w:id="1">
    <w:p w:rsidR="00C363AE" w:rsidRDefault="00C363AE" w:rsidP="00C363AE">
      <w:pPr>
        <w:pStyle w:val="FootnoteText"/>
      </w:pPr>
      <w:r>
        <w:rPr>
          <w:rStyle w:val="FootnoteReference"/>
        </w:rPr>
        <w:footnoteRef/>
      </w:r>
      <w:r>
        <w:rPr>
          <w:rtl/>
        </w:rPr>
        <w:t xml:space="preserve"> </w:t>
      </w:r>
      <w:r>
        <w:rPr>
          <w:rFonts w:hint="cs"/>
          <w:rtl/>
        </w:rPr>
        <w:t xml:space="preserve">منتهی المقال؛ ج 1، ص: 120 </w:t>
      </w:r>
    </w:p>
  </w:footnote>
  <w:footnote w:id="2">
    <w:p w:rsidR="00C363AE" w:rsidRDefault="00C363AE">
      <w:pPr>
        <w:pStyle w:val="FootnoteText"/>
      </w:pPr>
      <w:r>
        <w:rPr>
          <w:rStyle w:val="FootnoteReference"/>
        </w:rPr>
        <w:footnoteRef/>
      </w:r>
      <w:r>
        <w:rPr>
          <w:rtl/>
        </w:rPr>
        <w:t xml:space="preserve"> </w:t>
      </w:r>
      <w:r>
        <w:rPr>
          <w:rFonts w:hint="cs"/>
          <w:rtl/>
        </w:rPr>
        <w:t xml:space="preserve">منتهی </w:t>
      </w:r>
      <w:r>
        <w:rPr>
          <w:rFonts w:hint="cs"/>
          <w:rtl/>
        </w:rPr>
        <w:t>المقال؛ ج 1، ص: 122</w:t>
      </w:r>
    </w:p>
  </w:footnote>
  <w:footnote w:id="3">
    <w:p w:rsidR="00DC0734" w:rsidRDefault="00DC0734">
      <w:pPr>
        <w:pStyle w:val="FootnoteText"/>
      </w:pPr>
      <w:r>
        <w:rPr>
          <w:rFonts w:hint="cs"/>
          <w:rtl/>
        </w:rPr>
        <w:t xml:space="preserve"> </w:t>
      </w:r>
      <w:r>
        <w:rPr>
          <w:rStyle w:val="FootnoteReference"/>
        </w:rPr>
        <w:footnoteRef/>
      </w:r>
      <w:r>
        <w:rPr>
          <w:rtl/>
        </w:rPr>
        <w:t xml:space="preserve"> </w:t>
      </w:r>
      <w:hyperlink r:id="rId1" w:history="1">
        <w:r w:rsidRPr="00DC0734">
          <w:rPr>
            <w:rStyle w:val="Hyperlink"/>
            <w:rFonts w:hint="cs"/>
            <w:rtl/>
          </w:rPr>
          <w:t xml:space="preserve">المجروحین؛ </w:t>
        </w:r>
        <w:r w:rsidRPr="00DC0734">
          <w:rPr>
            <w:rStyle w:val="Hyperlink"/>
            <w:rFonts w:hint="cs"/>
            <w:rtl/>
          </w:rPr>
          <w:t>ج 2، ص: 57</w:t>
        </w:r>
      </w:hyperlink>
      <w:r>
        <w:rPr>
          <w:rFonts w:hint="cs"/>
          <w:rtl/>
        </w:rPr>
        <w:t xml:space="preserve"> </w:t>
      </w:r>
    </w:p>
  </w:footnote>
  <w:footnote w:id="4">
    <w:p w:rsidR="00DC0734" w:rsidRDefault="00DC0734">
      <w:pPr>
        <w:pStyle w:val="FootnoteText"/>
      </w:pPr>
      <w:r>
        <w:rPr>
          <w:rStyle w:val="FootnoteReference"/>
        </w:rPr>
        <w:footnoteRef/>
      </w:r>
      <w:r>
        <w:rPr>
          <w:rtl/>
        </w:rPr>
        <w:t xml:space="preserve"> </w:t>
      </w:r>
      <w:hyperlink r:id="rId2" w:history="1">
        <w:r w:rsidRPr="00DC0734">
          <w:rPr>
            <w:rStyle w:val="Hyperlink"/>
            <w:rFonts w:hint="cs"/>
            <w:rtl/>
          </w:rPr>
          <w:t xml:space="preserve">المغنی </w:t>
        </w:r>
        <w:r w:rsidRPr="00DC0734">
          <w:rPr>
            <w:rStyle w:val="Hyperlink"/>
            <w:rFonts w:hint="cs"/>
            <w:rtl/>
          </w:rPr>
          <w:t>فی الضعفاء؛ ج 2، ص: 618</w:t>
        </w:r>
      </w:hyperlink>
    </w:p>
  </w:footnote>
  <w:footnote w:id="5">
    <w:p w:rsidR="00B16CE8" w:rsidRDefault="00B16CE8">
      <w:pPr>
        <w:pStyle w:val="FootnoteText"/>
      </w:pPr>
      <w:r>
        <w:rPr>
          <w:rStyle w:val="FootnoteReference"/>
        </w:rPr>
        <w:footnoteRef/>
      </w:r>
      <w:r>
        <w:rPr>
          <w:rtl/>
        </w:rPr>
        <w:t xml:space="preserve"> </w:t>
      </w:r>
      <w:hyperlink r:id="rId3" w:history="1">
        <w:r w:rsidRPr="00B16CE8">
          <w:rPr>
            <w:rStyle w:val="Hyperlink"/>
            <w:rFonts w:hint="cs"/>
            <w:rtl/>
          </w:rPr>
          <w:t xml:space="preserve">الناسخ </w:t>
        </w:r>
        <w:r w:rsidRPr="00B16CE8">
          <w:rPr>
            <w:rStyle w:val="Hyperlink"/>
            <w:rFonts w:hint="cs"/>
            <w:rtl/>
          </w:rPr>
          <w:t>و المنسوخ؛ ص: 28</w:t>
        </w:r>
      </w:hyperlink>
    </w:p>
  </w:footnote>
  <w:footnote w:id="6">
    <w:p w:rsidR="00B16CE8" w:rsidRDefault="00B16CE8">
      <w:pPr>
        <w:pStyle w:val="FootnoteText"/>
      </w:pPr>
      <w:r>
        <w:rPr>
          <w:rStyle w:val="FootnoteReference"/>
        </w:rPr>
        <w:footnoteRef/>
      </w:r>
      <w:r>
        <w:rPr>
          <w:rtl/>
        </w:rPr>
        <w:t xml:space="preserve"> </w:t>
      </w:r>
      <w:hyperlink r:id="rId4" w:history="1">
        <w:r w:rsidRPr="00B16CE8">
          <w:rPr>
            <w:rStyle w:val="Hyperlink"/>
            <w:rFonts w:hint="cs"/>
            <w:rtl/>
          </w:rPr>
          <w:t xml:space="preserve">الصحاح؛ </w:t>
        </w:r>
        <w:r w:rsidRPr="00B16CE8">
          <w:rPr>
            <w:rStyle w:val="Hyperlink"/>
            <w:rFonts w:hint="cs"/>
            <w:rtl/>
          </w:rPr>
          <w:t>ج2، ص: 1124</w:t>
        </w:r>
      </w:hyperlink>
    </w:p>
  </w:footnote>
  <w:footnote w:id="7">
    <w:p w:rsidR="005D5216" w:rsidRDefault="005D5216">
      <w:pPr>
        <w:pStyle w:val="FootnoteText"/>
      </w:pPr>
      <w:r>
        <w:rPr>
          <w:rStyle w:val="FootnoteReference"/>
        </w:rPr>
        <w:footnoteRef/>
      </w:r>
      <w:r>
        <w:rPr>
          <w:rtl/>
        </w:rPr>
        <w:t xml:space="preserve"> </w:t>
      </w:r>
      <w:hyperlink r:id="rId5" w:history="1">
        <w:r w:rsidRPr="005D5216">
          <w:rPr>
            <w:rStyle w:val="Hyperlink"/>
            <w:rFonts w:hint="cs"/>
            <w:rtl/>
          </w:rPr>
          <w:t xml:space="preserve">نهایه </w:t>
        </w:r>
        <w:r w:rsidRPr="005D5216">
          <w:rPr>
            <w:rStyle w:val="Hyperlink"/>
            <w:rFonts w:hint="cs"/>
            <w:rtl/>
          </w:rPr>
          <w:t>الدرایه؛ 1، ص: 427</w:t>
        </w:r>
      </w:hyperlink>
    </w:p>
  </w:footnote>
  <w:footnote w:id="8">
    <w:p w:rsidR="005D5216" w:rsidRPr="005D5216" w:rsidRDefault="005D5216" w:rsidP="005D5216">
      <w:pPr>
        <w:pStyle w:val="FootnoteText"/>
      </w:pPr>
      <w:r w:rsidRPr="005D5216">
        <w:footnoteRef/>
      </w:r>
      <w:r w:rsidRPr="005D5216">
        <w:rPr>
          <w:rtl/>
        </w:rPr>
        <w:t xml:space="preserve"> </w:t>
      </w:r>
      <w:hyperlink r:id="rId6" w:history="1">
        <w:r w:rsidRPr="005D5216">
          <w:rPr>
            <w:rStyle w:val="Hyperlink"/>
            <w:rtl/>
          </w:rPr>
          <w:t>تهذ</w:t>
        </w:r>
        <w:r w:rsidRPr="005D5216">
          <w:rPr>
            <w:rStyle w:val="Hyperlink"/>
            <w:rFonts w:hint="cs"/>
            <w:rtl/>
          </w:rPr>
          <w:t>ی</w:t>
        </w:r>
        <w:r w:rsidRPr="005D5216">
          <w:rPr>
            <w:rStyle w:val="Hyperlink"/>
            <w:rFonts w:hint="eastAsia"/>
            <w:rtl/>
          </w:rPr>
          <w:t>ب</w:t>
        </w:r>
        <w:r w:rsidRPr="005D5216">
          <w:rPr>
            <w:rStyle w:val="Hyperlink"/>
            <w:rtl/>
          </w:rPr>
          <w:t xml:space="preserve"> </w:t>
        </w:r>
        <w:r w:rsidRPr="005D5216">
          <w:rPr>
            <w:rStyle w:val="Hyperlink"/>
            <w:rtl/>
          </w:rPr>
          <w:t>الاحکام، ش</w:t>
        </w:r>
        <w:r w:rsidRPr="005D5216">
          <w:rPr>
            <w:rStyle w:val="Hyperlink"/>
            <w:rFonts w:hint="cs"/>
            <w:rtl/>
          </w:rPr>
          <w:t>ی</w:t>
        </w:r>
        <w:r w:rsidRPr="005D5216">
          <w:rPr>
            <w:rStyle w:val="Hyperlink"/>
            <w:rFonts w:hint="eastAsia"/>
            <w:rtl/>
          </w:rPr>
          <w:t>خ</w:t>
        </w:r>
        <w:r w:rsidRPr="005D5216">
          <w:rPr>
            <w:rStyle w:val="Hyperlink"/>
            <w:rtl/>
          </w:rPr>
          <w:t xml:space="preserve"> طوس</w:t>
        </w:r>
        <w:r w:rsidRPr="005D5216">
          <w:rPr>
            <w:rStyle w:val="Hyperlink"/>
            <w:rFonts w:hint="cs"/>
            <w:rtl/>
          </w:rPr>
          <w:t>ی</w:t>
        </w:r>
        <w:r w:rsidRPr="005D5216">
          <w:rPr>
            <w:rStyle w:val="Hyperlink"/>
            <w:rFonts w:hint="eastAsia"/>
            <w:rtl/>
          </w:rPr>
          <w:t>،</w:t>
        </w:r>
        <w:r w:rsidRPr="005D5216">
          <w:rPr>
            <w:rStyle w:val="Hyperlink"/>
            <w:rtl/>
          </w:rPr>
          <w:t xml:space="preserve"> ج3، ص28</w:t>
        </w:r>
        <w:r w:rsidRPr="005D5216">
          <w:rPr>
            <w:rStyle w:val="Hyperlink"/>
          </w:rPr>
          <w:t>.</w:t>
        </w:r>
      </w:hyperlink>
    </w:p>
  </w:footnote>
  <w:footnote w:id="9">
    <w:p w:rsidR="00FD31C8" w:rsidRPr="00FD31C8" w:rsidRDefault="00FD31C8" w:rsidP="00FD31C8">
      <w:pPr>
        <w:pStyle w:val="FootnoteText"/>
      </w:pPr>
      <w:r w:rsidRPr="00FD31C8">
        <w:footnoteRef/>
      </w:r>
      <w:r w:rsidRPr="00FD31C8">
        <w:rPr>
          <w:rtl/>
        </w:rPr>
        <w:t xml:space="preserve"> </w:t>
      </w:r>
      <w:hyperlink r:id="rId7" w:history="1">
        <w:r w:rsidRPr="00FD31C8">
          <w:rPr>
            <w:rStyle w:val="Hyperlink"/>
            <w:rtl/>
          </w:rPr>
          <w:t>مجمع البحر</w:t>
        </w:r>
        <w:r w:rsidRPr="00FD31C8">
          <w:rPr>
            <w:rStyle w:val="Hyperlink"/>
            <w:rFonts w:hint="cs"/>
            <w:rtl/>
          </w:rPr>
          <w:t>ی</w:t>
        </w:r>
        <w:r w:rsidRPr="00FD31C8">
          <w:rPr>
            <w:rStyle w:val="Hyperlink"/>
            <w:rFonts w:hint="eastAsia"/>
            <w:rtl/>
          </w:rPr>
          <w:t>ن،</w:t>
        </w:r>
        <w:r w:rsidRPr="00FD31C8">
          <w:rPr>
            <w:rStyle w:val="Hyperlink"/>
            <w:rtl/>
          </w:rPr>
          <w:t xml:space="preserve"> فخرالد</w:t>
        </w:r>
        <w:r w:rsidRPr="00FD31C8">
          <w:rPr>
            <w:rStyle w:val="Hyperlink"/>
            <w:rFonts w:hint="cs"/>
            <w:rtl/>
          </w:rPr>
          <w:t>ی</w:t>
        </w:r>
        <w:r w:rsidRPr="00FD31C8">
          <w:rPr>
            <w:rStyle w:val="Hyperlink"/>
            <w:rFonts w:hint="eastAsia"/>
            <w:rtl/>
          </w:rPr>
          <w:t>ن</w:t>
        </w:r>
        <w:r w:rsidRPr="00FD31C8">
          <w:rPr>
            <w:rStyle w:val="Hyperlink"/>
            <w:rtl/>
          </w:rPr>
          <w:t xml:space="preserve"> الطر</w:t>
        </w:r>
        <w:r w:rsidRPr="00FD31C8">
          <w:rPr>
            <w:rStyle w:val="Hyperlink"/>
            <w:rFonts w:hint="cs"/>
            <w:rtl/>
          </w:rPr>
          <w:t>ی</w:t>
        </w:r>
        <w:r w:rsidRPr="00FD31C8">
          <w:rPr>
            <w:rStyle w:val="Hyperlink"/>
            <w:rFonts w:hint="eastAsia"/>
            <w:rtl/>
          </w:rPr>
          <w:t>ح</w:t>
        </w:r>
        <w:r w:rsidRPr="00FD31C8">
          <w:rPr>
            <w:rStyle w:val="Hyperlink"/>
            <w:rFonts w:hint="cs"/>
            <w:rtl/>
          </w:rPr>
          <w:t>ی</w:t>
        </w:r>
        <w:r w:rsidRPr="00FD31C8">
          <w:rPr>
            <w:rStyle w:val="Hyperlink"/>
            <w:rFonts w:hint="eastAsia"/>
            <w:rtl/>
          </w:rPr>
          <w:t>،</w:t>
        </w:r>
        <w:r w:rsidRPr="00FD31C8">
          <w:rPr>
            <w:rStyle w:val="Hyperlink"/>
            <w:rtl/>
          </w:rPr>
          <w:t xml:space="preserve"> ج4، ص246</w:t>
        </w:r>
        <w:r w:rsidRPr="00FD31C8">
          <w:rPr>
            <w:rStyle w:val="Hyperlink"/>
          </w:rPr>
          <w:t>.</w:t>
        </w:r>
      </w:hyperlink>
    </w:p>
  </w:footnote>
  <w:footnote w:id="10">
    <w:p w:rsidR="001B34EF" w:rsidRDefault="001B34EF" w:rsidP="001B34EF">
      <w:pPr>
        <w:pStyle w:val="FootnoteText"/>
      </w:pPr>
      <w:r>
        <w:rPr>
          <w:rStyle w:val="FootnoteReference"/>
        </w:rPr>
        <w:footnoteRef/>
      </w:r>
      <w:r>
        <w:rPr>
          <w:rtl/>
        </w:rPr>
        <w:t xml:space="preserve"> </w:t>
      </w:r>
      <w:r>
        <w:rPr>
          <w:rtl/>
        </w:rPr>
        <w:t>النهاية في غريب الحديث و الأثر، ج‏2، ص: 64</w:t>
      </w:r>
    </w:p>
  </w:footnote>
  <w:footnote w:id="11">
    <w:p w:rsidR="001B34EF" w:rsidRPr="001B34EF" w:rsidRDefault="001B34EF" w:rsidP="001B34EF">
      <w:pPr>
        <w:pStyle w:val="FootnoteText"/>
      </w:pPr>
      <w:r w:rsidRPr="001B34EF">
        <w:footnoteRef/>
      </w:r>
      <w:r w:rsidRPr="001B34EF">
        <w:rPr>
          <w:rtl/>
        </w:rPr>
        <w:t xml:space="preserve"> </w:t>
      </w:r>
      <w:hyperlink r:id="rId8" w:history="1">
        <w:r w:rsidRPr="001B34EF">
          <w:rPr>
            <w:rStyle w:val="Hyperlink"/>
            <w:rtl/>
          </w:rPr>
          <w:t xml:space="preserve">لسان </w:t>
        </w:r>
        <w:r w:rsidRPr="001B34EF">
          <w:rPr>
            <w:rStyle w:val="Hyperlink"/>
            <w:rtl/>
          </w:rPr>
          <w:t>العرب، محمد بن مکرم ابن منظور، ج7، ص291</w:t>
        </w:r>
        <w:r w:rsidRPr="001B34EF">
          <w:rPr>
            <w:rStyle w:val="Hyperlink"/>
          </w:rPr>
          <w:t>.</w:t>
        </w:r>
      </w:hyperlink>
    </w:p>
  </w:footnote>
  <w:footnote w:id="12">
    <w:p w:rsidR="001B34EF" w:rsidRDefault="001B34EF">
      <w:pPr>
        <w:pStyle w:val="FootnoteText"/>
      </w:pPr>
      <w:r>
        <w:rPr>
          <w:rStyle w:val="FootnoteReference"/>
        </w:rPr>
        <w:footnoteRef/>
      </w:r>
      <w:r>
        <w:rPr>
          <w:rtl/>
        </w:rPr>
        <w:t xml:space="preserve"> </w:t>
      </w:r>
      <w:r>
        <w:rPr>
          <w:rFonts w:hint="cs"/>
          <w:rtl/>
        </w:rPr>
        <w:t>معجم مقاییس اللغه؛ ج 2، ص: 208</w:t>
      </w:r>
    </w:p>
  </w:footnote>
  <w:footnote w:id="13">
    <w:p w:rsidR="001B34EF" w:rsidRDefault="001B34EF">
      <w:pPr>
        <w:pStyle w:val="FootnoteText"/>
      </w:pPr>
      <w:r>
        <w:rPr>
          <w:rStyle w:val="FootnoteReference"/>
        </w:rPr>
        <w:footnoteRef/>
      </w:r>
      <w:r>
        <w:rPr>
          <w:rtl/>
        </w:rPr>
        <w:t xml:space="preserve"> </w:t>
      </w:r>
      <w:hyperlink r:id="rId9" w:history="1">
        <w:r w:rsidRPr="001B34EF">
          <w:rPr>
            <w:rStyle w:val="Hyperlink"/>
            <w:rFonts w:hint="cs"/>
            <w:rtl/>
          </w:rPr>
          <w:t xml:space="preserve">المحکم؛ </w:t>
        </w:r>
        <w:r w:rsidRPr="001B34EF">
          <w:rPr>
            <w:rStyle w:val="Hyperlink"/>
            <w:rFonts w:hint="cs"/>
            <w:rtl/>
          </w:rPr>
          <w:t>ج 5، ص: 115</w:t>
        </w:r>
      </w:hyperlink>
    </w:p>
  </w:footnote>
  <w:footnote w:id="14">
    <w:p w:rsidR="00032BE9" w:rsidRDefault="00032BE9">
      <w:pPr>
        <w:pStyle w:val="FootnoteText"/>
      </w:pPr>
      <w:r>
        <w:rPr>
          <w:rStyle w:val="FootnoteReference"/>
        </w:rPr>
        <w:footnoteRef/>
      </w:r>
      <w:r>
        <w:rPr>
          <w:rtl/>
        </w:rPr>
        <w:t xml:space="preserve"> </w:t>
      </w:r>
      <w:hyperlink r:id="rId10" w:history="1">
        <w:r w:rsidRPr="00032BE9">
          <w:rPr>
            <w:rStyle w:val="Hyperlink"/>
            <w:rFonts w:hint="cs"/>
            <w:rtl/>
          </w:rPr>
          <w:t xml:space="preserve">شمس </w:t>
        </w:r>
        <w:r w:rsidRPr="00032BE9">
          <w:rPr>
            <w:rStyle w:val="Hyperlink"/>
            <w:rFonts w:hint="cs"/>
            <w:rtl/>
          </w:rPr>
          <w:t>العلوم؛ ج 3، ص: 1883</w:t>
        </w:r>
      </w:hyperlink>
    </w:p>
  </w:footnote>
  <w:footnote w:id="15">
    <w:p w:rsidR="00032BE9" w:rsidRDefault="00032BE9">
      <w:pPr>
        <w:pStyle w:val="FootnoteText"/>
      </w:pPr>
      <w:r>
        <w:rPr>
          <w:rStyle w:val="FootnoteReference"/>
        </w:rPr>
        <w:footnoteRef/>
      </w:r>
      <w:r>
        <w:rPr>
          <w:rtl/>
        </w:rPr>
        <w:t xml:space="preserve"> </w:t>
      </w:r>
      <w:hyperlink r:id="rId11" w:history="1">
        <w:r w:rsidRPr="00032BE9">
          <w:rPr>
            <w:rStyle w:val="Hyperlink"/>
            <w:rFonts w:hint="cs"/>
            <w:rtl/>
          </w:rPr>
          <w:t xml:space="preserve">المحکم؛ </w:t>
        </w:r>
        <w:r w:rsidRPr="00032BE9">
          <w:rPr>
            <w:rStyle w:val="Hyperlink"/>
            <w:rFonts w:hint="cs"/>
            <w:rtl/>
          </w:rPr>
          <w:t>ج 3، ص: 245</w:t>
        </w:r>
      </w:hyperlink>
    </w:p>
  </w:footnote>
  <w:footnote w:id="16">
    <w:p w:rsidR="007A6D3B" w:rsidRDefault="007A6D3B">
      <w:pPr>
        <w:pStyle w:val="FootnoteText"/>
      </w:pPr>
      <w:r>
        <w:rPr>
          <w:rStyle w:val="FootnoteReference"/>
        </w:rPr>
        <w:footnoteRef/>
      </w:r>
      <w:r>
        <w:rPr>
          <w:rtl/>
        </w:rPr>
        <w:t xml:space="preserve"> </w:t>
      </w:r>
      <w:r>
        <w:rPr>
          <w:rFonts w:hint="cs"/>
          <w:rtl/>
        </w:rPr>
        <w:t xml:space="preserve">مقرّر: </w:t>
      </w:r>
      <w:r>
        <w:rPr>
          <w:rFonts w:hint="cs"/>
          <w:rtl/>
        </w:rPr>
        <w:t xml:space="preserve">به این معنا که ائمه علیهم السلام به نصّ و تصریح پیامبر صلی الله علیه و آله وسلم منصوب شدند نه آنکه تنها با عناوین کلی که بر ائمه تطبیق می شود، امامت بیان شده باشد. </w:t>
      </w:r>
    </w:p>
  </w:footnote>
  <w:footnote w:id="17">
    <w:p w:rsidR="0086565B" w:rsidRPr="0086565B" w:rsidRDefault="0086565B" w:rsidP="0086565B">
      <w:pPr>
        <w:pStyle w:val="FootnoteText"/>
      </w:pPr>
      <w:r w:rsidRPr="0086565B">
        <w:footnoteRef/>
      </w:r>
      <w:r w:rsidRPr="0086565B">
        <w:rPr>
          <w:rtl/>
        </w:rPr>
        <w:t xml:space="preserve"> </w:t>
      </w:r>
      <w:hyperlink r:id="rId12" w:history="1">
        <w:r w:rsidRPr="0086565B">
          <w:rPr>
            <w:rStyle w:val="Hyperlink"/>
            <w:rtl/>
          </w:rPr>
          <w:t>اخت</w:t>
        </w:r>
        <w:r w:rsidRPr="0086565B">
          <w:rPr>
            <w:rStyle w:val="Hyperlink"/>
            <w:rFonts w:hint="cs"/>
            <w:rtl/>
          </w:rPr>
          <w:t>ی</w:t>
        </w:r>
        <w:r w:rsidRPr="0086565B">
          <w:rPr>
            <w:rStyle w:val="Hyperlink"/>
            <w:rFonts w:hint="eastAsia"/>
            <w:rtl/>
          </w:rPr>
          <w:t>ار</w:t>
        </w:r>
        <w:r w:rsidRPr="0086565B">
          <w:rPr>
            <w:rStyle w:val="Hyperlink"/>
            <w:rtl/>
          </w:rPr>
          <w:t xml:space="preserve"> </w:t>
        </w:r>
        <w:r w:rsidRPr="0086565B">
          <w:rPr>
            <w:rStyle w:val="Hyperlink"/>
            <w:rtl/>
          </w:rPr>
          <w:t>معرفة الرجال، ش</w:t>
        </w:r>
        <w:r w:rsidRPr="0086565B">
          <w:rPr>
            <w:rStyle w:val="Hyperlink"/>
            <w:rFonts w:hint="cs"/>
            <w:rtl/>
          </w:rPr>
          <w:t>ی</w:t>
        </w:r>
        <w:r w:rsidRPr="0086565B">
          <w:rPr>
            <w:rStyle w:val="Hyperlink"/>
            <w:rFonts w:hint="eastAsia"/>
            <w:rtl/>
          </w:rPr>
          <w:t>خ</w:t>
        </w:r>
        <w:r w:rsidRPr="0086565B">
          <w:rPr>
            <w:rStyle w:val="Hyperlink"/>
            <w:rtl/>
          </w:rPr>
          <w:t xml:space="preserve"> طوس</w:t>
        </w:r>
        <w:r w:rsidRPr="0086565B">
          <w:rPr>
            <w:rStyle w:val="Hyperlink"/>
            <w:rFonts w:hint="cs"/>
            <w:rtl/>
          </w:rPr>
          <w:t>ی</w:t>
        </w:r>
        <w:r w:rsidRPr="0086565B">
          <w:rPr>
            <w:rStyle w:val="Hyperlink"/>
            <w:rFonts w:hint="eastAsia"/>
            <w:rtl/>
          </w:rPr>
          <w:t>،</w:t>
        </w:r>
        <w:r w:rsidRPr="0086565B">
          <w:rPr>
            <w:rStyle w:val="Hyperlink"/>
            <w:rtl/>
          </w:rPr>
          <w:t xml:space="preserve"> ج، ص451</w:t>
        </w:r>
        <w:r w:rsidRPr="0086565B">
          <w:rPr>
            <w:rStyle w:val="Hyperlink"/>
          </w:rPr>
          <w:t>.</w:t>
        </w:r>
      </w:hyperlink>
    </w:p>
  </w:footnote>
  <w:footnote w:id="18">
    <w:p w:rsidR="00C01BC7" w:rsidRPr="00C01BC7" w:rsidRDefault="00C01BC7" w:rsidP="00C01BC7">
      <w:pPr>
        <w:pStyle w:val="FootnoteText"/>
      </w:pPr>
      <w:r w:rsidRPr="00C01BC7">
        <w:footnoteRef/>
      </w:r>
      <w:r w:rsidRPr="00C01BC7">
        <w:rPr>
          <w:rtl/>
        </w:rPr>
        <w:t xml:space="preserve"> </w:t>
      </w:r>
      <w:hyperlink r:id="rId13" w:history="1">
        <w:r w:rsidRPr="00C01BC7">
          <w:rPr>
            <w:rStyle w:val="Hyperlink"/>
            <w:rtl/>
          </w:rPr>
          <w:t>رجال الطوس</w:t>
        </w:r>
        <w:r w:rsidRPr="00C01BC7">
          <w:rPr>
            <w:rStyle w:val="Hyperlink"/>
            <w:rFonts w:hint="cs"/>
            <w:rtl/>
          </w:rPr>
          <w:t>ی</w:t>
        </w:r>
        <w:r w:rsidRPr="00C01BC7">
          <w:rPr>
            <w:rStyle w:val="Hyperlink"/>
            <w:rFonts w:hint="eastAsia"/>
            <w:rtl/>
          </w:rPr>
          <w:t>،</w:t>
        </w:r>
        <w:r w:rsidRPr="00C01BC7">
          <w:rPr>
            <w:rStyle w:val="Hyperlink"/>
            <w:rtl/>
          </w:rPr>
          <w:t xml:space="preserve"> ش</w:t>
        </w:r>
        <w:r w:rsidRPr="00C01BC7">
          <w:rPr>
            <w:rStyle w:val="Hyperlink"/>
            <w:rFonts w:hint="cs"/>
            <w:rtl/>
          </w:rPr>
          <w:t>ی</w:t>
        </w:r>
        <w:r w:rsidRPr="00C01BC7">
          <w:rPr>
            <w:rStyle w:val="Hyperlink"/>
            <w:rFonts w:hint="eastAsia"/>
            <w:rtl/>
          </w:rPr>
          <w:t>خ</w:t>
        </w:r>
        <w:r w:rsidRPr="00C01BC7">
          <w:rPr>
            <w:rStyle w:val="Hyperlink"/>
            <w:rtl/>
          </w:rPr>
          <w:t xml:space="preserve"> طوس</w:t>
        </w:r>
        <w:r w:rsidRPr="00C01BC7">
          <w:rPr>
            <w:rStyle w:val="Hyperlink"/>
            <w:rFonts w:hint="cs"/>
            <w:rtl/>
          </w:rPr>
          <w:t>ی</w:t>
        </w:r>
        <w:r w:rsidRPr="00C01BC7">
          <w:rPr>
            <w:rStyle w:val="Hyperlink"/>
            <w:rFonts w:hint="eastAsia"/>
            <w:rtl/>
          </w:rPr>
          <w:t>،</w:t>
        </w:r>
        <w:r w:rsidRPr="00C01BC7">
          <w:rPr>
            <w:rStyle w:val="Hyperlink"/>
            <w:rtl/>
          </w:rPr>
          <w:t xml:space="preserve"> ج، ص434</w:t>
        </w:r>
        <w:r w:rsidRPr="00C01BC7">
          <w:rPr>
            <w:rStyle w:val="Hyperlink"/>
          </w:rPr>
          <w:t>.</w:t>
        </w:r>
      </w:hyperlink>
    </w:p>
  </w:footnote>
  <w:footnote w:id="19">
    <w:p w:rsidR="00C01BC7" w:rsidRPr="00C01BC7" w:rsidRDefault="00C01BC7" w:rsidP="00C01BC7">
      <w:pPr>
        <w:pStyle w:val="FootnoteText"/>
      </w:pPr>
      <w:r w:rsidRPr="00C01BC7">
        <w:footnoteRef/>
      </w:r>
      <w:r w:rsidRPr="00C01BC7">
        <w:rPr>
          <w:rtl/>
        </w:rPr>
        <w:t xml:space="preserve"> </w:t>
      </w:r>
      <w:hyperlink r:id="rId14" w:history="1">
        <w:r w:rsidRPr="00C01BC7">
          <w:rPr>
            <w:rStyle w:val="Hyperlink"/>
            <w:rtl/>
          </w:rPr>
          <w:t>الفهرست، ش</w:t>
        </w:r>
        <w:r w:rsidRPr="00C01BC7">
          <w:rPr>
            <w:rStyle w:val="Hyperlink"/>
            <w:rFonts w:hint="cs"/>
            <w:rtl/>
          </w:rPr>
          <w:t>ی</w:t>
        </w:r>
        <w:r w:rsidRPr="00C01BC7">
          <w:rPr>
            <w:rStyle w:val="Hyperlink"/>
            <w:rFonts w:hint="eastAsia"/>
            <w:rtl/>
          </w:rPr>
          <w:t>خ</w:t>
        </w:r>
        <w:r w:rsidRPr="00C01BC7">
          <w:rPr>
            <w:rStyle w:val="Hyperlink"/>
            <w:rtl/>
          </w:rPr>
          <w:t xml:space="preserve"> طوس</w:t>
        </w:r>
        <w:r w:rsidRPr="00C01BC7">
          <w:rPr>
            <w:rStyle w:val="Hyperlink"/>
            <w:rFonts w:hint="cs"/>
            <w:rtl/>
          </w:rPr>
          <w:t>ی</w:t>
        </w:r>
        <w:r w:rsidRPr="00C01BC7">
          <w:rPr>
            <w:rStyle w:val="Hyperlink"/>
            <w:rFonts w:hint="eastAsia"/>
            <w:rtl/>
          </w:rPr>
          <w:t>،</w:t>
        </w:r>
        <w:r w:rsidRPr="00C01BC7">
          <w:rPr>
            <w:rStyle w:val="Hyperlink"/>
            <w:rtl/>
          </w:rPr>
          <w:t xml:space="preserve"> ج، ص285</w:t>
        </w:r>
        <w:r w:rsidRPr="00C01BC7">
          <w:rPr>
            <w:rStyle w:val="Hyperlink"/>
          </w:rPr>
          <w:t>.</w:t>
        </w:r>
      </w:hyperlink>
    </w:p>
  </w:footnote>
  <w:footnote w:id="20">
    <w:p w:rsidR="000977A7" w:rsidRDefault="000977A7">
      <w:pPr>
        <w:pStyle w:val="FootnoteText"/>
      </w:pPr>
      <w:r>
        <w:rPr>
          <w:rStyle w:val="FootnoteReference"/>
        </w:rPr>
        <w:footnoteRef/>
      </w:r>
      <w:r>
        <w:rPr>
          <w:rtl/>
        </w:rPr>
        <w:t xml:space="preserve"> </w:t>
      </w:r>
      <w:r>
        <w:rPr>
          <w:rFonts w:hint="cs"/>
          <w:rtl/>
        </w:rPr>
        <w:t xml:space="preserve">مقرّر: ظاهرا ص 83 صحیح باشد. </w:t>
      </w:r>
    </w:p>
  </w:footnote>
  <w:footnote w:id="21">
    <w:p w:rsidR="00AD4475" w:rsidRPr="00AD4475" w:rsidRDefault="00AD4475" w:rsidP="00AD4475">
      <w:pPr>
        <w:pStyle w:val="FootnoteText"/>
      </w:pPr>
      <w:r w:rsidRPr="00AD4475">
        <w:footnoteRef/>
      </w:r>
      <w:r w:rsidRPr="00AD4475">
        <w:rPr>
          <w:rtl/>
        </w:rPr>
        <w:t xml:space="preserve"> </w:t>
      </w:r>
      <w:hyperlink r:id="rId15" w:history="1">
        <w:r w:rsidRPr="00AD4475">
          <w:rPr>
            <w:rStyle w:val="Hyperlink"/>
            <w:rtl/>
          </w:rPr>
          <w:t xml:space="preserve">عدة </w:t>
        </w:r>
        <w:r w:rsidRPr="00AD4475">
          <w:rPr>
            <w:rStyle w:val="Hyperlink"/>
            <w:rtl/>
          </w:rPr>
          <w:t>الأصول، ش</w:t>
        </w:r>
        <w:r w:rsidRPr="00AD4475">
          <w:rPr>
            <w:rStyle w:val="Hyperlink"/>
            <w:rFonts w:hint="cs"/>
            <w:rtl/>
          </w:rPr>
          <w:t>ی</w:t>
        </w:r>
        <w:r w:rsidRPr="00AD4475">
          <w:rPr>
            <w:rStyle w:val="Hyperlink"/>
            <w:rFonts w:hint="eastAsia"/>
            <w:rtl/>
          </w:rPr>
          <w:t>خ</w:t>
        </w:r>
        <w:r w:rsidRPr="00AD4475">
          <w:rPr>
            <w:rStyle w:val="Hyperlink"/>
            <w:rtl/>
          </w:rPr>
          <w:t xml:space="preserve"> طوس</w:t>
        </w:r>
        <w:r w:rsidRPr="00AD4475">
          <w:rPr>
            <w:rStyle w:val="Hyperlink"/>
            <w:rFonts w:hint="cs"/>
            <w:rtl/>
          </w:rPr>
          <w:t>ی</w:t>
        </w:r>
        <w:r w:rsidRPr="00AD4475">
          <w:rPr>
            <w:rStyle w:val="Hyperlink"/>
            <w:rFonts w:hint="eastAsia"/>
            <w:rtl/>
          </w:rPr>
          <w:t>،</w:t>
        </w:r>
        <w:r w:rsidRPr="00AD4475">
          <w:rPr>
            <w:rStyle w:val="Hyperlink"/>
            <w:rtl/>
          </w:rPr>
          <w:t xml:space="preserve"> ج1، ص151</w:t>
        </w:r>
        <w:r w:rsidRPr="00AD4475">
          <w:rPr>
            <w:rStyle w:val="Hyperlink"/>
          </w:rPr>
          <w:t>.</w:t>
        </w:r>
      </w:hyperlink>
    </w:p>
  </w:footnote>
  <w:footnote w:id="22">
    <w:p w:rsidR="000E4F88" w:rsidRDefault="000E4F88">
      <w:pPr>
        <w:pStyle w:val="FootnoteText"/>
      </w:pPr>
      <w:r>
        <w:rPr>
          <w:rStyle w:val="FootnoteReference"/>
        </w:rPr>
        <w:footnoteRef/>
      </w:r>
      <w:r>
        <w:rPr>
          <w:rtl/>
        </w:rPr>
        <w:t xml:space="preserve"> </w:t>
      </w:r>
      <w:hyperlink r:id="rId16" w:history="1">
        <w:r w:rsidRPr="000E4F88">
          <w:rPr>
            <w:rStyle w:val="Hyperlink"/>
            <w:rFonts w:hint="cs"/>
            <w:rtl/>
          </w:rPr>
          <w:t>اوثق الوسائل؛ ج1، ص: 166</w:t>
        </w:r>
      </w:hyperlink>
    </w:p>
  </w:footnote>
  <w:footnote w:id="23">
    <w:p w:rsidR="00263E8C" w:rsidRDefault="00263E8C">
      <w:pPr>
        <w:pStyle w:val="FootnoteText"/>
      </w:pPr>
      <w:r>
        <w:rPr>
          <w:rStyle w:val="FootnoteReference"/>
        </w:rPr>
        <w:footnoteRef/>
      </w:r>
      <w:r>
        <w:rPr>
          <w:rtl/>
        </w:rPr>
        <w:t xml:space="preserve"> </w:t>
      </w:r>
      <w:hyperlink r:id="rId17" w:history="1">
        <w:r w:rsidRPr="00263E8C">
          <w:rPr>
            <w:rStyle w:val="Hyperlink"/>
            <w:rFonts w:hint="cs"/>
            <w:rtl/>
          </w:rPr>
          <w:t xml:space="preserve">سماء </w:t>
        </w:r>
        <w:r w:rsidRPr="00263E8C">
          <w:rPr>
            <w:rStyle w:val="Hyperlink"/>
            <w:rFonts w:hint="cs"/>
            <w:rtl/>
          </w:rPr>
          <w:t>المقال؛ ج 2، ص: 285</w:t>
        </w:r>
      </w:hyperlink>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4" w:name="BokNum"/>
    <w:bookmarkEnd w:id="34"/>
    <w:r w:rsidR="006950E4">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5" w:name="Bokdars"/>
    <w:bookmarkEnd w:id="35"/>
    <w:r w:rsidR="006950E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6" w:name="Bokostad"/>
    <w:bookmarkEnd w:id="36"/>
    <w:r w:rsidR="006950E4">
      <w:rPr>
        <w:b/>
        <w:bCs/>
        <w:color w:val="632423" w:themeColor="accent2" w:themeShade="80"/>
        <w:sz w:val="20"/>
        <w:szCs w:val="24"/>
        <w:rtl/>
      </w:rPr>
      <w:t>س</w:t>
    </w:r>
    <w:r w:rsidR="006950E4">
      <w:rPr>
        <w:rFonts w:hint="cs"/>
        <w:b/>
        <w:bCs/>
        <w:color w:val="632423" w:themeColor="accent2" w:themeShade="80"/>
        <w:sz w:val="20"/>
        <w:szCs w:val="24"/>
        <w:rtl/>
      </w:rPr>
      <w:t>ی</w:t>
    </w:r>
    <w:r w:rsidR="006950E4">
      <w:rPr>
        <w:rFonts w:hint="eastAsia"/>
        <w:b/>
        <w:bCs/>
        <w:color w:val="632423" w:themeColor="accent2" w:themeShade="80"/>
        <w:sz w:val="20"/>
        <w:szCs w:val="24"/>
        <w:rtl/>
      </w:rPr>
      <w:t>د</w:t>
    </w:r>
    <w:r w:rsidR="006950E4">
      <w:rPr>
        <w:b/>
        <w:bCs/>
        <w:color w:val="632423" w:themeColor="accent2" w:themeShade="80"/>
        <w:sz w:val="20"/>
        <w:szCs w:val="24"/>
        <w:rtl/>
      </w:rPr>
      <w:t xml:space="preserve"> محمد جواد شب</w:t>
    </w:r>
    <w:r w:rsidR="006950E4">
      <w:rPr>
        <w:rFonts w:hint="cs"/>
        <w:b/>
        <w:bCs/>
        <w:color w:val="632423" w:themeColor="accent2" w:themeShade="80"/>
        <w:sz w:val="20"/>
        <w:szCs w:val="24"/>
        <w:rtl/>
      </w:rPr>
      <w:t>ی</w:t>
    </w:r>
    <w:r w:rsidR="006950E4">
      <w:rPr>
        <w:rFonts w:hint="eastAsia"/>
        <w:b/>
        <w:bCs/>
        <w:color w:val="632423" w:themeColor="accent2" w:themeShade="80"/>
        <w:sz w:val="20"/>
        <w:szCs w:val="24"/>
        <w:rtl/>
      </w:rPr>
      <w:t>ر</w:t>
    </w:r>
    <w:r w:rsidR="006950E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7" w:name="BokTarikh"/>
    <w:bookmarkEnd w:id="37"/>
    <w:r w:rsidR="006950E4">
      <w:rPr>
        <w:sz w:val="24"/>
        <w:szCs w:val="24"/>
        <w:rtl/>
      </w:rPr>
      <w:t>1 /8 /1401</w:t>
    </w:r>
  </w:p>
  <w:p w:rsidR="00FA3B17" w:rsidRPr="00F16B53" w:rsidRDefault="00935A55" w:rsidP="00C363A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8" w:name="BokSabj"/>
    <w:bookmarkEnd w:id="38"/>
    <w:r w:rsidR="006950E4">
      <w:rPr>
        <w:color w:val="000000" w:themeColor="text1"/>
        <w:sz w:val="24"/>
        <w:szCs w:val="24"/>
        <w:rtl/>
      </w:rPr>
      <w:t>شرا</w:t>
    </w:r>
    <w:r w:rsidR="006950E4">
      <w:rPr>
        <w:rFonts w:hint="cs"/>
        <w:color w:val="000000" w:themeColor="text1"/>
        <w:sz w:val="24"/>
        <w:szCs w:val="24"/>
        <w:rtl/>
      </w:rPr>
      <w:t>ی</w:t>
    </w:r>
    <w:r w:rsidR="006950E4">
      <w:rPr>
        <w:rFonts w:hint="eastAsia"/>
        <w:color w:val="000000" w:themeColor="text1"/>
        <w:sz w:val="24"/>
        <w:szCs w:val="24"/>
        <w:rtl/>
      </w:rPr>
      <w:t>ط</w:t>
    </w:r>
    <w:r w:rsidR="006950E4">
      <w:rPr>
        <w:color w:val="000000" w:themeColor="text1"/>
        <w:sz w:val="24"/>
        <w:szCs w:val="24"/>
        <w:rtl/>
      </w:rPr>
      <w:t xml:space="preserve"> مال زکو</w:t>
    </w:r>
    <w:r w:rsidR="006950E4">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9" w:name="Bokmoqarer"/>
    <w:bookmarkEnd w:id="39"/>
    <w:r w:rsidR="00C363A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0" w:name="BokSabj2"/>
    <w:bookmarkEnd w:id="40"/>
    <w:r w:rsidR="006950E4">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2BE9"/>
    <w:rsid w:val="000353D7"/>
    <w:rsid w:val="00055496"/>
    <w:rsid w:val="00074FBF"/>
    <w:rsid w:val="00080A41"/>
    <w:rsid w:val="0008299B"/>
    <w:rsid w:val="000913AA"/>
    <w:rsid w:val="00094847"/>
    <w:rsid w:val="00096C63"/>
    <w:rsid w:val="000977A7"/>
    <w:rsid w:val="000A6267"/>
    <w:rsid w:val="000B5DB5"/>
    <w:rsid w:val="000C3947"/>
    <w:rsid w:val="000D2A37"/>
    <w:rsid w:val="000D30E9"/>
    <w:rsid w:val="000D6818"/>
    <w:rsid w:val="000E335E"/>
    <w:rsid w:val="000E4F88"/>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4EF"/>
    <w:rsid w:val="001B6799"/>
    <w:rsid w:val="001C1362"/>
    <w:rsid w:val="001D2E9A"/>
    <w:rsid w:val="001D597F"/>
    <w:rsid w:val="001E3FD4"/>
    <w:rsid w:val="0020241A"/>
    <w:rsid w:val="00203821"/>
    <w:rsid w:val="00211632"/>
    <w:rsid w:val="0021630D"/>
    <w:rsid w:val="0024121B"/>
    <w:rsid w:val="00247D2F"/>
    <w:rsid w:val="00256560"/>
    <w:rsid w:val="00263E8C"/>
    <w:rsid w:val="0027605E"/>
    <w:rsid w:val="00281E00"/>
    <w:rsid w:val="00294A52"/>
    <w:rsid w:val="0029705C"/>
    <w:rsid w:val="002B0AC0"/>
    <w:rsid w:val="002B575F"/>
    <w:rsid w:val="002B729B"/>
    <w:rsid w:val="002C23B5"/>
    <w:rsid w:val="002C53A2"/>
    <w:rsid w:val="002D0040"/>
    <w:rsid w:val="002D2FA8"/>
    <w:rsid w:val="002E220F"/>
    <w:rsid w:val="003056D6"/>
    <w:rsid w:val="00307311"/>
    <w:rsid w:val="0032100F"/>
    <w:rsid w:val="0033402C"/>
    <w:rsid w:val="00340521"/>
    <w:rsid w:val="00345C73"/>
    <w:rsid w:val="00354A99"/>
    <w:rsid w:val="00360311"/>
    <w:rsid w:val="00361922"/>
    <w:rsid w:val="00370FCB"/>
    <w:rsid w:val="0037339B"/>
    <w:rsid w:val="00386C11"/>
    <w:rsid w:val="00397466"/>
    <w:rsid w:val="003A6148"/>
    <w:rsid w:val="003C33F6"/>
    <w:rsid w:val="003C3D2E"/>
    <w:rsid w:val="003C43A5"/>
    <w:rsid w:val="003E1C5C"/>
    <w:rsid w:val="003E6650"/>
    <w:rsid w:val="003E6F6D"/>
    <w:rsid w:val="003F5B46"/>
    <w:rsid w:val="00401363"/>
    <w:rsid w:val="00402E47"/>
    <w:rsid w:val="00425015"/>
    <w:rsid w:val="00430994"/>
    <w:rsid w:val="00441B6D"/>
    <w:rsid w:val="004556EF"/>
    <w:rsid w:val="00462B07"/>
    <w:rsid w:val="00463D73"/>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203"/>
    <w:rsid w:val="005306F8"/>
    <w:rsid w:val="00540224"/>
    <w:rsid w:val="0054023D"/>
    <w:rsid w:val="005426BF"/>
    <w:rsid w:val="0056213C"/>
    <w:rsid w:val="00580C24"/>
    <w:rsid w:val="005968EF"/>
    <w:rsid w:val="00596C1E"/>
    <w:rsid w:val="005A2E26"/>
    <w:rsid w:val="005B7BCA"/>
    <w:rsid w:val="005C0DAE"/>
    <w:rsid w:val="005C188E"/>
    <w:rsid w:val="005D2349"/>
    <w:rsid w:val="005D5216"/>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0E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49C"/>
    <w:rsid w:val="0072290D"/>
    <w:rsid w:val="00723D6D"/>
    <w:rsid w:val="00724537"/>
    <w:rsid w:val="00731724"/>
    <w:rsid w:val="0073474B"/>
    <w:rsid w:val="00735511"/>
    <w:rsid w:val="00737208"/>
    <w:rsid w:val="00744DE6"/>
    <w:rsid w:val="0076172F"/>
    <w:rsid w:val="00762452"/>
    <w:rsid w:val="007639E0"/>
    <w:rsid w:val="00775507"/>
    <w:rsid w:val="00783473"/>
    <w:rsid w:val="0078594B"/>
    <w:rsid w:val="00795E02"/>
    <w:rsid w:val="007979D0"/>
    <w:rsid w:val="007A4E18"/>
    <w:rsid w:val="007A6D3B"/>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D6F"/>
    <w:rsid w:val="00835D65"/>
    <w:rsid w:val="00837FAA"/>
    <w:rsid w:val="00841F77"/>
    <w:rsid w:val="0085276D"/>
    <w:rsid w:val="00863390"/>
    <w:rsid w:val="0086385C"/>
    <w:rsid w:val="0086565B"/>
    <w:rsid w:val="00871916"/>
    <w:rsid w:val="008956DD"/>
    <w:rsid w:val="008A510E"/>
    <w:rsid w:val="008A522A"/>
    <w:rsid w:val="008B3EA1"/>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F02"/>
    <w:rsid w:val="00977656"/>
    <w:rsid w:val="009846A7"/>
    <w:rsid w:val="0098794D"/>
    <w:rsid w:val="0099497B"/>
    <w:rsid w:val="009A43BA"/>
    <w:rsid w:val="009B0D05"/>
    <w:rsid w:val="009B4CA6"/>
    <w:rsid w:val="009B79F8"/>
    <w:rsid w:val="009C396B"/>
    <w:rsid w:val="009C66D5"/>
    <w:rsid w:val="009D13FD"/>
    <w:rsid w:val="009D266A"/>
    <w:rsid w:val="009E53DC"/>
    <w:rsid w:val="009F7E07"/>
    <w:rsid w:val="00A01522"/>
    <w:rsid w:val="00A10A11"/>
    <w:rsid w:val="00A13C6A"/>
    <w:rsid w:val="00A17B09"/>
    <w:rsid w:val="00A37CE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4475"/>
    <w:rsid w:val="00AF3925"/>
    <w:rsid w:val="00B1296B"/>
    <w:rsid w:val="00B16CE8"/>
    <w:rsid w:val="00B2292F"/>
    <w:rsid w:val="00B43169"/>
    <w:rsid w:val="00B501A8"/>
    <w:rsid w:val="00B55AE4"/>
    <w:rsid w:val="00B6547B"/>
    <w:rsid w:val="00B70B46"/>
    <w:rsid w:val="00B739B0"/>
    <w:rsid w:val="00B814A3"/>
    <w:rsid w:val="00B96F38"/>
    <w:rsid w:val="00BC716B"/>
    <w:rsid w:val="00BD0E74"/>
    <w:rsid w:val="00BD5F8C"/>
    <w:rsid w:val="00BE29DD"/>
    <w:rsid w:val="00C01BC7"/>
    <w:rsid w:val="00C066AF"/>
    <w:rsid w:val="00C10E06"/>
    <w:rsid w:val="00C145B8"/>
    <w:rsid w:val="00C23BDE"/>
    <w:rsid w:val="00C2438F"/>
    <w:rsid w:val="00C31AF0"/>
    <w:rsid w:val="00C32A7E"/>
    <w:rsid w:val="00C34F28"/>
    <w:rsid w:val="00C363AE"/>
    <w:rsid w:val="00C368DF"/>
    <w:rsid w:val="00C43C2A"/>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292"/>
    <w:rsid w:val="00D23391"/>
    <w:rsid w:val="00D31805"/>
    <w:rsid w:val="00D41930"/>
    <w:rsid w:val="00D552B9"/>
    <w:rsid w:val="00D735B2"/>
    <w:rsid w:val="00D74021"/>
    <w:rsid w:val="00D76D01"/>
    <w:rsid w:val="00D922A9"/>
    <w:rsid w:val="00D9394A"/>
    <w:rsid w:val="00DB0CBB"/>
    <w:rsid w:val="00DB67CC"/>
    <w:rsid w:val="00DC0734"/>
    <w:rsid w:val="00DC3783"/>
    <w:rsid w:val="00DE1070"/>
    <w:rsid w:val="00E00219"/>
    <w:rsid w:val="00E0316B"/>
    <w:rsid w:val="00E25E10"/>
    <w:rsid w:val="00E5058A"/>
    <w:rsid w:val="00E50B41"/>
    <w:rsid w:val="00E5219B"/>
    <w:rsid w:val="00E52D07"/>
    <w:rsid w:val="00E5518B"/>
    <w:rsid w:val="00E609FE"/>
    <w:rsid w:val="00E630BE"/>
    <w:rsid w:val="00E75920"/>
    <w:rsid w:val="00E80D96"/>
    <w:rsid w:val="00E871FA"/>
    <w:rsid w:val="00E936A4"/>
    <w:rsid w:val="00E954BB"/>
    <w:rsid w:val="00E9566E"/>
    <w:rsid w:val="00EA45E7"/>
    <w:rsid w:val="00EB78E3"/>
    <w:rsid w:val="00EB7BE3"/>
    <w:rsid w:val="00EC1C4B"/>
    <w:rsid w:val="00EC735A"/>
    <w:rsid w:val="00ED5F38"/>
    <w:rsid w:val="00EF27FE"/>
    <w:rsid w:val="00F07FB6"/>
    <w:rsid w:val="00F149D0"/>
    <w:rsid w:val="00F16B53"/>
    <w:rsid w:val="00F25ECD"/>
    <w:rsid w:val="00F318BE"/>
    <w:rsid w:val="00F323E9"/>
    <w:rsid w:val="00F33297"/>
    <w:rsid w:val="00F343FB"/>
    <w:rsid w:val="00F359FE"/>
    <w:rsid w:val="00F42159"/>
    <w:rsid w:val="00F4256E"/>
    <w:rsid w:val="00F42EE1"/>
    <w:rsid w:val="00F60F1F"/>
    <w:rsid w:val="00F617B5"/>
    <w:rsid w:val="00F63323"/>
    <w:rsid w:val="00F64141"/>
    <w:rsid w:val="00F67508"/>
    <w:rsid w:val="00F71FC9"/>
    <w:rsid w:val="00F73B48"/>
    <w:rsid w:val="00F74F51"/>
    <w:rsid w:val="00F842AD"/>
    <w:rsid w:val="00F914EB"/>
    <w:rsid w:val="00F91B85"/>
    <w:rsid w:val="00F938E7"/>
    <w:rsid w:val="00F97982"/>
    <w:rsid w:val="00FA3B17"/>
    <w:rsid w:val="00FA5E8D"/>
    <w:rsid w:val="00FA5F3D"/>
    <w:rsid w:val="00FB399E"/>
    <w:rsid w:val="00FB7F50"/>
    <w:rsid w:val="00FC2A85"/>
    <w:rsid w:val="00FC40AF"/>
    <w:rsid w:val="00FC73B9"/>
    <w:rsid w:val="00FD0A16"/>
    <w:rsid w:val="00FD31C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C0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0563226">
      <w:bodyDiv w:val="1"/>
      <w:marLeft w:val="0"/>
      <w:marRight w:val="0"/>
      <w:marTop w:val="0"/>
      <w:marBottom w:val="0"/>
      <w:divBdr>
        <w:top w:val="none" w:sz="0" w:space="0" w:color="auto"/>
        <w:left w:val="none" w:sz="0" w:space="0" w:color="auto"/>
        <w:bottom w:val="none" w:sz="0" w:space="0" w:color="auto"/>
        <w:right w:val="none" w:sz="0" w:space="0" w:color="auto"/>
      </w:divBdr>
    </w:div>
    <w:div w:id="19720067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7352686">
      <w:bodyDiv w:val="1"/>
      <w:marLeft w:val="0"/>
      <w:marRight w:val="0"/>
      <w:marTop w:val="0"/>
      <w:marBottom w:val="0"/>
      <w:divBdr>
        <w:top w:val="none" w:sz="0" w:space="0" w:color="auto"/>
        <w:left w:val="none" w:sz="0" w:space="0" w:color="auto"/>
        <w:bottom w:val="none" w:sz="0" w:space="0" w:color="auto"/>
        <w:right w:val="none" w:sz="0" w:space="0" w:color="auto"/>
      </w:divBdr>
    </w:div>
    <w:div w:id="98246855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0570133">
      <w:bodyDiv w:val="1"/>
      <w:marLeft w:val="0"/>
      <w:marRight w:val="0"/>
      <w:marTop w:val="0"/>
      <w:marBottom w:val="0"/>
      <w:divBdr>
        <w:top w:val="none" w:sz="0" w:space="0" w:color="auto"/>
        <w:left w:val="none" w:sz="0" w:space="0" w:color="auto"/>
        <w:bottom w:val="none" w:sz="0" w:space="0" w:color="auto"/>
        <w:right w:val="none" w:sz="0" w:space="0" w:color="auto"/>
      </w:divBdr>
    </w:div>
    <w:div w:id="179289282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0007/7/291/" TargetMode="External"/><Relationship Id="rId13" Type="http://schemas.openxmlformats.org/officeDocument/2006/relationships/hyperlink" Target="http://lib.eshia.ir/14027//434/" TargetMode="External"/><Relationship Id="rId3" Type="http://schemas.openxmlformats.org/officeDocument/2006/relationships/hyperlink" Target="http://shamela.baharsound.ir/45722/0/28" TargetMode="External"/><Relationship Id="rId7" Type="http://schemas.openxmlformats.org/officeDocument/2006/relationships/hyperlink" Target="http://lib.eshia.ir/27911/4/246/" TargetMode="External"/><Relationship Id="rId12" Type="http://schemas.openxmlformats.org/officeDocument/2006/relationships/hyperlink" Target="http://lib.eshia.ir/14015//451/" TargetMode="External"/><Relationship Id="rId17" Type="http://schemas.openxmlformats.org/officeDocument/2006/relationships/hyperlink" Target="https://lib.eshia.ir/14029/2/285/%22%D8%A7%D9%84%D9%82%D9%88%D9%84_%D8%A8%D8%A7%D9%84%D9%85%D9%86%D8%A7%DA%A9%DB%8C%D8%B1%22" TargetMode="External"/><Relationship Id="rId2" Type="http://schemas.openxmlformats.org/officeDocument/2006/relationships/hyperlink" Target="http://lib.efatwa.ir/40277/2/618/%22%D8%B5%D8%A7%D8%AD%D8%A8_%D8%AA%D8%AE%D9%84%DB%8C%D8%B7%22" TargetMode="External"/><Relationship Id="rId16" Type="http://schemas.openxmlformats.org/officeDocument/2006/relationships/hyperlink" Target="https://lib.eshia.ir/13061/1/166/%D8%AE%D9%84%D8%B7%D9%87%D9%85" TargetMode="External"/><Relationship Id="rId1" Type="http://schemas.openxmlformats.org/officeDocument/2006/relationships/hyperlink" Target="http://lib.efatwa.ir/40265/3/57/%22%DA%A9%D8%A7%D9%86_%D8%B4%DB%8C%D8%AE%D8%A7_%D8%B5%D8%A7%D9%84%D8%AD%D8%A7%22" TargetMode="External"/><Relationship Id="rId6" Type="http://schemas.openxmlformats.org/officeDocument/2006/relationships/hyperlink" Target="http://lib.eshia.ir/10083/3/28/" TargetMode="External"/><Relationship Id="rId11" Type="http://schemas.openxmlformats.org/officeDocument/2006/relationships/hyperlink" Target="http://lib.efatwa.ir/40671/3/245/%22%D9%85%D8%AE%D9%84%D8%B7_%D9%81%DB%8C_%D8%A7%D9%85%D8%B1%D9%87%22" TargetMode="External"/><Relationship Id="rId5" Type="http://schemas.openxmlformats.org/officeDocument/2006/relationships/hyperlink" Target="https://lib.eshia.ir/14039/1/437/%22%D8%A7%D9%84%D8%A7_%D8%A7%D9%86_%D8%AA%D8%AA%D9%82%DB%8C%D9%87%22" TargetMode="External"/><Relationship Id="rId15" Type="http://schemas.openxmlformats.org/officeDocument/2006/relationships/hyperlink" Target="http://lib.eshia.ir/13035/1/151/" TargetMode="External"/><Relationship Id="rId10" Type="http://schemas.openxmlformats.org/officeDocument/2006/relationships/hyperlink" Target="http://lib.efatwa.ir/46254/3/1883/%D9%85%D8%AE%D9%84%D8%B7" TargetMode="External"/><Relationship Id="rId4" Type="http://schemas.openxmlformats.org/officeDocument/2006/relationships/hyperlink" Target="http://lib.efatwa.ir/40657/3/1124/%22%D8%A7%D9%84%D8%AA%D8%AE%D9%84%DB%8C%D8%B7_%D9%81%DB%8C_%D8%A7%D9%84%D8%A7%D9%85%D8%B1%22" TargetMode="External"/><Relationship Id="rId9" Type="http://schemas.openxmlformats.org/officeDocument/2006/relationships/hyperlink" Target="http://lib.efatwa.ir/40671/5/115/%D9%85%D8%AE%D9%84%D8%B7" TargetMode="External"/><Relationship Id="rId14" Type="http://schemas.openxmlformats.org/officeDocument/2006/relationships/hyperlink" Target="http://lib.eshia.ir/14010//2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2773-8FF1-473B-BEE2-8129AD01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1916</Words>
  <Characters>10927</Characters>
  <Application>Microsoft Office Word</Application>
  <DocSecurity>0</DocSecurity>
  <Lines>91</Lines>
  <Paragraphs>25</Paragraphs>
  <ScaleCrop>false</ScaleCrop>
  <HeadingPairs>
    <vt:vector size="6" baseType="variant">
      <vt:variant>
        <vt:lpstr>Title</vt:lpstr>
      </vt:variant>
      <vt:variant>
        <vt:i4>1</vt:i4>
      </vt:variant>
      <vt:variant>
        <vt:lpstr>Headings</vt:lpstr>
      </vt:variant>
      <vt:variant>
        <vt:i4>8</vt:i4>
      </vt:variant>
      <vt:variant>
        <vt:lpstr>عنوان</vt:lpstr>
      </vt:variant>
      <vt:variant>
        <vt:i4>1</vt:i4>
      </vt:variant>
    </vt:vector>
  </HeadingPairs>
  <TitlesOfParts>
    <vt:vector size="10" baseType="lpstr">
      <vt:lpstr>تقریرات دروس خارج مدرسه فقهی امام محمد باقر علیه السلام</vt:lpstr>
      <vt:lpstr>    معنای واژه "تخلیط" در کلام ائمه رجال </vt:lpstr>
      <vt:lpstr>        محتملات در معنای "قلیل التخلیط"</vt:lpstr>
      <vt:lpstr>        موارد استعمال مخلّط در روایات </vt:lpstr>
      <vt:lpstr>        معنای واژه "مِخلَط" در لغت </vt:lpstr>
      <vt:lpstr>        معنای "مخلّط" در لغت </vt:lpstr>
      <vt:lpstr>        معنای "مخلّط" در اصطلاح ائمه رجال</vt:lpstr>
      <vt:lpstr>        استعمالات مخلّط در کلام ائمه رجال </vt:lpstr>
      <vt:lpstr>        استشهاد به کلام شیخ در عده برای شناخت معنای تخلیط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cp:revision>
  <dcterms:created xsi:type="dcterms:W3CDTF">2022-10-24T04:56:00Z</dcterms:created>
  <dcterms:modified xsi:type="dcterms:W3CDTF">2022-10-25T16:21:00Z</dcterms:modified>
  <cp:contentStatus>ویرایش 2.5</cp:contentStatus>
  <cp:version>2.7</cp:version>
</cp:coreProperties>
</file>