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0625A4">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bookmarkStart w:id="0" w:name="_GoBack"/>
    <w:bookmarkEnd w:id="0"/>
    <w:p w:rsidR="00C91EB6" w:rsidRPr="00C91EB6" w:rsidRDefault="000625A4" w:rsidP="00C92F3A">
      <w:pPr>
        <w:pStyle w:val="TOC2"/>
        <w:tabs>
          <w:tab w:val="right" w:leader="dot" w:pos="10194"/>
        </w:tabs>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end"/>
      </w:r>
    </w:p>
    <w:p w:rsidR="00F343FB" w:rsidRPr="00A6366F" w:rsidRDefault="00F842AD" w:rsidP="000625A4">
      <w:pPr>
        <w:jc w:val="both"/>
      </w:pPr>
      <w:r w:rsidRPr="00C95A05">
        <w:rPr>
          <w:rStyle w:val="Emphasis"/>
          <w:rFonts w:hint="cs"/>
          <w:b/>
          <w:bCs w:val="0"/>
          <w:color w:val="FF0000"/>
          <w:rtl/>
        </w:rPr>
        <w:t>موضوع</w:t>
      </w:r>
      <w:r w:rsidRPr="00C95A05">
        <w:rPr>
          <w:rStyle w:val="Emphasis"/>
          <w:rFonts w:hint="cs"/>
          <w:color w:val="FF0000"/>
          <w:rtl/>
        </w:rPr>
        <w:t>:</w:t>
      </w:r>
      <w:r w:rsidR="00A6366F" w:rsidRPr="00C95A05">
        <w:rPr>
          <w:rFonts w:hint="cs"/>
          <w:color w:val="FF0000"/>
          <w:rtl/>
        </w:rPr>
        <w:t xml:space="preserve"> </w:t>
      </w:r>
      <w:bookmarkStart w:id="1" w:name="BokSabj2_d"/>
      <w:bookmarkEnd w:id="1"/>
      <w:r w:rsidR="00963107">
        <w:rPr>
          <w:rtl/>
        </w:rPr>
        <w:t>مملوک</w:t>
      </w:r>
      <w:r w:rsidR="00963107">
        <w:rPr>
          <w:rFonts w:hint="cs"/>
          <w:rtl/>
        </w:rPr>
        <w:t>ی</w:t>
      </w:r>
      <w:r w:rsidR="00963107">
        <w:rPr>
          <w:rFonts w:hint="eastAsia"/>
          <w:rtl/>
        </w:rPr>
        <w:t>ت</w:t>
      </w:r>
      <w:r w:rsidR="00963107">
        <w:rPr>
          <w:rtl/>
        </w:rPr>
        <w:t xml:space="preserve"> </w:t>
      </w:r>
      <w:r w:rsidR="00025B70">
        <w:rPr>
          <w:rFonts w:hint="cs"/>
          <w:rtl/>
        </w:rPr>
        <w:t xml:space="preserve"> </w:t>
      </w:r>
      <w:r w:rsidR="00386C11" w:rsidRPr="00A6366F">
        <w:rPr>
          <w:rFonts w:hint="cs"/>
          <w:rtl/>
        </w:rPr>
        <w:t>/</w:t>
      </w:r>
      <w:bookmarkStart w:id="2" w:name="BokSabj_d"/>
      <w:bookmarkEnd w:id="2"/>
      <w:r w:rsidR="00963107">
        <w:rPr>
          <w:rtl/>
        </w:rPr>
        <w:t>شرا</w:t>
      </w:r>
      <w:r w:rsidR="00963107">
        <w:rPr>
          <w:rFonts w:hint="cs"/>
          <w:rtl/>
        </w:rPr>
        <w:t>ی</w:t>
      </w:r>
      <w:r w:rsidR="00963107">
        <w:rPr>
          <w:rFonts w:hint="eastAsia"/>
          <w:rtl/>
        </w:rPr>
        <w:t>ط</w:t>
      </w:r>
      <w:r w:rsidR="00963107">
        <w:rPr>
          <w:rtl/>
        </w:rPr>
        <w:t xml:space="preserve"> مال زکو</w:t>
      </w:r>
      <w:r w:rsidR="00963107">
        <w:rPr>
          <w:rFonts w:hint="cs"/>
          <w:rtl/>
        </w:rPr>
        <w:t>ی</w:t>
      </w:r>
      <w:r w:rsidR="00963107">
        <w:rPr>
          <w:rtl/>
        </w:rPr>
        <w:t xml:space="preserve"> </w:t>
      </w:r>
      <w:r w:rsidR="00386C11" w:rsidRPr="00A6366F">
        <w:rPr>
          <w:rFonts w:hint="cs"/>
          <w:rtl/>
        </w:rPr>
        <w:t xml:space="preserve"> /</w:t>
      </w:r>
      <w:bookmarkStart w:id="3" w:name="Bokkolli"/>
      <w:bookmarkEnd w:id="3"/>
      <w:r w:rsidR="00963107">
        <w:rPr>
          <w:rtl/>
        </w:rPr>
        <w:t xml:space="preserve">زکات </w:t>
      </w:r>
      <w:r w:rsidR="001B6799" w:rsidRPr="00A6366F">
        <w:rPr>
          <w:rFonts w:hint="cs"/>
          <w:rtl/>
        </w:rPr>
        <w:t xml:space="preserve"> </w:t>
      </w:r>
    </w:p>
    <w:p w:rsidR="008F5B4D" w:rsidRPr="009C66D5" w:rsidRDefault="008F5B4D" w:rsidP="000625A4">
      <w:pPr>
        <w:jc w:val="both"/>
        <w:rPr>
          <w:rStyle w:val="Emphasis"/>
          <w:b/>
          <w:bCs w:val="0"/>
          <w:rtl/>
        </w:rPr>
      </w:pPr>
      <w:r w:rsidRPr="009C66D5">
        <w:rPr>
          <w:rStyle w:val="Emphasis"/>
          <w:rFonts w:hint="cs"/>
          <w:b/>
          <w:bCs w:val="0"/>
          <w:rtl/>
        </w:rPr>
        <w:t>خلاصه مباحث گذشته:</w:t>
      </w:r>
    </w:p>
    <w:p w:rsidR="003A6148" w:rsidRDefault="008F5B4D" w:rsidP="000625A4">
      <w:pPr>
        <w:pBdr>
          <w:bottom w:val="double" w:sz="6" w:space="1" w:color="auto"/>
        </w:pBdr>
        <w:jc w:val="both"/>
        <w:rPr>
          <w:rtl/>
        </w:rPr>
      </w:pPr>
      <w:r>
        <w:rPr>
          <w:rFonts w:hint="cs"/>
          <w:rtl/>
        </w:rPr>
        <w:t>متن خلاصه ...</w:t>
      </w:r>
    </w:p>
    <w:p w:rsidR="00247D2F" w:rsidRPr="003A6148" w:rsidRDefault="00247D2F" w:rsidP="000625A4">
      <w:pPr>
        <w:pBdr>
          <w:bottom w:val="double" w:sz="6" w:space="1" w:color="auto"/>
        </w:pBdr>
        <w:jc w:val="both"/>
      </w:pPr>
    </w:p>
    <w:p w:rsidR="008F5B4D" w:rsidRDefault="008F5B4D" w:rsidP="000625A4">
      <w:pPr>
        <w:jc w:val="both"/>
      </w:pPr>
    </w:p>
    <w:p w:rsidR="00F74363" w:rsidRDefault="00F74363" w:rsidP="000625A4">
      <w:pPr>
        <w:pStyle w:val="Heading2"/>
        <w:jc w:val="both"/>
        <w:rPr>
          <w:rtl/>
        </w:rPr>
      </w:pPr>
      <w:bookmarkStart w:id="4" w:name="_Toc116878539"/>
      <w:r>
        <w:rPr>
          <w:rFonts w:hint="cs"/>
          <w:rtl/>
        </w:rPr>
        <w:t>بررسی تمسک به روایت عبد الله بن سنان بر اشتراط مملوکیت</w:t>
      </w:r>
      <w:bookmarkEnd w:id="4"/>
      <w:r>
        <w:rPr>
          <w:rFonts w:hint="cs"/>
          <w:rtl/>
        </w:rPr>
        <w:t xml:space="preserve"> </w:t>
      </w:r>
    </w:p>
    <w:p w:rsidR="00F74363" w:rsidRDefault="003A2046" w:rsidP="000625A4">
      <w:pPr>
        <w:jc w:val="both"/>
        <w:rPr>
          <w:rtl/>
        </w:rPr>
      </w:pPr>
      <w:r>
        <w:rPr>
          <w:rFonts w:hint="cs"/>
          <w:rtl/>
        </w:rPr>
        <w:t>بحث در این باره بود که آیا می توان از موثقه عبد الله بن سنان اشتراط م</w:t>
      </w:r>
      <w:r w:rsidR="00F74363">
        <w:rPr>
          <w:rFonts w:hint="cs"/>
          <w:rtl/>
        </w:rPr>
        <w:t>الکیت در تعلّق زکات را استفاده کرد؟</w:t>
      </w:r>
      <w:r>
        <w:rPr>
          <w:rFonts w:hint="cs"/>
          <w:rtl/>
        </w:rPr>
        <w:t xml:space="preserve"> </w:t>
      </w:r>
    </w:p>
    <w:p w:rsidR="001A1EA5" w:rsidRDefault="003A2046" w:rsidP="000625A4">
      <w:pPr>
        <w:jc w:val="both"/>
        <w:rPr>
          <w:rtl/>
        </w:rPr>
      </w:pPr>
      <w:r>
        <w:rPr>
          <w:rFonts w:hint="cs"/>
          <w:rtl/>
        </w:rPr>
        <w:t>این روایت به رقم 12980 در جامع الاحادیث ج 9 وارد شده است:</w:t>
      </w:r>
    </w:p>
    <w:p w:rsidR="003A2046" w:rsidRDefault="003A2046" w:rsidP="000625A4">
      <w:pPr>
        <w:jc w:val="both"/>
        <w:rPr>
          <w:color w:val="008000"/>
          <w:rtl/>
        </w:rPr>
      </w:pPr>
      <w:r w:rsidRPr="00FF162B">
        <w:rPr>
          <w:rFonts w:hint="cs"/>
          <w:color w:val="008000"/>
          <w:rtl/>
        </w:rPr>
        <w:t>قَالَ</w:t>
      </w:r>
      <w:r w:rsidRPr="00FF162B">
        <w:rPr>
          <w:color w:val="008000"/>
          <w:rtl/>
        </w:rPr>
        <w:t xml:space="preserve">: </w:t>
      </w:r>
      <w:r w:rsidRPr="00FF162B">
        <w:rPr>
          <w:rFonts w:hint="cs"/>
          <w:color w:val="008000"/>
          <w:rtl/>
        </w:rPr>
        <w:t>قُلْتُ</w:t>
      </w:r>
      <w:r w:rsidRPr="00FF162B">
        <w:rPr>
          <w:color w:val="008000"/>
          <w:rtl/>
        </w:rPr>
        <w:t xml:space="preserve"> </w:t>
      </w:r>
      <w:r w:rsidRPr="00FF162B">
        <w:rPr>
          <w:rFonts w:hint="cs"/>
          <w:color w:val="008000"/>
          <w:rtl/>
        </w:rPr>
        <w:t>لِأَبِي</w:t>
      </w:r>
      <w:r w:rsidRPr="00FF162B">
        <w:rPr>
          <w:color w:val="008000"/>
          <w:rtl/>
        </w:rPr>
        <w:t xml:space="preserve"> </w:t>
      </w:r>
      <w:r w:rsidRPr="00FF162B">
        <w:rPr>
          <w:rFonts w:hint="cs"/>
          <w:color w:val="008000"/>
          <w:rtl/>
        </w:rPr>
        <w:t>عَبْدِ</w:t>
      </w:r>
      <w:r w:rsidRPr="00FF162B">
        <w:rPr>
          <w:color w:val="008000"/>
          <w:rtl/>
        </w:rPr>
        <w:t xml:space="preserve"> </w:t>
      </w:r>
      <w:r w:rsidRPr="00FF162B">
        <w:rPr>
          <w:rFonts w:hint="cs"/>
          <w:color w:val="008000"/>
          <w:rtl/>
        </w:rPr>
        <w:t>اللَّهِ</w:t>
      </w:r>
      <w:r w:rsidRPr="00FF162B">
        <w:rPr>
          <w:color w:val="008000"/>
          <w:rtl/>
        </w:rPr>
        <w:t xml:space="preserve"> </w:t>
      </w:r>
      <w:r w:rsidRPr="00FF162B">
        <w:rPr>
          <w:rFonts w:hint="cs"/>
          <w:color w:val="008000"/>
          <w:rtl/>
        </w:rPr>
        <w:t>ع</w:t>
      </w:r>
      <w:r w:rsidRPr="00FF162B">
        <w:rPr>
          <w:color w:val="008000"/>
          <w:rtl/>
        </w:rPr>
        <w:t xml:space="preserve"> </w:t>
      </w:r>
      <w:r w:rsidRPr="00FF162B">
        <w:rPr>
          <w:rFonts w:hint="cs"/>
          <w:color w:val="008000"/>
          <w:rtl/>
        </w:rPr>
        <w:t>مَمْلُوكٌ‏</w:t>
      </w:r>
      <w:r w:rsidRPr="00FF162B">
        <w:rPr>
          <w:color w:val="008000"/>
          <w:rtl/>
        </w:rPr>
        <w:t xml:space="preserve"> </w:t>
      </w:r>
      <w:r w:rsidRPr="00FF162B">
        <w:rPr>
          <w:rFonts w:hint="cs"/>
          <w:color w:val="008000"/>
          <w:rtl/>
        </w:rPr>
        <w:t>فِي‏</w:t>
      </w:r>
      <w:r w:rsidRPr="00FF162B">
        <w:rPr>
          <w:color w:val="008000"/>
          <w:rtl/>
        </w:rPr>
        <w:t xml:space="preserve"> </w:t>
      </w:r>
      <w:r w:rsidRPr="00FF162B">
        <w:rPr>
          <w:rFonts w:hint="cs"/>
          <w:color w:val="008000"/>
          <w:rtl/>
        </w:rPr>
        <w:t>يَدِهِ‏</w:t>
      </w:r>
      <w:r w:rsidRPr="00FF162B">
        <w:rPr>
          <w:color w:val="008000"/>
          <w:rtl/>
        </w:rPr>
        <w:t xml:space="preserve"> </w:t>
      </w:r>
      <w:r w:rsidRPr="00FF162B">
        <w:rPr>
          <w:rFonts w:hint="cs"/>
          <w:color w:val="008000"/>
          <w:rtl/>
        </w:rPr>
        <w:t>مَالٌ‏</w:t>
      </w:r>
      <w:r w:rsidRPr="00FF162B">
        <w:rPr>
          <w:color w:val="008000"/>
          <w:rtl/>
        </w:rPr>
        <w:t xml:space="preserve"> </w:t>
      </w:r>
      <w:r w:rsidRPr="00FF162B">
        <w:rPr>
          <w:rFonts w:hint="cs"/>
          <w:color w:val="008000"/>
          <w:rtl/>
        </w:rPr>
        <w:t>أَ</w:t>
      </w:r>
      <w:r w:rsidRPr="00FF162B">
        <w:rPr>
          <w:color w:val="008000"/>
          <w:rtl/>
        </w:rPr>
        <w:t xml:space="preserve"> </w:t>
      </w:r>
      <w:r w:rsidRPr="00FF162B">
        <w:rPr>
          <w:rFonts w:hint="cs"/>
          <w:color w:val="008000"/>
          <w:rtl/>
        </w:rPr>
        <w:t>عَلَيْهِ</w:t>
      </w:r>
      <w:r w:rsidRPr="00FF162B">
        <w:rPr>
          <w:color w:val="008000"/>
          <w:rtl/>
        </w:rPr>
        <w:t xml:space="preserve"> </w:t>
      </w:r>
      <w:r w:rsidRPr="00FF162B">
        <w:rPr>
          <w:rFonts w:hint="cs"/>
          <w:color w:val="008000"/>
          <w:rtl/>
        </w:rPr>
        <w:t>زَكَاةٌ</w:t>
      </w:r>
      <w:r w:rsidRPr="00FF162B">
        <w:rPr>
          <w:color w:val="008000"/>
          <w:rtl/>
        </w:rPr>
        <w:t xml:space="preserve"> </w:t>
      </w:r>
      <w:r w:rsidRPr="00FF162B">
        <w:rPr>
          <w:rFonts w:hint="cs"/>
          <w:color w:val="008000"/>
          <w:rtl/>
        </w:rPr>
        <w:t>قَالَ</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قُلْتُ</w:t>
      </w:r>
      <w:r w:rsidRPr="00FF162B">
        <w:rPr>
          <w:color w:val="008000"/>
          <w:rtl/>
        </w:rPr>
        <w:t xml:space="preserve"> </w:t>
      </w:r>
      <w:r w:rsidRPr="00FF162B">
        <w:rPr>
          <w:rFonts w:hint="cs"/>
          <w:color w:val="008000"/>
          <w:rtl/>
        </w:rPr>
        <w:t>وَ</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عَلَى</w:t>
      </w:r>
      <w:r w:rsidRPr="00FF162B">
        <w:rPr>
          <w:color w:val="008000"/>
          <w:rtl/>
        </w:rPr>
        <w:t xml:space="preserve"> </w:t>
      </w:r>
      <w:r w:rsidRPr="00FF162B">
        <w:rPr>
          <w:rFonts w:hint="cs"/>
          <w:color w:val="008000"/>
          <w:rtl/>
        </w:rPr>
        <w:t>سَيِّدِهِ</w:t>
      </w:r>
      <w:r w:rsidRPr="00FF162B">
        <w:rPr>
          <w:color w:val="008000"/>
          <w:rtl/>
        </w:rPr>
        <w:t xml:space="preserve"> </w:t>
      </w:r>
      <w:r w:rsidRPr="00FF162B">
        <w:rPr>
          <w:rFonts w:hint="cs"/>
          <w:color w:val="008000"/>
          <w:rtl/>
        </w:rPr>
        <w:t>قَالَ</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إِنَّهُ</w:t>
      </w:r>
      <w:r w:rsidRPr="00FF162B">
        <w:rPr>
          <w:color w:val="008000"/>
          <w:rtl/>
        </w:rPr>
        <w:t xml:space="preserve"> </w:t>
      </w:r>
      <w:r w:rsidRPr="00FF162B">
        <w:rPr>
          <w:rFonts w:hint="cs"/>
          <w:color w:val="008000"/>
          <w:rtl/>
        </w:rPr>
        <w:t>لَمْ</w:t>
      </w:r>
      <w:r w:rsidRPr="00FF162B">
        <w:rPr>
          <w:color w:val="008000"/>
          <w:rtl/>
        </w:rPr>
        <w:t xml:space="preserve"> </w:t>
      </w:r>
      <w:r w:rsidRPr="00FF162B">
        <w:rPr>
          <w:rFonts w:hint="cs"/>
          <w:color w:val="008000"/>
          <w:rtl/>
        </w:rPr>
        <w:t>يَصِلْ</w:t>
      </w:r>
      <w:r w:rsidRPr="00FF162B">
        <w:rPr>
          <w:color w:val="008000"/>
          <w:rtl/>
        </w:rPr>
        <w:t xml:space="preserve"> </w:t>
      </w:r>
      <w:r w:rsidRPr="00FF162B">
        <w:rPr>
          <w:rFonts w:hint="cs"/>
          <w:color w:val="008000"/>
          <w:rtl/>
        </w:rPr>
        <w:t>إِلَى</w:t>
      </w:r>
      <w:r w:rsidRPr="00FF162B">
        <w:rPr>
          <w:color w:val="008000"/>
          <w:rtl/>
        </w:rPr>
        <w:t xml:space="preserve"> </w:t>
      </w:r>
      <w:r w:rsidRPr="00FF162B">
        <w:rPr>
          <w:rFonts w:hint="cs"/>
          <w:color w:val="008000"/>
          <w:rtl/>
        </w:rPr>
        <w:t>سَيِّدِهِ</w:t>
      </w:r>
      <w:r w:rsidRPr="00FF162B">
        <w:rPr>
          <w:color w:val="008000"/>
          <w:rtl/>
        </w:rPr>
        <w:t xml:space="preserve"> </w:t>
      </w:r>
      <w:r w:rsidRPr="00FF162B">
        <w:rPr>
          <w:rFonts w:hint="cs"/>
          <w:color w:val="008000"/>
          <w:rtl/>
        </w:rPr>
        <w:t>وَ</w:t>
      </w:r>
      <w:r w:rsidRPr="00FF162B">
        <w:rPr>
          <w:color w:val="008000"/>
          <w:rtl/>
        </w:rPr>
        <w:t xml:space="preserve"> </w:t>
      </w:r>
      <w:r w:rsidRPr="00FF162B">
        <w:rPr>
          <w:rFonts w:hint="cs"/>
          <w:color w:val="008000"/>
          <w:rtl/>
        </w:rPr>
        <w:t>لَيْسَ</w:t>
      </w:r>
      <w:r w:rsidRPr="00FF162B">
        <w:rPr>
          <w:color w:val="008000"/>
          <w:rtl/>
        </w:rPr>
        <w:t xml:space="preserve"> </w:t>
      </w:r>
      <w:r w:rsidRPr="00FF162B">
        <w:rPr>
          <w:rFonts w:hint="cs"/>
          <w:color w:val="008000"/>
          <w:rtl/>
        </w:rPr>
        <w:t>هُوَ</w:t>
      </w:r>
      <w:r w:rsidRPr="00FF162B">
        <w:rPr>
          <w:color w:val="008000"/>
          <w:rtl/>
        </w:rPr>
        <w:t xml:space="preserve"> </w:t>
      </w:r>
      <w:r w:rsidRPr="00FF162B">
        <w:rPr>
          <w:rFonts w:hint="cs"/>
          <w:color w:val="008000"/>
          <w:rtl/>
        </w:rPr>
        <w:t>لِلْمَمْلُوكِ</w:t>
      </w:r>
      <w:r>
        <w:rPr>
          <w:rStyle w:val="FootnoteReference"/>
          <w:color w:val="008000"/>
          <w:rtl/>
        </w:rPr>
        <w:footnoteReference w:id="1"/>
      </w:r>
    </w:p>
    <w:p w:rsidR="003A2046" w:rsidRDefault="003A2046" w:rsidP="000625A4">
      <w:pPr>
        <w:jc w:val="both"/>
        <w:rPr>
          <w:rtl/>
        </w:rPr>
      </w:pPr>
      <w:r>
        <w:rPr>
          <w:rFonts w:hint="cs"/>
          <w:rtl/>
        </w:rPr>
        <w:t xml:space="preserve">در این روایت درباره زکات در مالی سوال شده که مالک آن مولی است ولی </w:t>
      </w:r>
      <w:r w:rsidR="00F74363">
        <w:rPr>
          <w:rFonts w:hint="cs"/>
          <w:rtl/>
        </w:rPr>
        <w:t xml:space="preserve">مال </w:t>
      </w:r>
      <w:r>
        <w:rPr>
          <w:rFonts w:hint="cs"/>
          <w:rtl/>
        </w:rPr>
        <w:t>در دست عبد است. امام علیه السلام می فرماید: بر مولی زکات واجب نیست زیرا مال به او نرسیده و تمام تمکّن از تصرّف شرط</w:t>
      </w:r>
      <w:r w:rsidR="00F74363">
        <w:rPr>
          <w:rFonts w:hint="cs"/>
          <w:rtl/>
        </w:rPr>
        <w:t xml:space="preserve"> ثبوت زکات</w:t>
      </w:r>
      <w:r>
        <w:rPr>
          <w:rFonts w:hint="cs"/>
          <w:rtl/>
        </w:rPr>
        <w:t xml:space="preserve"> است. بر مملوک زکات واجب نیست زیرا مال برای او نیست. امکان دارد به «لیس هو للملوک» تمسک شود که شرط زکات مالکیت است. </w:t>
      </w:r>
    </w:p>
    <w:p w:rsidR="003A2046" w:rsidRDefault="003A2046" w:rsidP="000625A4">
      <w:pPr>
        <w:jc w:val="both"/>
        <w:rPr>
          <w:rtl/>
        </w:rPr>
      </w:pPr>
      <w:r>
        <w:rPr>
          <w:rFonts w:hint="cs"/>
          <w:rtl/>
        </w:rPr>
        <w:t xml:space="preserve">اما به نظر می رسد نمی توان به این فقره تمسک کرد. در توضیح باید گفت: اگر زکات بر چند گروه ثابت باشد مثلا اگر ثبوتا بر کسی که مالک است، زکات ثابت باشد و بر متولی وقف نیز زکات ثابت باشد و بر کسی که در مباحات تصرّف می کند نیز زکات ثابت باشد. در این صورت مانعی ندارد برای نفی زکات از عبد، </w:t>
      </w:r>
      <w:r w:rsidR="00F74363">
        <w:rPr>
          <w:rFonts w:hint="cs"/>
          <w:rtl/>
        </w:rPr>
        <w:t>به عدم مالکیت استدلال شود</w:t>
      </w:r>
      <w:r>
        <w:rPr>
          <w:rFonts w:hint="cs"/>
          <w:rtl/>
        </w:rPr>
        <w:t xml:space="preserve"> زیرا روشن است که عبد متولی وقف نیست و از مباحات نیز استفاده نمی کند و تنها توهّم مالکیت او برای وجوب زکات وجود دارد. پس ممکن است موضوعات مختلفی برای وجوب وجود داشته باشد و</w:t>
      </w:r>
      <w:r w:rsidR="00F74363">
        <w:rPr>
          <w:rFonts w:hint="cs"/>
          <w:rtl/>
        </w:rPr>
        <w:t>لی</w:t>
      </w:r>
      <w:r>
        <w:rPr>
          <w:rFonts w:hint="cs"/>
          <w:rtl/>
        </w:rPr>
        <w:t xml:space="preserve"> به موضوعات مختلف اشاره نشده </w:t>
      </w:r>
      <w:r w:rsidR="00F74363">
        <w:rPr>
          <w:rFonts w:hint="cs"/>
          <w:rtl/>
        </w:rPr>
        <w:t>باشد</w:t>
      </w:r>
      <w:r>
        <w:rPr>
          <w:rFonts w:hint="cs"/>
          <w:rtl/>
        </w:rPr>
        <w:t xml:space="preserve"> </w:t>
      </w:r>
      <w:r w:rsidR="00BD5933">
        <w:rPr>
          <w:rFonts w:hint="cs"/>
          <w:rtl/>
        </w:rPr>
        <w:t xml:space="preserve">زیرا عدم تطبیق آنها در مورد </w:t>
      </w:r>
      <w:r w:rsidR="00BD5933">
        <w:rPr>
          <w:rFonts w:hint="cs"/>
          <w:rtl/>
        </w:rPr>
        <w:lastRenderedPageBreak/>
        <w:t xml:space="preserve">روشن است و تنها توهّم مالکیت عبد وجود دارد که تنها این توهّم نفی شده است. در نتیجه از «لیس هو للملوک» نمی توان استفاده کرد که شرط زکات، مالکیت است. </w:t>
      </w:r>
    </w:p>
    <w:p w:rsidR="00F74363" w:rsidRDefault="00F74363" w:rsidP="000625A4">
      <w:pPr>
        <w:pStyle w:val="Heading2"/>
        <w:jc w:val="both"/>
        <w:rPr>
          <w:rtl/>
        </w:rPr>
      </w:pPr>
      <w:bookmarkStart w:id="5" w:name="_Toc116878540"/>
      <w:r>
        <w:rPr>
          <w:rFonts w:hint="cs"/>
          <w:rtl/>
        </w:rPr>
        <w:t>کلام محقق در شرایع</w:t>
      </w:r>
      <w:bookmarkEnd w:id="5"/>
      <w:r>
        <w:rPr>
          <w:rFonts w:hint="cs"/>
          <w:rtl/>
        </w:rPr>
        <w:t xml:space="preserve"> </w:t>
      </w:r>
    </w:p>
    <w:p w:rsidR="00BD5933" w:rsidRDefault="00BD5933" w:rsidP="000625A4">
      <w:pPr>
        <w:jc w:val="both"/>
        <w:rPr>
          <w:rtl/>
        </w:rPr>
      </w:pPr>
      <w:r>
        <w:rPr>
          <w:rFonts w:hint="cs"/>
          <w:rtl/>
        </w:rPr>
        <w:t>مرحوم محقق در شرایع ذیل بحث من تجب علیه الزکاه، اینگونه تعبیر کرده است:</w:t>
      </w:r>
    </w:p>
    <w:p w:rsidR="00BD5933" w:rsidRPr="00BD5933" w:rsidRDefault="00BD5933" w:rsidP="000625A4">
      <w:pPr>
        <w:jc w:val="both"/>
        <w:rPr>
          <w:color w:val="000080"/>
          <w:rtl/>
        </w:rPr>
      </w:pPr>
      <w:r w:rsidRPr="00BD5933">
        <w:rPr>
          <w:color w:val="000080"/>
          <w:rtl/>
        </w:rPr>
        <w:t>النظر الأول في من تجب عليه‌</w:t>
      </w:r>
      <w:r w:rsidRPr="00BD5933">
        <w:rPr>
          <w:rFonts w:hint="cs"/>
          <w:color w:val="000080"/>
          <w:rtl/>
        </w:rPr>
        <w:t xml:space="preserve"> </w:t>
      </w:r>
      <w:r w:rsidRPr="00BD5933">
        <w:rPr>
          <w:color w:val="000080"/>
          <w:rtl/>
        </w:rPr>
        <w:t>أما الأول فتجب الزكاة على البالغ العاقل الحر المالك المتمكن من التصرف.</w:t>
      </w:r>
      <w:r>
        <w:rPr>
          <w:rStyle w:val="FootnoteReference"/>
          <w:color w:val="000080"/>
          <w:rtl/>
        </w:rPr>
        <w:footnoteReference w:id="2"/>
      </w:r>
    </w:p>
    <w:p w:rsidR="00BD5933" w:rsidRDefault="00BD5933" w:rsidP="000625A4">
      <w:pPr>
        <w:jc w:val="both"/>
        <w:rPr>
          <w:rtl/>
        </w:rPr>
      </w:pPr>
      <w:r>
        <w:rPr>
          <w:rFonts w:hint="cs"/>
          <w:rtl/>
        </w:rPr>
        <w:t>ایشان یکی از شرایط را مالکیت قرار داده و تک تک این شروط را توضیح داده است. ایشان در توضیح مالکیت می نویسد:</w:t>
      </w:r>
    </w:p>
    <w:p w:rsidR="00BD5933" w:rsidRDefault="00BD5933" w:rsidP="000625A4">
      <w:pPr>
        <w:jc w:val="both"/>
        <w:rPr>
          <w:color w:val="000080"/>
          <w:rtl/>
        </w:rPr>
      </w:pPr>
      <w:r w:rsidRPr="00BD5933">
        <w:rPr>
          <w:color w:val="000080"/>
          <w:rtl/>
        </w:rPr>
        <w:t xml:space="preserve">و الملك شرط في الأجناس كلها </w:t>
      </w:r>
    </w:p>
    <w:p w:rsidR="00F74363" w:rsidRDefault="00BD5933" w:rsidP="000625A4">
      <w:pPr>
        <w:jc w:val="both"/>
        <w:rPr>
          <w:rtl/>
        </w:rPr>
      </w:pPr>
      <w:r>
        <w:rPr>
          <w:rFonts w:hint="cs"/>
          <w:rtl/>
        </w:rPr>
        <w:t xml:space="preserve">ایشان بیان می کند: در تمام اجناس ملکیت معتبر است. </w:t>
      </w:r>
    </w:p>
    <w:p w:rsidR="00F74363" w:rsidRDefault="00F74363" w:rsidP="000625A4">
      <w:pPr>
        <w:pStyle w:val="Heading3"/>
        <w:jc w:val="both"/>
        <w:rPr>
          <w:rtl/>
        </w:rPr>
      </w:pPr>
      <w:bookmarkStart w:id="6" w:name="_Toc116878541"/>
      <w:r>
        <w:rPr>
          <w:rFonts w:hint="cs"/>
          <w:rtl/>
        </w:rPr>
        <w:t>مراد از اشتراط مالکیت</w:t>
      </w:r>
      <w:bookmarkEnd w:id="6"/>
      <w:r>
        <w:rPr>
          <w:rFonts w:hint="cs"/>
          <w:rtl/>
        </w:rPr>
        <w:t xml:space="preserve"> </w:t>
      </w:r>
    </w:p>
    <w:p w:rsidR="00BD5933" w:rsidRDefault="00BD5933" w:rsidP="000625A4">
      <w:pPr>
        <w:jc w:val="both"/>
        <w:rPr>
          <w:rtl/>
        </w:rPr>
      </w:pPr>
      <w:r>
        <w:rPr>
          <w:rFonts w:hint="cs"/>
          <w:rtl/>
        </w:rPr>
        <w:t>ظاهر بدوی اعتبار ملکیت، نفی وجوب زکات در مباحات است که کسی مالک آنها نیست. اما علاوه بر اصل ملکیت، شرایط دیگری شرط است که ظاهرا محقق ناظر به آنها نیست هر چند در کلام آقایان به عنوان احتمال ذکر شده است:</w:t>
      </w:r>
    </w:p>
    <w:p w:rsidR="00BD5933" w:rsidRDefault="00BD5933" w:rsidP="000625A4">
      <w:pPr>
        <w:pStyle w:val="ListParagraph"/>
        <w:numPr>
          <w:ilvl w:val="0"/>
          <w:numId w:val="16"/>
        </w:numPr>
        <w:jc w:val="both"/>
        <w:rPr>
          <w:rtl/>
        </w:rPr>
      </w:pPr>
      <w:r>
        <w:rPr>
          <w:rFonts w:hint="cs"/>
          <w:rtl/>
        </w:rPr>
        <w:t xml:space="preserve">شرط اول: مالک باید شخص باشد و در صورتی که مالک کلی و جهت عامه مانند فقرا باشد، زکات واجب نیست. وجه عمده </w:t>
      </w:r>
      <w:r w:rsidR="00F74363">
        <w:rPr>
          <w:rFonts w:hint="cs"/>
          <w:rtl/>
        </w:rPr>
        <w:t>برای اثبات این</w:t>
      </w:r>
      <w:r>
        <w:rPr>
          <w:rFonts w:hint="cs"/>
          <w:rtl/>
        </w:rPr>
        <w:t xml:space="preserve"> شرط، اطلاق مقامی است که اقتضا می کند در جایی که مالک کلی است، زکات واجب نیست. </w:t>
      </w:r>
    </w:p>
    <w:p w:rsidR="00F74363" w:rsidRDefault="00BD5933" w:rsidP="000625A4">
      <w:pPr>
        <w:pStyle w:val="ListParagraph"/>
        <w:numPr>
          <w:ilvl w:val="0"/>
          <w:numId w:val="16"/>
        </w:numPr>
        <w:jc w:val="both"/>
      </w:pPr>
      <w:r>
        <w:rPr>
          <w:rFonts w:hint="cs"/>
          <w:rtl/>
        </w:rPr>
        <w:t xml:space="preserve">شرط دوم: ملکیت باید شخصی باشد و در صورتی که ملکیت کلی باشد، زکات واجب نیست. </w:t>
      </w:r>
    </w:p>
    <w:p w:rsidR="00F74363" w:rsidRDefault="00BD5933" w:rsidP="000625A4">
      <w:pPr>
        <w:jc w:val="both"/>
        <w:rPr>
          <w:rtl/>
        </w:rPr>
      </w:pPr>
      <w:r>
        <w:rPr>
          <w:rFonts w:hint="cs"/>
          <w:rtl/>
        </w:rPr>
        <w:t xml:space="preserve">در توضیح باید گفت: ملکیت به سه نحو قابل تصویر است: </w:t>
      </w:r>
    </w:p>
    <w:p w:rsidR="00F74363" w:rsidRDefault="00BD5933" w:rsidP="000625A4">
      <w:pPr>
        <w:pStyle w:val="ListParagraph"/>
        <w:numPr>
          <w:ilvl w:val="0"/>
          <w:numId w:val="17"/>
        </w:numPr>
        <w:jc w:val="both"/>
      </w:pPr>
      <w:r>
        <w:rPr>
          <w:rFonts w:hint="cs"/>
          <w:rtl/>
        </w:rPr>
        <w:t xml:space="preserve">گاه ملکیت شخصی است و شریکی وجود ندارد. </w:t>
      </w:r>
    </w:p>
    <w:p w:rsidR="00F74363" w:rsidRDefault="00BD5933" w:rsidP="000625A4">
      <w:pPr>
        <w:pStyle w:val="ListParagraph"/>
        <w:numPr>
          <w:ilvl w:val="0"/>
          <w:numId w:val="17"/>
        </w:numPr>
        <w:jc w:val="both"/>
      </w:pPr>
      <w:r>
        <w:rPr>
          <w:rFonts w:hint="cs"/>
          <w:rtl/>
        </w:rPr>
        <w:t>گاه ملکی</w:t>
      </w:r>
      <w:r w:rsidR="00F74363">
        <w:rPr>
          <w:rFonts w:hint="cs"/>
          <w:rtl/>
        </w:rPr>
        <w:t>ت شخصی است اما به نحو مشاع است.</w:t>
      </w:r>
    </w:p>
    <w:p w:rsidR="00F74363" w:rsidRDefault="00BD5933" w:rsidP="000625A4">
      <w:pPr>
        <w:pStyle w:val="ListParagraph"/>
        <w:numPr>
          <w:ilvl w:val="0"/>
          <w:numId w:val="17"/>
        </w:numPr>
        <w:jc w:val="both"/>
      </w:pPr>
      <w:r>
        <w:rPr>
          <w:rFonts w:hint="cs"/>
          <w:rtl/>
        </w:rPr>
        <w:t xml:space="preserve">گاه </w:t>
      </w:r>
      <w:r w:rsidR="00846586">
        <w:rPr>
          <w:rFonts w:hint="cs"/>
          <w:rtl/>
        </w:rPr>
        <w:t>مال</w:t>
      </w:r>
      <w:r>
        <w:rPr>
          <w:rFonts w:hint="cs"/>
          <w:rtl/>
        </w:rPr>
        <w:t xml:space="preserve"> را به نحو کلی مالک است. مثلا به اندازه نصاب </w:t>
      </w:r>
      <w:r w:rsidR="00846586">
        <w:rPr>
          <w:rFonts w:hint="cs"/>
          <w:rtl/>
        </w:rPr>
        <w:t>زکوی</w:t>
      </w:r>
      <w:r>
        <w:rPr>
          <w:rFonts w:hint="cs"/>
          <w:rtl/>
        </w:rPr>
        <w:t xml:space="preserve"> به نحو کلی فی المعین از </w:t>
      </w:r>
      <w:r w:rsidR="00846586">
        <w:rPr>
          <w:rFonts w:hint="cs"/>
          <w:rtl/>
        </w:rPr>
        <w:t>کسی</w:t>
      </w:r>
      <w:r w:rsidR="00F74363">
        <w:rPr>
          <w:rFonts w:hint="cs"/>
          <w:rtl/>
        </w:rPr>
        <w:t xml:space="preserve"> خریده است.</w:t>
      </w:r>
    </w:p>
    <w:p w:rsidR="00BD5933" w:rsidRDefault="00846586" w:rsidP="000625A4">
      <w:pPr>
        <w:jc w:val="both"/>
        <w:rPr>
          <w:rtl/>
        </w:rPr>
      </w:pPr>
      <w:r>
        <w:rPr>
          <w:rFonts w:hint="cs"/>
          <w:rtl/>
        </w:rPr>
        <w:t>ثبوت زکات در ملک کلی،</w:t>
      </w:r>
      <w:r w:rsidR="00BD5933">
        <w:rPr>
          <w:rFonts w:hint="cs"/>
          <w:rtl/>
        </w:rPr>
        <w:t xml:space="preserve"> به تناسب بحث دین مطرح خواهد شد. مرحوم محقق در آینده بحثی را در نفی زکات در دین و قرض دارند. در دین و قرض، من له الدین و مقرض</w:t>
      </w:r>
      <w:r>
        <w:rPr>
          <w:rFonts w:hint="cs"/>
          <w:rtl/>
        </w:rPr>
        <w:t>،</w:t>
      </w:r>
      <w:r w:rsidR="00BD5933">
        <w:rPr>
          <w:rFonts w:hint="cs"/>
          <w:rtl/>
        </w:rPr>
        <w:t xml:space="preserve"> مالک دین به نحو کلی هستند. ممکن است از روایاتی که زکات را از مقرض و من له الدین نفی کرده است، این شرط استفاده شود که باید مالک زکات، ملکیت شخصی داشته باشد و به نحو کلی </w:t>
      </w:r>
      <w:r w:rsidR="00BD5933">
        <w:rPr>
          <w:rFonts w:hint="cs"/>
          <w:rtl/>
        </w:rPr>
        <w:lastRenderedPageBreak/>
        <w:t xml:space="preserve">فی المعیّن برای ثبوت زکات </w:t>
      </w:r>
      <w:r>
        <w:rPr>
          <w:rFonts w:hint="cs"/>
          <w:rtl/>
        </w:rPr>
        <w:t xml:space="preserve">کافی </w:t>
      </w:r>
      <w:r w:rsidR="00BD5933">
        <w:rPr>
          <w:rFonts w:hint="cs"/>
          <w:rtl/>
        </w:rPr>
        <w:t xml:space="preserve">نیست. بر خلاف اشاعه که قائل هستند نسبت به سهم خود </w:t>
      </w:r>
      <w:r w:rsidR="00BD5933" w:rsidRPr="00F74363">
        <w:rPr>
          <w:rFonts w:ascii="Sakkal Majalla" w:hAnsi="Sakkal Majalla" w:cs="Sakkal Majalla" w:hint="cs"/>
          <w:rtl/>
        </w:rPr>
        <w:t>–</w:t>
      </w:r>
      <w:r w:rsidR="00BD5933">
        <w:rPr>
          <w:rFonts w:hint="cs"/>
          <w:rtl/>
        </w:rPr>
        <w:t xml:space="preserve">اگر به نصاب برسد- زکات ثابت است. </w:t>
      </w:r>
    </w:p>
    <w:p w:rsidR="00F74363" w:rsidRDefault="00F74363" w:rsidP="000625A4">
      <w:pPr>
        <w:pStyle w:val="Heading3"/>
        <w:jc w:val="both"/>
        <w:rPr>
          <w:rtl/>
        </w:rPr>
      </w:pPr>
      <w:bookmarkStart w:id="7" w:name="_Toc116878542"/>
      <w:r>
        <w:rPr>
          <w:rFonts w:hint="cs"/>
          <w:rtl/>
        </w:rPr>
        <w:t>مراد از تامّ بودن ملک</w:t>
      </w:r>
      <w:bookmarkEnd w:id="7"/>
    </w:p>
    <w:p w:rsidR="00846586" w:rsidRDefault="00846586" w:rsidP="000625A4">
      <w:pPr>
        <w:jc w:val="both"/>
        <w:rPr>
          <w:rtl/>
        </w:rPr>
      </w:pPr>
      <w:r>
        <w:rPr>
          <w:rFonts w:hint="cs"/>
          <w:rtl/>
        </w:rPr>
        <w:t xml:space="preserve">مرحوم محقق در ادامه می فرماید: </w:t>
      </w:r>
    </w:p>
    <w:p w:rsidR="00BD5933" w:rsidRDefault="00846586" w:rsidP="000625A4">
      <w:pPr>
        <w:jc w:val="both"/>
        <w:rPr>
          <w:color w:val="000080"/>
          <w:rtl/>
        </w:rPr>
      </w:pPr>
      <w:r w:rsidRPr="00846586">
        <w:rPr>
          <w:color w:val="000080"/>
          <w:rtl/>
        </w:rPr>
        <w:t>و لا بد أن يكون تاما ف‍ لو وهب له نصاب لم يجز في الحول إلا بعد القبض و كذا لو أوصي له اعتبر الحول بعد الوفاة و القبول.</w:t>
      </w:r>
    </w:p>
    <w:p w:rsidR="00F74363" w:rsidRDefault="00846586" w:rsidP="000625A4">
      <w:pPr>
        <w:jc w:val="both"/>
        <w:rPr>
          <w:rtl/>
        </w:rPr>
      </w:pPr>
      <w:r>
        <w:rPr>
          <w:rFonts w:hint="cs"/>
          <w:rtl/>
        </w:rPr>
        <w:t>ایشان مراد از تامّ بودن را با تفریعی که ذکر کرده، تبیین کرده است. به این معنا که بالفعل ملکیت تحقّق داشته باشد و در صورتی که مقتضی ملکیت موجود باشد ولی به خاطر شرط مفقود یا مانع موجود</w:t>
      </w:r>
      <w:r w:rsidR="00F74363">
        <w:rPr>
          <w:rFonts w:hint="cs"/>
          <w:rtl/>
        </w:rPr>
        <w:t>، ملکیت به فعلیت نرسیده</w:t>
      </w:r>
      <w:r>
        <w:rPr>
          <w:rFonts w:hint="cs"/>
          <w:rtl/>
        </w:rPr>
        <w:t xml:space="preserve">، زکات ثابت نیست. در متن شرائع «لم یجز» آمده که «لم یجر» صحیح است. </w:t>
      </w:r>
      <w:r w:rsidR="00F74363">
        <w:rPr>
          <w:rFonts w:hint="cs"/>
          <w:rtl/>
        </w:rPr>
        <w:t>مرحوم محقق حلی اصل مالکیت و تامّ بودن را به عنوان دو شرط ذکر کرده بود. بر خلاف مرحوم سید که تنها مالکیت را شرط کرده و تامّ بودن را شرط نکرده است.</w:t>
      </w:r>
    </w:p>
    <w:p w:rsidR="00F74363" w:rsidRDefault="00F74363" w:rsidP="000625A4">
      <w:pPr>
        <w:pStyle w:val="Heading2"/>
        <w:jc w:val="both"/>
        <w:rPr>
          <w:rtl/>
        </w:rPr>
      </w:pPr>
      <w:bookmarkStart w:id="8" w:name="_Toc116878543"/>
      <w:r>
        <w:rPr>
          <w:rFonts w:hint="cs"/>
          <w:rtl/>
        </w:rPr>
        <w:t>متفرّعات شرط مملوکیت</w:t>
      </w:r>
      <w:bookmarkEnd w:id="8"/>
      <w:r>
        <w:rPr>
          <w:rFonts w:hint="cs"/>
          <w:rtl/>
        </w:rPr>
        <w:t xml:space="preserve"> </w:t>
      </w:r>
    </w:p>
    <w:p w:rsidR="00F74363" w:rsidRPr="00F74363" w:rsidRDefault="00F74363" w:rsidP="000625A4">
      <w:pPr>
        <w:pStyle w:val="Heading3"/>
        <w:jc w:val="both"/>
        <w:rPr>
          <w:rtl/>
        </w:rPr>
      </w:pPr>
      <w:bookmarkStart w:id="9" w:name="_Toc116878544"/>
      <w:r>
        <w:rPr>
          <w:rFonts w:hint="cs"/>
          <w:rtl/>
        </w:rPr>
        <w:t xml:space="preserve">فرع اول: </w:t>
      </w:r>
      <w:r w:rsidR="000B50F6">
        <w:rPr>
          <w:rFonts w:hint="cs"/>
          <w:rtl/>
        </w:rPr>
        <w:t>تعلّق زکات بر موصی به</w:t>
      </w:r>
      <w:r>
        <w:rPr>
          <w:rFonts w:hint="cs"/>
          <w:rtl/>
        </w:rPr>
        <w:t xml:space="preserve"> </w:t>
      </w:r>
      <w:r w:rsidR="000B50F6">
        <w:rPr>
          <w:rFonts w:hint="cs"/>
          <w:rtl/>
        </w:rPr>
        <w:t>پس</w:t>
      </w:r>
      <w:r>
        <w:rPr>
          <w:rFonts w:hint="cs"/>
          <w:rtl/>
        </w:rPr>
        <w:t xml:space="preserve"> از قبول</w:t>
      </w:r>
      <w:bookmarkEnd w:id="9"/>
      <w:r>
        <w:rPr>
          <w:rFonts w:hint="cs"/>
          <w:rtl/>
        </w:rPr>
        <w:t xml:space="preserve"> </w:t>
      </w:r>
    </w:p>
    <w:p w:rsidR="00846586" w:rsidRDefault="00BC17A4" w:rsidP="000625A4">
      <w:pPr>
        <w:jc w:val="both"/>
        <w:rPr>
          <w:rtl/>
        </w:rPr>
      </w:pPr>
      <w:r>
        <w:rPr>
          <w:rFonts w:hint="cs"/>
          <w:rtl/>
        </w:rPr>
        <w:t xml:space="preserve">وصیت مقتضی ملکیت برای موصی له است اما برای ملکیت دو شرط وجود دارد: وفات موصی و قبول موصی له. به همین دلیل بعد از وصیت و پیش از تحقق وفات و قبول، ملکیت تحقق نیافته است و زکات تعلّق نمی گیرد. درباره </w:t>
      </w:r>
      <w:r w:rsidR="00F74363">
        <w:rPr>
          <w:rFonts w:hint="cs"/>
          <w:rtl/>
        </w:rPr>
        <w:t xml:space="preserve">اصل </w:t>
      </w:r>
      <w:r>
        <w:rPr>
          <w:rFonts w:hint="cs"/>
          <w:rtl/>
        </w:rPr>
        <w:t>اشتراط قبول</w:t>
      </w:r>
      <w:r w:rsidR="00F74363">
        <w:rPr>
          <w:rFonts w:hint="cs"/>
          <w:rtl/>
        </w:rPr>
        <w:t xml:space="preserve"> در وصیت،</w:t>
      </w:r>
      <w:r>
        <w:rPr>
          <w:rFonts w:hint="cs"/>
          <w:rtl/>
        </w:rPr>
        <w:t xml:space="preserve"> در کتاب وصیت بحث می شود. </w:t>
      </w:r>
    </w:p>
    <w:p w:rsidR="00F74363" w:rsidRDefault="00F74363" w:rsidP="000625A4">
      <w:pPr>
        <w:pStyle w:val="Heading4"/>
        <w:jc w:val="both"/>
        <w:rPr>
          <w:rtl/>
        </w:rPr>
      </w:pPr>
      <w:bookmarkStart w:id="10" w:name="_Toc116878545"/>
      <w:r>
        <w:rPr>
          <w:rFonts w:hint="cs"/>
          <w:rtl/>
        </w:rPr>
        <w:t>توجیه کلام مرحوم سید</w:t>
      </w:r>
      <w:bookmarkEnd w:id="10"/>
      <w:r>
        <w:rPr>
          <w:rFonts w:hint="cs"/>
          <w:rtl/>
        </w:rPr>
        <w:t xml:space="preserve"> </w:t>
      </w:r>
    </w:p>
    <w:p w:rsidR="00BC17A4" w:rsidRDefault="00BC17A4" w:rsidP="000625A4">
      <w:pPr>
        <w:jc w:val="both"/>
        <w:rPr>
          <w:rtl/>
        </w:rPr>
      </w:pPr>
      <w:r>
        <w:rPr>
          <w:rFonts w:hint="cs"/>
          <w:rtl/>
        </w:rPr>
        <w:t xml:space="preserve">مرحوم سید عبارتی دارد که در </w:t>
      </w:r>
      <w:r w:rsidR="00F74363">
        <w:rPr>
          <w:rFonts w:hint="cs"/>
          <w:rtl/>
        </w:rPr>
        <w:t>کلام محشین عروه معرکه آراء است</w:t>
      </w:r>
      <w:r>
        <w:rPr>
          <w:rFonts w:hint="cs"/>
          <w:rtl/>
        </w:rPr>
        <w:t>:</w:t>
      </w:r>
    </w:p>
    <w:p w:rsidR="00BC17A4" w:rsidRDefault="00BC17A4" w:rsidP="000625A4">
      <w:pPr>
        <w:jc w:val="both"/>
        <w:rPr>
          <w:color w:val="000080"/>
          <w:rtl/>
        </w:rPr>
      </w:pPr>
      <w:r w:rsidRPr="00BC17A4">
        <w:rPr>
          <w:color w:val="000080"/>
          <w:rtl/>
        </w:rPr>
        <w:t>الرابع أن يكون مالكا فلا تجب قبل تحقق الملكية كالموهوب قبل القبض و الموصى به قبل القبول أو قبل القبض و كذا في القرض لا تجب إلا بعد القبض.</w:t>
      </w:r>
      <w:r>
        <w:rPr>
          <w:rStyle w:val="FootnoteReference"/>
          <w:color w:val="000080"/>
          <w:rtl/>
        </w:rPr>
        <w:footnoteReference w:id="3"/>
      </w:r>
    </w:p>
    <w:p w:rsidR="00836C80" w:rsidRDefault="00BC17A4" w:rsidP="000625A4">
      <w:pPr>
        <w:jc w:val="both"/>
        <w:rPr>
          <w:rtl/>
        </w:rPr>
      </w:pPr>
      <w:r>
        <w:rPr>
          <w:rFonts w:hint="cs"/>
          <w:rtl/>
        </w:rPr>
        <w:t xml:space="preserve">ایشان موردی را که محقق بر تامّ بودن تفریع کرده است را بر اصل اشتراط ملکیت تفریع کرده است. مرحوم سید درباره موصی به، «قبل القبض» را ذکر کرده به این معنا که پیش از قبض، ملکیت وجود ندارد. اما این مطلب </w:t>
      </w:r>
      <w:r w:rsidR="00177C17">
        <w:rPr>
          <w:rFonts w:hint="cs"/>
          <w:rtl/>
        </w:rPr>
        <w:t xml:space="preserve">در حواشی عروه </w:t>
      </w:r>
      <w:r>
        <w:rPr>
          <w:rFonts w:hint="cs"/>
          <w:rtl/>
        </w:rPr>
        <w:t xml:space="preserve">محل بحث قرار گرفته </w:t>
      </w:r>
      <w:r w:rsidR="00177C17">
        <w:rPr>
          <w:rFonts w:hint="cs"/>
          <w:rtl/>
        </w:rPr>
        <w:t xml:space="preserve">است. متأسفانه </w:t>
      </w:r>
      <w:r w:rsidR="00F74363">
        <w:rPr>
          <w:rFonts w:hint="cs"/>
          <w:rtl/>
        </w:rPr>
        <w:t xml:space="preserve">در عروه ی </w:t>
      </w:r>
      <w:r w:rsidR="00177C17">
        <w:rPr>
          <w:rFonts w:hint="cs"/>
          <w:rtl/>
        </w:rPr>
        <w:t xml:space="preserve">چاپ جامعه مدرسین، عبارات محشین به ترتیب الفبایی ذکر </w:t>
      </w:r>
      <w:r w:rsidR="00F74363">
        <w:rPr>
          <w:rFonts w:hint="cs"/>
          <w:rtl/>
        </w:rPr>
        <w:t>شده</w:t>
      </w:r>
      <w:r w:rsidR="00177C17">
        <w:rPr>
          <w:rFonts w:hint="cs"/>
          <w:rtl/>
        </w:rPr>
        <w:t xml:space="preserve"> است در حالی که باید به ترتیب تاریخ حاشیه ذکر می شد. مثلا مرحوم نائینی و آسید ابوالحسن اصفهانی مقدم هستند و پس از آن مرحوم آقای بروجردی و همینطور. نظم تاریخی باعث می شود نظارت حواشی به یکدیگر نیز روشن شود. </w:t>
      </w:r>
    </w:p>
    <w:p w:rsidR="00BC17A4" w:rsidRDefault="00177C17" w:rsidP="000625A4">
      <w:pPr>
        <w:jc w:val="both"/>
        <w:rPr>
          <w:rtl/>
        </w:rPr>
      </w:pPr>
      <w:r>
        <w:rPr>
          <w:rFonts w:hint="cs"/>
          <w:rtl/>
        </w:rPr>
        <w:t xml:space="preserve">به هر حال، </w:t>
      </w:r>
      <w:r w:rsidR="00BC17A4">
        <w:rPr>
          <w:rFonts w:hint="cs"/>
          <w:rtl/>
        </w:rPr>
        <w:t>این عبارت</w:t>
      </w:r>
      <w:r>
        <w:rPr>
          <w:rFonts w:hint="cs"/>
          <w:rtl/>
        </w:rPr>
        <w:t xml:space="preserve"> در حواشی عروه،</w:t>
      </w:r>
      <w:r w:rsidR="00BC17A4">
        <w:rPr>
          <w:rFonts w:hint="cs"/>
          <w:rtl/>
        </w:rPr>
        <w:t xml:space="preserve"> به گونه های مختلفی توضیح داده شده اس</w:t>
      </w:r>
      <w:r w:rsidR="00836C80">
        <w:rPr>
          <w:rFonts w:hint="cs"/>
          <w:rtl/>
        </w:rPr>
        <w:t xml:space="preserve">ت. </w:t>
      </w:r>
    </w:p>
    <w:p w:rsidR="00836C80" w:rsidRDefault="00836C80" w:rsidP="000625A4">
      <w:pPr>
        <w:pStyle w:val="Heading5"/>
        <w:jc w:val="both"/>
        <w:rPr>
          <w:rtl/>
        </w:rPr>
      </w:pPr>
      <w:bookmarkStart w:id="11" w:name="_Toc116878546"/>
      <w:r>
        <w:rPr>
          <w:rFonts w:hint="cs"/>
          <w:rtl/>
        </w:rPr>
        <w:t>توجیه اول: سهو القلم</w:t>
      </w:r>
      <w:bookmarkEnd w:id="11"/>
      <w:r>
        <w:rPr>
          <w:rFonts w:hint="cs"/>
          <w:rtl/>
        </w:rPr>
        <w:t xml:space="preserve"> </w:t>
      </w:r>
    </w:p>
    <w:p w:rsidR="00BC17A4" w:rsidRDefault="00177C17" w:rsidP="000625A4">
      <w:pPr>
        <w:jc w:val="both"/>
        <w:rPr>
          <w:rtl/>
        </w:rPr>
      </w:pPr>
      <w:r>
        <w:rPr>
          <w:rFonts w:hint="cs"/>
          <w:rtl/>
        </w:rPr>
        <w:t xml:space="preserve">اولین حمل، حمل بر سهو القلم است. </w:t>
      </w:r>
      <w:r w:rsidR="00BC17A4">
        <w:rPr>
          <w:rFonts w:hint="cs"/>
          <w:rtl/>
        </w:rPr>
        <w:t xml:space="preserve">مرحوم نائینی در حاشیه می نویسد: ظاهرا قبل القبض سهو است و به جای قبل الوفاه، قبل القبض گفته شده است: </w:t>
      </w:r>
    </w:p>
    <w:p w:rsidR="00BC17A4" w:rsidRDefault="00BC17A4" w:rsidP="000625A4">
      <w:pPr>
        <w:jc w:val="both"/>
        <w:rPr>
          <w:color w:val="000080"/>
          <w:rtl/>
        </w:rPr>
      </w:pPr>
      <w:r w:rsidRPr="00BC17A4">
        <w:rPr>
          <w:color w:val="000080"/>
          <w:rtl/>
        </w:rPr>
        <w:t>لا يتوقّف تملّك الموصى به إلّا على القبول و وفاة الموصي دون القبض فلعلّ أن يكون إثباته بدل الوفاة من غلط الناسخ أو سهو القلم.</w:t>
      </w:r>
      <w:r>
        <w:rPr>
          <w:rStyle w:val="FootnoteReference"/>
          <w:color w:val="000080"/>
          <w:rtl/>
        </w:rPr>
        <w:footnoteReference w:id="4"/>
      </w:r>
    </w:p>
    <w:p w:rsidR="00F151CD" w:rsidRDefault="00BC17A4" w:rsidP="000625A4">
      <w:pPr>
        <w:jc w:val="both"/>
        <w:rPr>
          <w:rtl/>
        </w:rPr>
      </w:pPr>
      <w:r>
        <w:rPr>
          <w:rFonts w:hint="cs"/>
          <w:rtl/>
        </w:rPr>
        <w:t>البته این مطلب به قلم ناسخ نیست و نسخه اصلی عروه به خط خود سید</w:t>
      </w:r>
      <w:r w:rsidR="00836C80">
        <w:rPr>
          <w:rFonts w:hint="cs"/>
          <w:rtl/>
        </w:rPr>
        <w:t xml:space="preserve"> موجود است و عبارت در آن،</w:t>
      </w:r>
      <w:r>
        <w:rPr>
          <w:rFonts w:hint="cs"/>
          <w:rtl/>
        </w:rPr>
        <w:t xml:space="preserve"> به همین شکل است. پس بهتر است سهو القلم گفته شود. </w:t>
      </w:r>
      <w:r w:rsidR="00177C17">
        <w:rPr>
          <w:rFonts w:hint="cs"/>
          <w:rtl/>
        </w:rPr>
        <w:t xml:space="preserve">مرحوم آل یس تعبیر کرده است: </w:t>
      </w:r>
    </w:p>
    <w:p w:rsidR="00177C17" w:rsidRDefault="00177C17" w:rsidP="000625A4">
      <w:pPr>
        <w:jc w:val="both"/>
        <w:rPr>
          <w:color w:val="000080"/>
          <w:rtl/>
        </w:rPr>
      </w:pPr>
      <w:r w:rsidRPr="00177C17">
        <w:rPr>
          <w:color w:val="000080"/>
          <w:rtl/>
        </w:rPr>
        <w:t xml:space="preserve">بناءً على اعتباره </w:t>
      </w:r>
      <w:r w:rsidRPr="00177C17">
        <w:rPr>
          <w:rFonts w:hint="cs"/>
          <w:color w:val="000080"/>
          <w:rtl/>
        </w:rPr>
        <w:t xml:space="preserve">(القبول) </w:t>
      </w:r>
      <w:r w:rsidRPr="00177C17">
        <w:rPr>
          <w:color w:val="000080"/>
          <w:rtl/>
        </w:rPr>
        <w:t>و هو محلّ تأمّل أمّا القبض فلا يعتبر قطعاً و لعلّ ذكره من سهو القلم.</w:t>
      </w:r>
    </w:p>
    <w:p w:rsidR="00177C17" w:rsidRDefault="00177C17" w:rsidP="000625A4">
      <w:pPr>
        <w:jc w:val="both"/>
        <w:rPr>
          <w:rtl/>
        </w:rPr>
      </w:pPr>
      <w:r>
        <w:rPr>
          <w:rFonts w:hint="cs"/>
          <w:rtl/>
        </w:rPr>
        <w:t xml:space="preserve">مرحوم امام می فرماید: </w:t>
      </w:r>
    </w:p>
    <w:p w:rsidR="00177C17" w:rsidRPr="00177C17" w:rsidRDefault="00177C17" w:rsidP="000625A4">
      <w:pPr>
        <w:jc w:val="both"/>
        <w:rPr>
          <w:color w:val="000080"/>
          <w:rtl/>
        </w:rPr>
      </w:pPr>
      <w:r w:rsidRPr="00177C17">
        <w:rPr>
          <w:color w:val="000080"/>
          <w:rtl/>
        </w:rPr>
        <w:t>بناءً على اعتباره في حصول الملكيّة كما هو الأقوى في الوصيّة التمليكيّة و أمّا القبض فلا يعتبر فيه بلا إشكال بل يحتمل أن يكون ذكره من سهو منه أو من الناسخ و كان في الأصل قبل الوفاة.</w:t>
      </w:r>
    </w:p>
    <w:p w:rsidR="00177C17" w:rsidRDefault="00177C17" w:rsidP="000625A4">
      <w:pPr>
        <w:jc w:val="both"/>
        <w:rPr>
          <w:rtl/>
        </w:rPr>
      </w:pPr>
      <w:r>
        <w:rPr>
          <w:rFonts w:hint="cs"/>
          <w:rtl/>
        </w:rPr>
        <w:t>وصیت بر دو قسم وصیت تمل</w:t>
      </w:r>
      <w:r w:rsidR="00836C80">
        <w:rPr>
          <w:rFonts w:hint="cs"/>
          <w:rtl/>
        </w:rPr>
        <w:t>ی</w:t>
      </w:r>
      <w:r>
        <w:rPr>
          <w:rFonts w:hint="cs"/>
          <w:rtl/>
        </w:rPr>
        <w:t>کیه و وصیت عهدیه است. در وصیت تمل</w:t>
      </w:r>
      <w:r w:rsidR="00836C80">
        <w:rPr>
          <w:rFonts w:hint="cs"/>
          <w:rtl/>
        </w:rPr>
        <w:t>ی</w:t>
      </w:r>
      <w:r>
        <w:rPr>
          <w:rFonts w:hint="cs"/>
          <w:rtl/>
        </w:rPr>
        <w:t xml:space="preserve">کیه، موصی وصیت می کند که مالی از اموال او به موصی له تملیک شود اما وصیت عهدیه، به نحو شرط نتیجه است. درباره وصیت تملیکیه و عهدیه و تأثیر آن در اشتراط قبول، </w:t>
      </w:r>
      <w:r w:rsidR="00836C80">
        <w:rPr>
          <w:rFonts w:hint="cs"/>
          <w:rtl/>
        </w:rPr>
        <w:t>در کتاب الوصیه بحث شده است. به هر حال،</w:t>
      </w:r>
      <w:r>
        <w:rPr>
          <w:rFonts w:hint="cs"/>
          <w:rtl/>
        </w:rPr>
        <w:t xml:space="preserve"> مرحوم امام مطلب مرحوم نائینی را به صورت احتمال ذکر کرده است. </w:t>
      </w:r>
    </w:p>
    <w:p w:rsidR="00177C17" w:rsidRDefault="00177C17" w:rsidP="000625A4">
      <w:pPr>
        <w:jc w:val="both"/>
        <w:rPr>
          <w:rtl/>
        </w:rPr>
      </w:pPr>
      <w:r>
        <w:rPr>
          <w:rFonts w:hint="cs"/>
          <w:rtl/>
        </w:rPr>
        <w:t xml:space="preserve">مرحوم آقای خویی می نویسد: </w:t>
      </w:r>
    </w:p>
    <w:p w:rsidR="00177C17" w:rsidRDefault="00177C17" w:rsidP="000625A4">
      <w:pPr>
        <w:jc w:val="both"/>
        <w:rPr>
          <w:color w:val="000080"/>
          <w:rtl/>
        </w:rPr>
      </w:pPr>
      <w:r w:rsidRPr="00177C17">
        <w:rPr>
          <w:color w:val="000080"/>
          <w:rtl/>
        </w:rPr>
        <w:t>لا يبعد عدم توقّف حصول الملكيّة في الوصيّة على القبول و أمّا توقّفه على القبض فمقطوع العدم و لعلّ ذكره من سهو القلم.</w:t>
      </w:r>
    </w:p>
    <w:p w:rsidR="00177C17" w:rsidRDefault="00177C17" w:rsidP="000625A4">
      <w:pPr>
        <w:jc w:val="both"/>
        <w:rPr>
          <w:rtl/>
        </w:rPr>
      </w:pPr>
      <w:r>
        <w:rPr>
          <w:rFonts w:hint="cs"/>
          <w:rtl/>
        </w:rPr>
        <w:t xml:space="preserve">مرحوم آقا ضیاء همین مطلب را دارد: </w:t>
      </w:r>
    </w:p>
    <w:p w:rsidR="00177C17" w:rsidRDefault="00177C17" w:rsidP="000625A4">
      <w:pPr>
        <w:jc w:val="both"/>
        <w:rPr>
          <w:color w:val="000080"/>
          <w:rtl/>
        </w:rPr>
      </w:pPr>
      <w:r w:rsidRPr="00177C17">
        <w:rPr>
          <w:color w:val="000080"/>
          <w:rtl/>
        </w:rPr>
        <w:t>الظاهر أنّه سهو من قلم الناسخ فينبغي أن يكون بدل القبض الموت و إلّا فالوصيّة التمليكيّة و لو المحابيّة منه و إن كان بحكم الهبة و لكن لا يشترط فيه القبض لعدم اتّحادهما عقداً كما لا يخفى.</w:t>
      </w:r>
    </w:p>
    <w:p w:rsidR="00836C80" w:rsidRDefault="00836C80" w:rsidP="000625A4">
      <w:pPr>
        <w:pStyle w:val="Heading5"/>
        <w:jc w:val="both"/>
        <w:rPr>
          <w:rtl/>
        </w:rPr>
      </w:pPr>
      <w:bookmarkStart w:id="12" w:name="_Toc116878547"/>
      <w:r>
        <w:rPr>
          <w:rFonts w:hint="cs"/>
          <w:rtl/>
        </w:rPr>
        <w:t>توجیه دوم: اراده قبول فعلی از قبض</w:t>
      </w:r>
      <w:bookmarkEnd w:id="12"/>
      <w:r>
        <w:rPr>
          <w:rFonts w:hint="cs"/>
          <w:rtl/>
        </w:rPr>
        <w:t xml:space="preserve"> </w:t>
      </w:r>
    </w:p>
    <w:p w:rsidR="00177C17" w:rsidRDefault="00177C17" w:rsidP="000625A4">
      <w:pPr>
        <w:jc w:val="both"/>
        <w:rPr>
          <w:rtl/>
        </w:rPr>
      </w:pPr>
      <w:r>
        <w:rPr>
          <w:rFonts w:hint="cs"/>
          <w:rtl/>
        </w:rPr>
        <w:t>دومین حمل، حمل قبض بر قبول فعلی است. مرحوم آقای بروجری می فرماید: شاید مراد سید از قبض</w:t>
      </w:r>
      <w:r w:rsidR="00836C80">
        <w:rPr>
          <w:rFonts w:hint="cs"/>
          <w:rtl/>
        </w:rPr>
        <w:t xml:space="preserve"> -بنابراین که قبول را معتبر بدانیم-</w:t>
      </w:r>
      <w:r>
        <w:rPr>
          <w:rFonts w:hint="cs"/>
          <w:rtl/>
        </w:rPr>
        <w:t xml:space="preserve"> قبول عملی است و مراد از قبول، قبول قولی است. ایشان می نویسد: </w:t>
      </w:r>
    </w:p>
    <w:p w:rsidR="00177C17" w:rsidRDefault="00177C17" w:rsidP="000625A4">
      <w:pPr>
        <w:jc w:val="both"/>
        <w:rPr>
          <w:color w:val="000080"/>
          <w:rtl/>
        </w:rPr>
      </w:pPr>
      <w:r w:rsidRPr="00177C17">
        <w:rPr>
          <w:color w:val="000080"/>
          <w:rtl/>
        </w:rPr>
        <w:t>لا يعتبر القبض في حصول الملك بالوصيّة و لعلّه أراد به القبض الّذي يكون في مقام القبول و القبول القولي منه.</w:t>
      </w:r>
    </w:p>
    <w:p w:rsidR="00177C17" w:rsidRDefault="00177C17" w:rsidP="000625A4">
      <w:pPr>
        <w:jc w:val="both"/>
        <w:rPr>
          <w:rtl/>
        </w:rPr>
      </w:pPr>
      <w:r>
        <w:rPr>
          <w:rFonts w:hint="cs"/>
          <w:rtl/>
        </w:rPr>
        <w:t xml:space="preserve">علی القاعده عبارت «القبول القولی منه» اینگونه است: «بالقبول القولی منه» به این معنا که مراد از قبض، قبول عملی است و مراد از قبول، قبول قولی است. </w:t>
      </w:r>
    </w:p>
    <w:p w:rsidR="00836C80" w:rsidRDefault="00836C80" w:rsidP="000625A4">
      <w:pPr>
        <w:pStyle w:val="Heading5"/>
        <w:jc w:val="both"/>
        <w:rPr>
          <w:rtl/>
        </w:rPr>
      </w:pPr>
      <w:bookmarkStart w:id="13" w:name="_Toc116878548"/>
      <w:r>
        <w:rPr>
          <w:rFonts w:hint="cs"/>
          <w:rtl/>
        </w:rPr>
        <w:t>توجیه سوم: ذکر قبض به عنوان مبنای دیگران</w:t>
      </w:r>
      <w:bookmarkEnd w:id="13"/>
      <w:r>
        <w:rPr>
          <w:rFonts w:hint="cs"/>
          <w:rtl/>
        </w:rPr>
        <w:t xml:space="preserve"> </w:t>
      </w:r>
    </w:p>
    <w:p w:rsidR="00177C17" w:rsidRDefault="00177C17" w:rsidP="000625A4">
      <w:pPr>
        <w:jc w:val="both"/>
        <w:rPr>
          <w:rtl/>
        </w:rPr>
      </w:pPr>
      <w:r>
        <w:rPr>
          <w:rFonts w:hint="cs"/>
          <w:rtl/>
        </w:rPr>
        <w:t>سومین حمل،</w:t>
      </w:r>
      <w:r w:rsidR="00CC07A4">
        <w:rPr>
          <w:rFonts w:hint="cs"/>
          <w:rtl/>
        </w:rPr>
        <w:t xml:space="preserve"> حمل بر دو مبنای مختلف است.</w:t>
      </w:r>
      <w:r>
        <w:rPr>
          <w:rFonts w:hint="cs"/>
          <w:rtl/>
        </w:rPr>
        <w:t xml:space="preserve"> </w:t>
      </w:r>
      <w:r w:rsidR="00AC29D3">
        <w:rPr>
          <w:rFonts w:hint="cs"/>
          <w:rtl/>
        </w:rPr>
        <w:t xml:space="preserve">مرحوم کاشف الغطاء می نویسد: </w:t>
      </w:r>
    </w:p>
    <w:p w:rsidR="00AC29D3" w:rsidRDefault="00CC07A4" w:rsidP="000625A4">
      <w:pPr>
        <w:jc w:val="both"/>
        <w:rPr>
          <w:color w:val="000080"/>
          <w:rtl/>
        </w:rPr>
      </w:pPr>
      <w:r w:rsidRPr="00CC07A4">
        <w:rPr>
          <w:color w:val="000080"/>
          <w:rtl/>
        </w:rPr>
        <w:t>أمّا القبض في الوصية فليس بشرط في حصول الملكيّة على ما اختاره (قدّس سرّه) كما سيأتي في كتاب الوصيّة بل يكفي القبول و إنّما ذكر القبض بناءً على القول باعتباره فالمراد قبل القبول عندنا و قبل القبض عند غيرنا</w:t>
      </w:r>
    </w:p>
    <w:p w:rsidR="00CC07A4" w:rsidRDefault="00CC07A4" w:rsidP="000625A4">
      <w:pPr>
        <w:jc w:val="both"/>
        <w:rPr>
          <w:rtl/>
        </w:rPr>
      </w:pPr>
      <w:r>
        <w:rPr>
          <w:rFonts w:hint="cs"/>
          <w:rtl/>
        </w:rPr>
        <w:t xml:space="preserve">مرحوم سید در کتاب الوصیه درباره عدم اعتبار قبض، </w:t>
      </w:r>
      <w:r w:rsidR="00C60701">
        <w:rPr>
          <w:rFonts w:hint="cs"/>
          <w:rtl/>
        </w:rPr>
        <w:t>تعبیر کرده: الاقوی عدم اعتبار القبض.</w:t>
      </w:r>
      <w:r w:rsidR="00C60701">
        <w:rPr>
          <w:rStyle w:val="FootnoteReference"/>
          <w:rtl/>
        </w:rPr>
        <w:footnoteReference w:id="5"/>
      </w:r>
      <w:r w:rsidR="00C60701">
        <w:rPr>
          <w:rFonts w:hint="cs"/>
          <w:rtl/>
        </w:rPr>
        <w:t xml:space="preserve"> این عبارت مشعر به اختلافی بودن مسأله است که برخی قبض را شرط می دانند اما به نظر سید، قبض شرط نیست. مرحوم آشیخ احمد و آشیخ محمد حسین کاشف الغطاء از کسانی هستند که در تألیف عروه دخیل </w:t>
      </w:r>
      <w:r w:rsidR="00F80B0A">
        <w:rPr>
          <w:rFonts w:hint="cs"/>
          <w:rtl/>
        </w:rPr>
        <w:t xml:space="preserve">بودند و آن را تصحیح ادبی کردند. این دو برادر از شاگردان خاص مرحوم سید بودند. </w:t>
      </w:r>
      <w:r w:rsidR="00836C80">
        <w:rPr>
          <w:rFonts w:hint="cs"/>
          <w:rtl/>
        </w:rPr>
        <w:t xml:space="preserve">به هر حال، </w:t>
      </w:r>
      <w:r w:rsidR="00F80B0A">
        <w:rPr>
          <w:rFonts w:hint="cs"/>
          <w:rtl/>
        </w:rPr>
        <w:t xml:space="preserve">مرحوم کاشف الغطاء «قبل القبول او قبل القبض» را اشاره به دو قول دانستند. </w:t>
      </w:r>
    </w:p>
    <w:p w:rsidR="00836C80" w:rsidRDefault="00836C80" w:rsidP="000625A4">
      <w:pPr>
        <w:pStyle w:val="Heading5"/>
        <w:jc w:val="both"/>
        <w:rPr>
          <w:rtl/>
        </w:rPr>
      </w:pPr>
      <w:bookmarkStart w:id="14" w:name="_Toc116878549"/>
      <w:r>
        <w:rPr>
          <w:rFonts w:hint="cs"/>
          <w:rtl/>
        </w:rPr>
        <w:t>توجیه چهارم: نظارت قبل القبض به وصیت به کلی</w:t>
      </w:r>
      <w:bookmarkEnd w:id="14"/>
      <w:r>
        <w:rPr>
          <w:rFonts w:hint="cs"/>
          <w:rtl/>
        </w:rPr>
        <w:t xml:space="preserve"> </w:t>
      </w:r>
    </w:p>
    <w:p w:rsidR="00161D1C" w:rsidRDefault="00161D1C" w:rsidP="000625A4">
      <w:pPr>
        <w:jc w:val="both"/>
        <w:rPr>
          <w:color w:val="000080"/>
          <w:rtl/>
        </w:rPr>
      </w:pPr>
      <w:r>
        <w:rPr>
          <w:rFonts w:hint="cs"/>
          <w:rtl/>
        </w:rPr>
        <w:t xml:space="preserve">احتمال چهارم در حاشیه مرحوم آسید عبدالهادی شیرازی آمده است. ایشان «قبل القبض» را ناظر به وصیت به کلی دانسته است: </w:t>
      </w:r>
      <w:r w:rsidRPr="00161D1C">
        <w:rPr>
          <w:color w:val="000080"/>
          <w:rtl/>
        </w:rPr>
        <w:t>كما في الوصية بالكلّي حيث إنّ الزكاة لا تتعلّق به بل بالشخصي و التملّك فيه يتوقّف على القبض</w:t>
      </w:r>
    </w:p>
    <w:p w:rsidR="00836C80" w:rsidRDefault="00161D1C" w:rsidP="000625A4">
      <w:pPr>
        <w:jc w:val="both"/>
        <w:rPr>
          <w:rtl/>
        </w:rPr>
      </w:pPr>
      <w:r>
        <w:rPr>
          <w:rFonts w:hint="cs"/>
          <w:rtl/>
        </w:rPr>
        <w:t xml:space="preserve">ایشان بیان کرده است: زکات به مال کلّی تعلّق نمی گیرد و تنها در صورتی تعلّق می گیرد که ملکیت شخصی باشد. بنابراین در صورتی که موصی به نحو کلی فی المعین وصیت کند، موصی له بعد از قبض مالک مال شخصی می شود. پس زکات </w:t>
      </w:r>
      <w:r w:rsidR="00836C80">
        <w:rPr>
          <w:rFonts w:hint="cs"/>
          <w:rtl/>
        </w:rPr>
        <w:t xml:space="preserve">تنها بعد قبل مال موصی به توسط موصی له، تعلّق می یگرد. </w:t>
      </w:r>
    </w:p>
    <w:p w:rsidR="00161D1C" w:rsidRDefault="00836C80" w:rsidP="000625A4">
      <w:pPr>
        <w:jc w:val="both"/>
        <w:rPr>
          <w:rtl/>
        </w:rPr>
      </w:pPr>
      <w:r>
        <w:rPr>
          <w:rFonts w:hint="cs"/>
          <w:rtl/>
        </w:rPr>
        <w:t>ا</w:t>
      </w:r>
      <w:r w:rsidR="00D87495">
        <w:rPr>
          <w:rFonts w:hint="cs"/>
          <w:rtl/>
        </w:rPr>
        <w:t>لبته این مطلب نیازمند بحث است که آیا</w:t>
      </w:r>
      <w:r w:rsidR="008F43B1">
        <w:rPr>
          <w:rFonts w:hint="cs"/>
          <w:rtl/>
        </w:rPr>
        <w:t xml:space="preserve"> </w:t>
      </w:r>
      <w:r>
        <w:rPr>
          <w:rFonts w:hint="cs"/>
          <w:rtl/>
        </w:rPr>
        <w:t>در</w:t>
      </w:r>
      <w:r w:rsidR="008F43B1">
        <w:rPr>
          <w:rFonts w:hint="cs"/>
          <w:rtl/>
        </w:rPr>
        <w:t xml:space="preserve"> تعیّن ملکیت</w:t>
      </w:r>
      <w:r w:rsidR="00D87495">
        <w:rPr>
          <w:rFonts w:hint="cs"/>
          <w:rtl/>
        </w:rPr>
        <w:t xml:space="preserve"> در کلی فی المعین</w:t>
      </w:r>
      <w:r w:rsidR="008F43B1">
        <w:rPr>
          <w:rFonts w:hint="cs"/>
          <w:rtl/>
        </w:rPr>
        <w:t xml:space="preserve">، قبض لازم است یا </w:t>
      </w:r>
      <w:r>
        <w:rPr>
          <w:rFonts w:hint="cs"/>
          <w:rtl/>
        </w:rPr>
        <w:t xml:space="preserve">تعیین توسط کسی که مال را تملیک کرده، کفایت می کند و نیازی به قبض نیست؟ </w:t>
      </w:r>
      <w:r w:rsidR="00D87495">
        <w:rPr>
          <w:rFonts w:hint="cs"/>
          <w:rtl/>
        </w:rPr>
        <w:t xml:space="preserve">در توضیح باید گفت: </w:t>
      </w:r>
      <w:r w:rsidR="005B63CF">
        <w:rPr>
          <w:rFonts w:hint="cs"/>
          <w:rtl/>
        </w:rPr>
        <w:t xml:space="preserve">در تملیک کلی فی المعین دو طرف وجود دارد مثلا بایع که مالک صد خروار است به نحو کلی فی المعین یک خروار را می فروشد و مشتری به نحو کلی فی المعین، مالک یک خروار می شود. به نظر می رسد در تعیّن کلی فی المعین، قبض </w:t>
      </w:r>
      <w:r>
        <w:rPr>
          <w:rFonts w:hint="cs"/>
          <w:rtl/>
        </w:rPr>
        <w:t xml:space="preserve">توسط </w:t>
      </w:r>
      <w:r w:rsidR="005B63CF">
        <w:rPr>
          <w:rFonts w:hint="cs"/>
          <w:rtl/>
        </w:rPr>
        <w:t xml:space="preserve">من له الکلی شرط نیست و تعیین </w:t>
      </w:r>
      <w:r>
        <w:rPr>
          <w:rFonts w:hint="cs"/>
          <w:rtl/>
        </w:rPr>
        <w:t xml:space="preserve">توسط </w:t>
      </w:r>
      <w:r w:rsidR="005B63CF">
        <w:rPr>
          <w:rFonts w:hint="cs"/>
          <w:rtl/>
        </w:rPr>
        <w:t xml:space="preserve">من علیه الکلی در تعیّن کفایت می کند. به همین دلیل اگر بایع یک خروار را تعیین کند، ملک مشتری تعیّن پیدا می کند و باید مشتری آن را قبول کند. پس به صرف تعیین توسط من علیه الکلی، ملک من له الکلی به مال معیّن شده، تعلّق می گیرد </w:t>
      </w:r>
      <w:r w:rsidR="001A57A5">
        <w:rPr>
          <w:rFonts w:hint="cs"/>
          <w:rtl/>
        </w:rPr>
        <w:t xml:space="preserve">و نیازی به تحقق قبض ندارد. </w:t>
      </w:r>
      <w:r w:rsidR="002861E1">
        <w:rPr>
          <w:rFonts w:hint="cs"/>
          <w:rtl/>
        </w:rPr>
        <w:t>پس به صرف تعیّن و بدون قبض، ملکیت که شرط تعلّق زکات است، تحقق یافته است.</w:t>
      </w:r>
    </w:p>
    <w:p w:rsidR="001A57A5" w:rsidRDefault="001A57A5" w:rsidP="000625A4">
      <w:pPr>
        <w:jc w:val="both"/>
        <w:rPr>
          <w:rtl/>
        </w:rPr>
      </w:pPr>
      <w:r>
        <w:rPr>
          <w:rFonts w:hint="cs"/>
          <w:rtl/>
        </w:rPr>
        <w:t xml:space="preserve">بله </w:t>
      </w:r>
      <w:r w:rsidR="002861E1">
        <w:rPr>
          <w:rFonts w:hint="cs"/>
          <w:rtl/>
        </w:rPr>
        <w:t xml:space="preserve">مطلب دیگری غیر از وصیت به کلی، در </w:t>
      </w:r>
      <w:r w:rsidR="00836C80">
        <w:rPr>
          <w:rFonts w:hint="cs"/>
          <w:rtl/>
        </w:rPr>
        <w:t xml:space="preserve">وصیت تملیکیه و عهدیه وجود دارد؛ </w:t>
      </w:r>
    </w:p>
    <w:p w:rsidR="002861E1" w:rsidRDefault="002861E1" w:rsidP="000625A4">
      <w:pPr>
        <w:pStyle w:val="ListParagraph"/>
        <w:numPr>
          <w:ilvl w:val="0"/>
          <w:numId w:val="18"/>
        </w:numPr>
        <w:jc w:val="both"/>
        <w:rPr>
          <w:rtl/>
        </w:rPr>
      </w:pPr>
      <w:r>
        <w:rPr>
          <w:rFonts w:hint="cs"/>
          <w:rtl/>
        </w:rPr>
        <w:t xml:space="preserve">گاهی وصیت به نحو شرط نتیجه است. مثلا موصی وصیت می کند که خانه او بعد از وفات، ملک پسر بزرگ باشد. در صورتی که خانه کمتر از ثلث اموال موصی باشد، به مجرد وفات این خانه به ملک موصی له داخل می شود. </w:t>
      </w:r>
    </w:p>
    <w:p w:rsidR="002861E1" w:rsidRDefault="002861E1" w:rsidP="000625A4">
      <w:pPr>
        <w:pStyle w:val="ListParagraph"/>
        <w:numPr>
          <w:ilvl w:val="0"/>
          <w:numId w:val="18"/>
        </w:numPr>
        <w:jc w:val="both"/>
        <w:rPr>
          <w:rtl/>
        </w:rPr>
      </w:pPr>
      <w:r>
        <w:rPr>
          <w:rFonts w:hint="cs"/>
          <w:rtl/>
        </w:rPr>
        <w:t>گاهی وصیت ب</w:t>
      </w:r>
      <w:r w:rsidR="00836C80">
        <w:rPr>
          <w:rFonts w:hint="cs"/>
          <w:rtl/>
        </w:rPr>
        <w:t>ه نحو شرط فعل است. مثلا موصی وص</w:t>
      </w:r>
      <w:r>
        <w:rPr>
          <w:rFonts w:hint="cs"/>
          <w:rtl/>
        </w:rPr>
        <w:t xml:space="preserve">یت می کند که خانه او بعد از وفات، به پسر بزرگ تملیک شود. در این فرض، ملکیت موصی له متوقف بر تملیک توسط وصیّ است و به مجرّد وفات، ملکیت حاصل نمی شود. </w:t>
      </w:r>
    </w:p>
    <w:p w:rsidR="002861E1" w:rsidRDefault="002861E1" w:rsidP="000625A4">
      <w:pPr>
        <w:jc w:val="both"/>
        <w:rPr>
          <w:rtl/>
        </w:rPr>
      </w:pPr>
      <w:r>
        <w:rPr>
          <w:rFonts w:hint="cs"/>
          <w:rtl/>
        </w:rPr>
        <w:t>هر چند ممکن است بین وصیت تملیکیه و عهدیه تفصیل قائل شد و گفت: در وصیتی که به نحو شرط فعل است، قبول معتبر است. اما به هر حال، در وصیت</w:t>
      </w:r>
      <w:r w:rsidR="00836C80">
        <w:rPr>
          <w:rFonts w:hint="cs"/>
          <w:rtl/>
        </w:rPr>
        <w:t xml:space="preserve"> حتی در وصیت به نحو شرط فعل، </w:t>
      </w:r>
      <w:r>
        <w:rPr>
          <w:rFonts w:hint="cs"/>
          <w:rtl/>
        </w:rPr>
        <w:t xml:space="preserve">قبض شرط نیست. </w:t>
      </w:r>
    </w:p>
    <w:p w:rsidR="002861E1" w:rsidRDefault="002861E1" w:rsidP="000625A4">
      <w:pPr>
        <w:jc w:val="both"/>
        <w:rPr>
          <w:color w:val="000080"/>
          <w:rtl/>
        </w:rPr>
      </w:pPr>
      <w:r>
        <w:rPr>
          <w:rFonts w:hint="cs"/>
          <w:rtl/>
        </w:rPr>
        <w:t>به نظر می رسد روشن ترین احتمال در توجیه عبارت مرحوم سید، کلام مرحوم نائینی است. زیرا عبارات عروه ناظر به عبارات شرایع است. در شرایع اینگونه آمده است</w:t>
      </w:r>
      <w:r w:rsidRPr="002861E1">
        <w:rPr>
          <w:rFonts w:hint="cs"/>
          <w:color w:val="000080"/>
          <w:rtl/>
        </w:rPr>
        <w:t xml:space="preserve">: </w:t>
      </w:r>
      <w:r w:rsidRPr="002861E1">
        <w:rPr>
          <w:color w:val="000080"/>
          <w:rtl/>
        </w:rPr>
        <w:t>ف‍ لو وهب له نصاب لم يجز في الحول إلا بعد القبض و كذا لو أوصي له اعتبر الحول بعد الوفاة و القبول.</w:t>
      </w:r>
    </w:p>
    <w:p w:rsidR="002861E1" w:rsidRDefault="002861E1" w:rsidP="000625A4">
      <w:pPr>
        <w:jc w:val="both"/>
        <w:rPr>
          <w:rtl/>
        </w:rPr>
      </w:pPr>
      <w:r>
        <w:rPr>
          <w:rFonts w:hint="cs"/>
          <w:rtl/>
        </w:rPr>
        <w:t xml:space="preserve">در عبارت شرائع، قبول ذکر شده است ولی مرحوم سید با سهو القلم به جای «القبول»، «القبض» نوشته است. </w:t>
      </w:r>
    </w:p>
    <w:p w:rsidR="00836C80" w:rsidRDefault="00836C80" w:rsidP="000625A4">
      <w:pPr>
        <w:pStyle w:val="Heading3"/>
        <w:jc w:val="both"/>
        <w:rPr>
          <w:rtl/>
        </w:rPr>
      </w:pPr>
      <w:bookmarkStart w:id="15" w:name="_Toc116878550"/>
      <w:r>
        <w:rPr>
          <w:rFonts w:hint="cs"/>
          <w:rtl/>
        </w:rPr>
        <w:t>فرع دوم: تعلّق زکات در زمان خیار</w:t>
      </w:r>
      <w:bookmarkEnd w:id="15"/>
      <w:r>
        <w:rPr>
          <w:rFonts w:hint="cs"/>
          <w:rtl/>
        </w:rPr>
        <w:t xml:space="preserve"> </w:t>
      </w:r>
    </w:p>
    <w:p w:rsidR="002861E1" w:rsidRDefault="00F70BF5" w:rsidP="000625A4">
      <w:pPr>
        <w:jc w:val="both"/>
        <w:rPr>
          <w:rtl/>
        </w:rPr>
      </w:pPr>
      <w:r>
        <w:rPr>
          <w:rFonts w:hint="cs"/>
          <w:rtl/>
        </w:rPr>
        <w:t>مرحوم محقق</w:t>
      </w:r>
      <w:r w:rsidR="002861E1">
        <w:rPr>
          <w:rFonts w:hint="cs"/>
          <w:rtl/>
        </w:rPr>
        <w:t xml:space="preserve"> در ادامه می نویسد: </w:t>
      </w:r>
    </w:p>
    <w:p w:rsidR="002861E1" w:rsidRDefault="002861E1" w:rsidP="000625A4">
      <w:pPr>
        <w:jc w:val="both"/>
        <w:rPr>
          <w:color w:val="000080"/>
          <w:rtl/>
        </w:rPr>
      </w:pPr>
      <w:r w:rsidRPr="002861E1">
        <w:rPr>
          <w:color w:val="000080"/>
          <w:rtl/>
        </w:rPr>
        <w:t>و لو اشترى نصابا جرى في الحول من حين العقد لا بعد الثلاثة و لو شرط البائع أو هما خيارا زائدا على الثلاثة بني على القول بانتقال</w:t>
      </w:r>
      <w:r w:rsidR="00F70BF5">
        <w:rPr>
          <w:color w:val="000080"/>
          <w:rtl/>
        </w:rPr>
        <w:t xml:space="preserve"> الملك و الوجه أنه من حين العقد</w:t>
      </w:r>
    </w:p>
    <w:p w:rsidR="00836C80" w:rsidRDefault="002861E1" w:rsidP="000625A4">
      <w:pPr>
        <w:jc w:val="both"/>
        <w:rPr>
          <w:rtl/>
        </w:rPr>
      </w:pPr>
      <w:r>
        <w:rPr>
          <w:rFonts w:hint="cs"/>
          <w:rtl/>
        </w:rPr>
        <w:t xml:space="preserve">این بحث وجود دارد که آیا بر من علیه الخیار در زمان خیار، زکات واجب است؟ </w:t>
      </w:r>
    </w:p>
    <w:p w:rsidR="002861E1" w:rsidRDefault="002861E1" w:rsidP="000625A4">
      <w:pPr>
        <w:jc w:val="both"/>
        <w:rPr>
          <w:rtl/>
        </w:rPr>
      </w:pPr>
      <w:r>
        <w:rPr>
          <w:rFonts w:hint="cs"/>
          <w:rtl/>
        </w:rPr>
        <w:t>بنابراین که انقضای خیار شرط ملکیت باشد، در وجوب زکات نیز انقضای خیار شرط است. معروف است که مرحوم شیخ قائل است در زمانی که خیار وجود دارد، من علیه الخیار مالک نمی شود. مرحوم محقق ظاهرا به کلام مرحوم شیخ ناظر است</w:t>
      </w:r>
      <w:r w:rsidR="009A4A13">
        <w:rPr>
          <w:rFonts w:hint="cs"/>
          <w:rtl/>
        </w:rPr>
        <w:t xml:space="preserve"> </w:t>
      </w:r>
      <w:r w:rsidR="00836C80">
        <w:rPr>
          <w:rFonts w:hint="cs"/>
          <w:rtl/>
        </w:rPr>
        <w:t>- چه</w:t>
      </w:r>
      <w:r w:rsidR="009A4A13">
        <w:rPr>
          <w:rFonts w:hint="cs"/>
          <w:rtl/>
        </w:rPr>
        <w:t xml:space="preserve"> واقعا مرحوم شیخ قائل باشد یا از </w:t>
      </w:r>
      <w:r w:rsidR="000B50F6">
        <w:rPr>
          <w:rFonts w:hint="cs"/>
          <w:rtl/>
        </w:rPr>
        <w:t>عبارت ایشان چنین توهمی حاصل شود- مرحوم</w:t>
      </w:r>
      <w:r w:rsidR="009A4A13">
        <w:rPr>
          <w:rFonts w:hint="cs"/>
          <w:rtl/>
        </w:rPr>
        <w:t xml:space="preserve"> محقق می فرماید: چون من علیه الخیار در زمان خیار مالک است، باید زکات آن را پرداخت کند. </w:t>
      </w:r>
      <w:r w:rsidR="000C5F48">
        <w:rPr>
          <w:rFonts w:hint="cs"/>
          <w:rtl/>
        </w:rPr>
        <w:t xml:space="preserve">مراد از «الثلاثه» سه روزی است که به عنوان خیار حیوان جعل شده است. </w:t>
      </w:r>
      <w:r w:rsidR="00B149E0">
        <w:rPr>
          <w:rFonts w:hint="cs"/>
          <w:rtl/>
        </w:rPr>
        <w:t xml:space="preserve">ایشان بیان می کند: اگر انتقال ملک بعد از انقضای خیار باشد، حول بعد از انقضای خیار شروع می شود اما بنابراین که انتقال ملک از حین عقد است، حول از حین عقد شروع می شود. </w:t>
      </w:r>
    </w:p>
    <w:p w:rsidR="000B50F6" w:rsidRDefault="000B50F6" w:rsidP="000625A4">
      <w:pPr>
        <w:pStyle w:val="Heading3"/>
        <w:jc w:val="both"/>
        <w:rPr>
          <w:rtl/>
        </w:rPr>
      </w:pPr>
      <w:bookmarkStart w:id="16" w:name="_Toc116878551"/>
      <w:r>
        <w:rPr>
          <w:rFonts w:hint="cs"/>
          <w:rtl/>
        </w:rPr>
        <w:t>فرع سوم: تعلّق زکات بر عین مقترضه بعد از قبض</w:t>
      </w:r>
      <w:bookmarkEnd w:id="16"/>
      <w:r>
        <w:rPr>
          <w:rFonts w:hint="cs"/>
          <w:rtl/>
        </w:rPr>
        <w:t xml:space="preserve">  </w:t>
      </w:r>
    </w:p>
    <w:p w:rsidR="00F70BF5" w:rsidRDefault="00F70BF5" w:rsidP="000625A4">
      <w:pPr>
        <w:jc w:val="both"/>
        <w:rPr>
          <w:color w:val="000080"/>
          <w:rtl/>
        </w:rPr>
      </w:pPr>
      <w:r>
        <w:rPr>
          <w:rFonts w:hint="cs"/>
          <w:rtl/>
        </w:rPr>
        <w:t xml:space="preserve">ایشان در ادامه می نویسد: </w:t>
      </w:r>
      <w:r w:rsidRPr="002861E1">
        <w:rPr>
          <w:color w:val="000080"/>
          <w:rtl/>
        </w:rPr>
        <w:t>و كذا لو استقرض مالا و عينه باقية جرى في الحول من حين قبضه.</w:t>
      </w:r>
    </w:p>
    <w:p w:rsidR="00F70BF5" w:rsidRDefault="00F70BF5" w:rsidP="000625A4">
      <w:pPr>
        <w:jc w:val="both"/>
        <w:rPr>
          <w:rtl/>
        </w:rPr>
      </w:pPr>
      <w:r>
        <w:rPr>
          <w:rFonts w:hint="cs"/>
          <w:rtl/>
        </w:rPr>
        <w:t xml:space="preserve">به این معنا که در صورتی که عین مال قرض گرفته شده باقی باشد، حول از حین قبض محاسبه می شود. </w:t>
      </w:r>
      <w:r w:rsidR="001674E2">
        <w:rPr>
          <w:rFonts w:hint="cs"/>
          <w:rtl/>
        </w:rPr>
        <w:t xml:space="preserve">شاید ایشان در مقام بیان این نکته است که برخی قائل هستند که در صورتی که عین مقترضه هنگام حلول قرض باقی باشد، مقرض نسبت به آن احق است و می تواند آن را مطالبه کند. ایشان </w:t>
      </w:r>
      <w:r w:rsidR="000B50F6">
        <w:rPr>
          <w:rFonts w:hint="cs"/>
          <w:rtl/>
        </w:rPr>
        <w:t>در ردّ</w:t>
      </w:r>
      <w:r w:rsidR="001674E2">
        <w:rPr>
          <w:rFonts w:hint="cs"/>
          <w:rtl/>
        </w:rPr>
        <w:t xml:space="preserve"> این مبنا بیان می کند: مجرّد باقی بودن عین سبب نفی زکات از مستقرض نیست زیرا هر چند عین باقی است،</w:t>
      </w:r>
      <w:r w:rsidR="000B50F6">
        <w:rPr>
          <w:rFonts w:hint="cs"/>
          <w:rtl/>
        </w:rPr>
        <w:t xml:space="preserve"> اما</w:t>
      </w:r>
      <w:r w:rsidR="001674E2">
        <w:rPr>
          <w:rFonts w:hint="cs"/>
          <w:rtl/>
        </w:rPr>
        <w:t xml:space="preserve"> اختیار آن برای مستقرض است و مقرض حق مطالبه عین را ندارد. بنابراین عین</w:t>
      </w:r>
      <w:r w:rsidR="000B50F6">
        <w:rPr>
          <w:rFonts w:hint="cs"/>
          <w:rtl/>
        </w:rPr>
        <w:t xml:space="preserve"> مقترضه،</w:t>
      </w:r>
      <w:r w:rsidR="001674E2">
        <w:rPr>
          <w:rFonts w:hint="cs"/>
          <w:rtl/>
        </w:rPr>
        <w:t xml:space="preserve"> ملک تام مستقرض است. </w:t>
      </w:r>
      <w:r w:rsidR="004D4A8E">
        <w:rPr>
          <w:rFonts w:hint="cs"/>
          <w:rtl/>
        </w:rPr>
        <w:t xml:space="preserve">البته ایشان در این باره که آیا زکات بر مقرض واجب است یا مستقرض، بحث خواهد کرد. </w:t>
      </w:r>
    </w:p>
    <w:p w:rsidR="000B50F6" w:rsidRDefault="000B50F6" w:rsidP="000625A4">
      <w:pPr>
        <w:pStyle w:val="Heading3"/>
        <w:jc w:val="both"/>
        <w:rPr>
          <w:rtl/>
        </w:rPr>
      </w:pPr>
      <w:bookmarkStart w:id="17" w:name="_Toc116878552"/>
      <w:r>
        <w:rPr>
          <w:rFonts w:hint="cs"/>
          <w:rtl/>
        </w:rPr>
        <w:t>فرع چهارم: تعلّق زکات بر غنیمت پس از قسمت</w:t>
      </w:r>
      <w:bookmarkEnd w:id="17"/>
      <w:r>
        <w:rPr>
          <w:rFonts w:hint="cs"/>
          <w:rtl/>
        </w:rPr>
        <w:t xml:space="preserve"> </w:t>
      </w:r>
    </w:p>
    <w:p w:rsidR="004D4A8E" w:rsidRDefault="004D4A8E" w:rsidP="000625A4">
      <w:pPr>
        <w:jc w:val="both"/>
        <w:rPr>
          <w:rtl/>
        </w:rPr>
      </w:pPr>
      <w:r>
        <w:rPr>
          <w:rFonts w:hint="cs"/>
          <w:rtl/>
        </w:rPr>
        <w:t xml:space="preserve">ایشان در ادامه می نویسد: </w:t>
      </w:r>
    </w:p>
    <w:p w:rsidR="004D4A8E" w:rsidRPr="004D4A8E" w:rsidRDefault="004D4A8E" w:rsidP="000625A4">
      <w:pPr>
        <w:jc w:val="both"/>
        <w:rPr>
          <w:color w:val="000080"/>
          <w:rtl/>
        </w:rPr>
      </w:pPr>
      <w:r w:rsidRPr="004D4A8E">
        <w:rPr>
          <w:color w:val="000080"/>
          <w:rtl/>
        </w:rPr>
        <w:t>و لا يجري الغنيمة في الحول إلا بعد القسمة و لو عزل الإمام قسطا جرى في الحول إن كان صاحبه حاضرا و إن كان غائبا فعند وصوله إليه</w:t>
      </w:r>
    </w:p>
    <w:p w:rsidR="004D4A8E" w:rsidRDefault="003E15DE" w:rsidP="000625A4">
      <w:pPr>
        <w:jc w:val="both"/>
        <w:rPr>
          <w:rtl/>
        </w:rPr>
      </w:pPr>
      <w:r>
        <w:rPr>
          <w:rFonts w:hint="cs"/>
          <w:rtl/>
        </w:rPr>
        <w:t xml:space="preserve">هر چند غانمین نوعی حق در غنیمت پیدا می کنند و عنوان کلی غانمین مالک غنیمت </w:t>
      </w:r>
      <w:r w:rsidR="000B50F6">
        <w:rPr>
          <w:rFonts w:hint="cs"/>
          <w:rtl/>
        </w:rPr>
        <w:t>است</w:t>
      </w:r>
      <w:r>
        <w:rPr>
          <w:rFonts w:hint="cs"/>
          <w:rtl/>
        </w:rPr>
        <w:t xml:space="preserve"> اما این حق و ملکیت عنوان کلی باعث نمی شود که زکات بر عهده آنها باشد. بلکه مالکیت شخصی لازم است و ملک شخصی بعد از قسمت است. ایشان بیان کرده: عزل سهم توسط امام علیه السلام به منزله قسمت است و همین باعث تعلّق ملکیت شخصی به آن است. البته در صورتی که مالک حاضر باشد، به صرف عزل سهم حول محاسبه می شود اما در صورتی که مالک غائب باشد، هر چند ملکیت به صرف قسمت حاصل می شود اما شرط تمکّن از تصرّف وجود ندارد و به همین دلیل پس از رسیدن مال به دست او، حول محاسبه می شود. </w:t>
      </w:r>
    </w:p>
    <w:p w:rsidR="000B50F6" w:rsidRDefault="000B50F6" w:rsidP="000625A4">
      <w:pPr>
        <w:pStyle w:val="Heading3"/>
        <w:jc w:val="both"/>
        <w:rPr>
          <w:rtl/>
        </w:rPr>
      </w:pPr>
      <w:bookmarkStart w:id="18" w:name="_Toc116878553"/>
      <w:r>
        <w:rPr>
          <w:rFonts w:hint="cs"/>
          <w:rtl/>
        </w:rPr>
        <w:t>فرع پنجم: عدم تعلّق زکات در نذر به عین نصاب</w:t>
      </w:r>
      <w:bookmarkEnd w:id="18"/>
      <w:r>
        <w:rPr>
          <w:rFonts w:hint="cs"/>
          <w:rtl/>
        </w:rPr>
        <w:t xml:space="preserve"> </w:t>
      </w:r>
    </w:p>
    <w:p w:rsidR="00F74363" w:rsidRPr="00F74363" w:rsidRDefault="003E15DE" w:rsidP="000625A4">
      <w:pPr>
        <w:jc w:val="both"/>
        <w:rPr>
          <w:rtl/>
        </w:rPr>
      </w:pPr>
      <w:r>
        <w:rPr>
          <w:rFonts w:hint="cs"/>
          <w:rtl/>
        </w:rPr>
        <w:t xml:space="preserve">ایشان در ادامه می نویسد: </w:t>
      </w:r>
      <w:r w:rsidR="00F74363" w:rsidRPr="00F74363">
        <w:rPr>
          <w:color w:val="000080"/>
          <w:rtl/>
        </w:rPr>
        <w:t>و لو نذر في أثناء الحول الصدقة بعين النصاب انقطع الحول لتعينه للصدقة.</w:t>
      </w:r>
    </w:p>
    <w:p w:rsidR="003E15DE" w:rsidRDefault="003E15DE" w:rsidP="000625A4">
      <w:pPr>
        <w:jc w:val="both"/>
        <w:rPr>
          <w:rtl/>
        </w:rPr>
      </w:pPr>
      <w:r>
        <w:rPr>
          <w:rFonts w:hint="cs"/>
          <w:rtl/>
        </w:rPr>
        <w:t xml:space="preserve">اگر در اثنای حول نذر کند که عین نصاب را صدقه بدهد، </w:t>
      </w:r>
      <w:r w:rsidR="004042EB">
        <w:rPr>
          <w:rFonts w:hint="cs"/>
          <w:rtl/>
        </w:rPr>
        <w:t xml:space="preserve">حول منقطع می شود. </w:t>
      </w:r>
      <w:r w:rsidR="00352617">
        <w:rPr>
          <w:rFonts w:hint="cs"/>
          <w:rtl/>
        </w:rPr>
        <w:t xml:space="preserve">البته تعیّن منذور برای صدقه در صورتی است که نذر مطلق کرده یا نذر مشروطی کرده که شرط آن تحقق یافته است. ظاهرا مراد محقق نیز همین صورت است. اما در صورتی که نذر مشروط کرده و شرط تحقّق نیافته است، بحث دیگری دارد که به تناسب از شرط تمکّن از تصرف درباره آن بحث خواهیم کرد. </w:t>
      </w:r>
    </w:p>
    <w:p w:rsidR="00352617" w:rsidRPr="00F70BF5" w:rsidRDefault="00352617" w:rsidP="000625A4">
      <w:pPr>
        <w:jc w:val="both"/>
        <w:rPr>
          <w:rtl/>
        </w:rPr>
      </w:pPr>
      <w:r>
        <w:rPr>
          <w:rFonts w:hint="cs"/>
          <w:rtl/>
        </w:rPr>
        <w:t xml:space="preserve">شرط بعدی، شرط تمکّن از تصرّف است که در جلسه آینده در این باره صحبت خواهیم کرد. </w:t>
      </w:r>
    </w:p>
    <w:sectPr w:rsidR="00352617" w:rsidRPr="00F70BF5"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B2" w:rsidRDefault="00F72EB2" w:rsidP="008B750B">
      <w:pPr>
        <w:spacing w:line="240" w:lineRule="auto"/>
      </w:pPr>
      <w:r>
        <w:separator/>
      </w:r>
    </w:p>
  </w:endnote>
  <w:endnote w:type="continuationSeparator" w:id="0">
    <w:p w:rsidR="00F72EB2" w:rsidRDefault="00F72EB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0B50F6">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95A05" w:rsidRPr="00C95A05">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963107" w:rsidP="001B6799">
          <w:pPr>
            <w:pStyle w:val="Footer"/>
            <w:bidi w:val="0"/>
            <w:rPr>
              <w:color w:val="808080" w:themeColor="background1" w:themeShade="80"/>
              <w:rtl/>
            </w:rPr>
          </w:pPr>
          <w:bookmarkStart w:id="26" w:name="BokAdres"/>
          <w:bookmarkEnd w:id="26"/>
          <w:r>
            <w:rPr>
              <w:color w:val="808080" w:themeColor="background1" w:themeShade="80"/>
            </w:rPr>
            <w:t>F1js1_14010723-009_mk3_mfeb.ir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B2" w:rsidRDefault="00F72EB2" w:rsidP="008B750B">
      <w:pPr>
        <w:spacing w:line="240" w:lineRule="auto"/>
      </w:pPr>
      <w:r>
        <w:separator/>
      </w:r>
    </w:p>
  </w:footnote>
  <w:footnote w:type="continuationSeparator" w:id="0">
    <w:p w:rsidR="00F72EB2" w:rsidRDefault="00F72EB2" w:rsidP="008B750B">
      <w:pPr>
        <w:spacing w:line="240" w:lineRule="auto"/>
      </w:pPr>
      <w:r>
        <w:continuationSeparator/>
      </w:r>
    </w:p>
  </w:footnote>
  <w:footnote w:id="1">
    <w:p w:rsidR="003A2046" w:rsidRPr="00FF162B" w:rsidRDefault="003A2046" w:rsidP="003A2046">
      <w:pPr>
        <w:pStyle w:val="FootnoteText"/>
      </w:pPr>
      <w:r w:rsidRPr="00FF162B">
        <w:footnoteRef/>
      </w:r>
      <w:r w:rsidRPr="00FF162B">
        <w:rPr>
          <w:rtl/>
        </w:rPr>
        <w:t xml:space="preserve"> </w:t>
      </w:r>
      <w:hyperlink r:id="rId1" w:history="1">
        <w:r w:rsidRPr="00FF162B">
          <w:rPr>
            <w:rStyle w:val="Hyperlink"/>
            <w:rFonts w:hint="cs"/>
            <w:rtl/>
          </w:rPr>
          <w:t>الکافی،</w:t>
        </w:r>
        <w:r w:rsidRPr="00FF162B">
          <w:rPr>
            <w:rStyle w:val="Hyperlink"/>
            <w:rtl/>
          </w:rPr>
          <w:t xml:space="preserve"> </w:t>
        </w:r>
        <w:r w:rsidRPr="00FF162B">
          <w:rPr>
            <w:rStyle w:val="Hyperlink"/>
            <w:rFonts w:hint="cs"/>
            <w:rtl/>
          </w:rPr>
          <w:t>محمد</w:t>
        </w:r>
        <w:r w:rsidRPr="00FF162B">
          <w:rPr>
            <w:rStyle w:val="Hyperlink"/>
            <w:rtl/>
          </w:rPr>
          <w:t xml:space="preserve"> </w:t>
        </w:r>
        <w:r w:rsidRPr="00FF162B">
          <w:rPr>
            <w:rStyle w:val="Hyperlink"/>
            <w:rFonts w:hint="cs"/>
            <w:rtl/>
          </w:rPr>
          <w:t>بن</w:t>
        </w:r>
        <w:r w:rsidRPr="00FF162B">
          <w:rPr>
            <w:rStyle w:val="Hyperlink"/>
            <w:rtl/>
          </w:rPr>
          <w:t xml:space="preserve"> </w:t>
        </w:r>
        <w:r w:rsidRPr="00FF162B">
          <w:rPr>
            <w:rStyle w:val="Hyperlink"/>
            <w:rFonts w:hint="cs"/>
            <w:rtl/>
          </w:rPr>
          <w:t>یعقوب</w:t>
        </w:r>
        <w:r w:rsidRPr="00FF162B">
          <w:rPr>
            <w:rStyle w:val="Hyperlink"/>
            <w:rtl/>
          </w:rPr>
          <w:t xml:space="preserve"> </w:t>
        </w:r>
        <w:r w:rsidRPr="00FF162B">
          <w:rPr>
            <w:rStyle w:val="Hyperlink"/>
            <w:rFonts w:hint="cs"/>
            <w:rtl/>
          </w:rPr>
          <w:t>کلینی،</w:t>
        </w:r>
        <w:r w:rsidRPr="00FF162B">
          <w:rPr>
            <w:rStyle w:val="Hyperlink"/>
            <w:rtl/>
          </w:rPr>
          <w:t xml:space="preserve"> </w:t>
        </w:r>
        <w:r w:rsidRPr="00FF162B">
          <w:rPr>
            <w:rStyle w:val="Hyperlink"/>
            <w:rFonts w:hint="cs"/>
            <w:rtl/>
          </w:rPr>
          <w:t>ج</w:t>
        </w:r>
        <w:r w:rsidRPr="00FF162B">
          <w:rPr>
            <w:rStyle w:val="Hyperlink"/>
            <w:rtl/>
          </w:rPr>
          <w:t>3</w:t>
        </w:r>
        <w:r w:rsidRPr="00FF162B">
          <w:rPr>
            <w:rStyle w:val="Hyperlink"/>
            <w:rFonts w:hint="cs"/>
            <w:rtl/>
          </w:rPr>
          <w:t>،</w:t>
        </w:r>
        <w:r w:rsidRPr="00FF162B">
          <w:rPr>
            <w:rStyle w:val="Hyperlink"/>
            <w:rtl/>
          </w:rPr>
          <w:t xml:space="preserve"> </w:t>
        </w:r>
        <w:r w:rsidRPr="00FF162B">
          <w:rPr>
            <w:rStyle w:val="Hyperlink"/>
            <w:rFonts w:hint="cs"/>
            <w:rtl/>
          </w:rPr>
          <w:t>ص</w:t>
        </w:r>
        <w:r w:rsidRPr="00FF162B">
          <w:rPr>
            <w:rStyle w:val="Hyperlink"/>
            <w:rtl/>
          </w:rPr>
          <w:t>542</w:t>
        </w:r>
        <w:r w:rsidRPr="00FF162B">
          <w:rPr>
            <w:rStyle w:val="Hyperlink"/>
          </w:rPr>
          <w:t>.</w:t>
        </w:r>
      </w:hyperlink>
    </w:p>
  </w:footnote>
  <w:footnote w:id="2">
    <w:p w:rsidR="00BD5933" w:rsidRPr="00BD5933" w:rsidRDefault="00BD5933" w:rsidP="00BD5933">
      <w:pPr>
        <w:pStyle w:val="FootnoteText"/>
      </w:pPr>
      <w:r w:rsidRPr="00BD5933">
        <w:footnoteRef/>
      </w:r>
      <w:r w:rsidRPr="00BD5933">
        <w:rPr>
          <w:rtl/>
        </w:rPr>
        <w:t xml:space="preserve"> </w:t>
      </w:r>
      <w:hyperlink r:id="rId2" w:history="1">
        <w:r w:rsidRPr="00BD5933">
          <w:rPr>
            <w:rStyle w:val="Hyperlink"/>
            <w:rtl/>
          </w:rPr>
          <w:t xml:space="preserve">شرائع الإسلام، جعفر بن الحسن بن </w:t>
        </w:r>
        <w:r w:rsidRPr="00BD5933">
          <w:rPr>
            <w:rStyle w:val="Hyperlink"/>
            <w:rFonts w:hint="cs"/>
            <w:rtl/>
          </w:rPr>
          <w:t>ی</w:t>
        </w:r>
        <w:r w:rsidRPr="00BD5933">
          <w:rPr>
            <w:rStyle w:val="Hyperlink"/>
            <w:rFonts w:hint="eastAsia"/>
            <w:rtl/>
          </w:rPr>
          <w:t>ح</w:t>
        </w:r>
        <w:r w:rsidRPr="00BD5933">
          <w:rPr>
            <w:rStyle w:val="Hyperlink"/>
            <w:rFonts w:hint="cs"/>
            <w:rtl/>
          </w:rPr>
          <w:t>یی</w:t>
        </w:r>
        <w:r w:rsidRPr="00BD5933">
          <w:rPr>
            <w:rStyle w:val="Hyperlink"/>
            <w:rtl/>
          </w:rPr>
          <w:t xml:space="preserve"> (المحقق الحلّ</w:t>
        </w:r>
        <w:r w:rsidRPr="00BD5933">
          <w:rPr>
            <w:rStyle w:val="Hyperlink"/>
            <w:rFonts w:hint="cs"/>
            <w:rtl/>
          </w:rPr>
          <w:t>ی</w:t>
        </w:r>
        <w:r w:rsidRPr="00BD5933">
          <w:rPr>
            <w:rStyle w:val="Hyperlink"/>
            <w:rtl/>
          </w:rPr>
          <w:t>)، ج1، ص128</w:t>
        </w:r>
        <w:r w:rsidRPr="00BD5933">
          <w:rPr>
            <w:rStyle w:val="Hyperlink"/>
          </w:rPr>
          <w:t>.</w:t>
        </w:r>
      </w:hyperlink>
    </w:p>
  </w:footnote>
  <w:footnote w:id="3">
    <w:p w:rsidR="00BC17A4" w:rsidRPr="00BC17A4" w:rsidRDefault="00BC17A4" w:rsidP="00BC17A4">
      <w:pPr>
        <w:pStyle w:val="FootnoteText"/>
      </w:pPr>
      <w:r w:rsidRPr="00BC17A4">
        <w:footnoteRef/>
      </w:r>
      <w:r w:rsidRPr="00BC17A4">
        <w:rPr>
          <w:rtl/>
        </w:rPr>
        <w:t xml:space="preserve"> </w:t>
      </w:r>
      <w:hyperlink r:id="rId3" w:history="1">
        <w:r w:rsidRPr="00BC17A4">
          <w:rPr>
            <w:rStyle w:val="Hyperlink"/>
            <w:rtl/>
          </w:rPr>
          <w:t>العروة الوثق</w:t>
        </w:r>
        <w:r w:rsidRPr="00BC17A4">
          <w:rPr>
            <w:rStyle w:val="Hyperlink"/>
            <w:rFonts w:hint="cs"/>
            <w:rtl/>
          </w:rPr>
          <w:t>ی</w:t>
        </w:r>
        <w:r w:rsidRPr="00BC17A4">
          <w:rPr>
            <w:rStyle w:val="Hyperlink"/>
            <w:rFonts w:hint="eastAsia"/>
            <w:rtl/>
          </w:rPr>
          <w:t>،</w:t>
        </w:r>
        <w:r w:rsidRPr="00BC17A4">
          <w:rPr>
            <w:rStyle w:val="Hyperlink"/>
            <w:rtl/>
          </w:rPr>
          <w:t xml:space="preserve"> الس</w:t>
        </w:r>
        <w:r w:rsidRPr="00BC17A4">
          <w:rPr>
            <w:rStyle w:val="Hyperlink"/>
            <w:rFonts w:hint="cs"/>
            <w:rtl/>
          </w:rPr>
          <w:t>ی</w:t>
        </w:r>
        <w:r w:rsidRPr="00BC17A4">
          <w:rPr>
            <w:rStyle w:val="Hyperlink"/>
            <w:rFonts w:hint="eastAsia"/>
            <w:rtl/>
          </w:rPr>
          <w:t>د</w:t>
        </w:r>
        <w:r w:rsidRPr="00BC17A4">
          <w:rPr>
            <w:rStyle w:val="Hyperlink"/>
            <w:rtl/>
          </w:rPr>
          <w:t xml:space="preserve"> محمد کاظم الطباطبائ</w:t>
        </w:r>
        <w:r w:rsidRPr="00BC17A4">
          <w:rPr>
            <w:rStyle w:val="Hyperlink"/>
            <w:rFonts w:hint="cs"/>
            <w:rtl/>
          </w:rPr>
          <w:t>ی</w:t>
        </w:r>
        <w:r w:rsidRPr="00BC17A4">
          <w:rPr>
            <w:rStyle w:val="Hyperlink"/>
            <w:rtl/>
          </w:rPr>
          <w:t xml:space="preserve"> ال</w:t>
        </w:r>
        <w:r w:rsidRPr="00BC17A4">
          <w:rPr>
            <w:rStyle w:val="Hyperlink"/>
            <w:rFonts w:hint="cs"/>
            <w:rtl/>
          </w:rPr>
          <w:t>ی</w:t>
        </w:r>
        <w:r w:rsidRPr="00BC17A4">
          <w:rPr>
            <w:rStyle w:val="Hyperlink"/>
            <w:rFonts w:hint="eastAsia"/>
            <w:rtl/>
          </w:rPr>
          <w:t>زد</w:t>
        </w:r>
        <w:r w:rsidRPr="00BC17A4">
          <w:rPr>
            <w:rStyle w:val="Hyperlink"/>
            <w:rFonts w:hint="cs"/>
            <w:rtl/>
          </w:rPr>
          <w:t>ی</w:t>
        </w:r>
        <w:r w:rsidRPr="00BC17A4">
          <w:rPr>
            <w:rStyle w:val="Hyperlink"/>
            <w:rFonts w:hint="eastAsia"/>
            <w:rtl/>
          </w:rPr>
          <w:t>،</w:t>
        </w:r>
        <w:r w:rsidRPr="00BC17A4">
          <w:rPr>
            <w:rStyle w:val="Hyperlink"/>
            <w:rtl/>
          </w:rPr>
          <w:t xml:space="preserve"> ج2، ص264</w:t>
        </w:r>
        <w:r w:rsidRPr="00BC17A4">
          <w:rPr>
            <w:rStyle w:val="Hyperlink"/>
          </w:rPr>
          <w:t>.</w:t>
        </w:r>
      </w:hyperlink>
    </w:p>
  </w:footnote>
  <w:footnote w:id="4">
    <w:p w:rsidR="00BC17A4" w:rsidRDefault="00BC17A4">
      <w:pPr>
        <w:pStyle w:val="FootnoteText"/>
      </w:pPr>
      <w:r>
        <w:rPr>
          <w:rStyle w:val="FootnoteReference"/>
        </w:rPr>
        <w:footnoteRef/>
      </w:r>
      <w:r>
        <w:rPr>
          <w:rtl/>
        </w:rPr>
        <w:t xml:space="preserve"> </w:t>
      </w:r>
      <w:r w:rsidRPr="00BC17A4">
        <w:rPr>
          <w:rtl/>
        </w:rPr>
        <w:t>العروة الوثقى (المحشى)، ج‌4، ص: 8‌</w:t>
      </w:r>
    </w:p>
  </w:footnote>
  <w:footnote w:id="5">
    <w:p w:rsidR="00C60701" w:rsidRPr="00C60701" w:rsidRDefault="00C60701" w:rsidP="00C60701">
      <w:pPr>
        <w:pStyle w:val="FootnoteText"/>
      </w:pPr>
      <w:r w:rsidRPr="00C60701">
        <w:footnoteRef/>
      </w:r>
      <w:r w:rsidRPr="00C60701">
        <w:rPr>
          <w:rtl/>
        </w:rPr>
        <w:t xml:space="preserve"> </w:t>
      </w:r>
      <w:hyperlink r:id="rId4" w:history="1">
        <w:r w:rsidRPr="00C60701">
          <w:rPr>
            <w:rStyle w:val="Hyperlink"/>
            <w:rtl/>
          </w:rPr>
          <w:t>العروة الوثق</w:t>
        </w:r>
        <w:r w:rsidRPr="00C60701">
          <w:rPr>
            <w:rStyle w:val="Hyperlink"/>
            <w:rFonts w:hint="cs"/>
            <w:rtl/>
          </w:rPr>
          <w:t>ی</w:t>
        </w:r>
        <w:r w:rsidRPr="00C60701">
          <w:rPr>
            <w:rStyle w:val="Hyperlink"/>
            <w:rFonts w:hint="eastAsia"/>
            <w:rtl/>
          </w:rPr>
          <w:t>،</w:t>
        </w:r>
        <w:r w:rsidRPr="00C60701">
          <w:rPr>
            <w:rStyle w:val="Hyperlink"/>
            <w:rtl/>
          </w:rPr>
          <w:t xml:space="preserve"> الس</w:t>
        </w:r>
        <w:r w:rsidRPr="00C60701">
          <w:rPr>
            <w:rStyle w:val="Hyperlink"/>
            <w:rFonts w:hint="cs"/>
            <w:rtl/>
          </w:rPr>
          <w:t>ی</w:t>
        </w:r>
        <w:r w:rsidRPr="00C60701">
          <w:rPr>
            <w:rStyle w:val="Hyperlink"/>
            <w:rFonts w:hint="eastAsia"/>
            <w:rtl/>
          </w:rPr>
          <w:t>د</w:t>
        </w:r>
        <w:r w:rsidRPr="00C60701">
          <w:rPr>
            <w:rStyle w:val="Hyperlink"/>
            <w:rtl/>
          </w:rPr>
          <w:t xml:space="preserve"> محمد کاظم الطباطبائ</w:t>
        </w:r>
        <w:r w:rsidRPr="00C60701">
          <w:rPr>
            <w:rStyle w:val="Hyperlink"/>
            <w:rFonts w:hint="cs"/>
            <w:rtl/>
          </w:rPr>
          <w:t>ی</w:t>
        </w:r>
        <w:r w:rsidRPr="00C60701">
          <w:rPr>
            <w:rStyle w:val="Hyperlink"/>
            <w:rtl/>
          </w:rPr>
          <w:t xml:space="preserve"> ال</w:t>
        </w:r>
        <w:r w:rsidRPr="00C60701">
          <w:rPr>
            <w:rStyle w:val="Hyperlink"/>
            <w:rFonts w:hint="cs"/>
            <w:rtl/>
          </w:rPr>
          <w:t>ی</w:t>
        </w:r>
        <w:r w:rsidRPr="00C60701">
          <w:rPr>
            <w:rStyle w:val="Hyperlink"/>
            <w:rFonts w:hint="eastAsia"/>
            <w:rtl/>
          </w:rPr>
          <w:t>زد</w:t>
        </w:r>
        <w:r w:rsidRPr="00C60701">
          <w:rPr>
            <w:rStyle w:val="Hyperlink"/>
            <w:rFonts w:hint="cs"/>
            <w:rtl/>
          </w:rPr>
          <w:t>ی</w:t>
        </w:r>
        <w:r w:rsidRPr="00C60701">
          <w:rPr>
            <w:rStyle w:val="Hyperlink"/>
            <w:rFonts w:hint="eastAsia"/>
            <w:rtl/>
          </w:rPr>
          <w:t>،</w:t>
        </w:r>
        <w:r w:rsidRPr="00C60701">
          <w:rPr>
            <w:rStyle w:val="Hyperlink"/>
            <w:rtl/>
          </w:rPr>
          <w:t xml:space="preserve"> ج2، ص880</w:t>
        </w:r>
        <w:r w:rsidRPr="00C60701">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963107">
      <w:rPr>
        <w:b/>
        <w:bCs/>
        <w:sz w:val="20"/>
        <w:szCs w:val="24"/>
        <w:rtl/>
      </w:rPr>
      <w:t>009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96310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963107">
      <w:rPr>
        <w:b/>
        <w:bCs/>
        <w:color w:val="632423" w:themeColor="accent2" w:themeShade="80"/>
        <w:sz w:val="20"/>
        <w:szCs w:val="24"/>
        <w:rtl/>
      </w:rPr>
      <w:t>س</w:t>
    </w:r>
    <w:r w:rsidR="00963107">
      <w:rPr>
        <w:rFonts w:hint="cs"/>
        <w:b/>
        <w:bCs/>
        <w:color w:val="632423" w:themeColor="accent2" w:themeShade="80"/>
        <w:sz w:val="20"/>
        <w:szCs w:val="24"/>
        <w:rtl/>
      </w:rPr>
      <w:t>ی</w:t>
    </w:r>
    <w:r w:rsidR="00963107">
      <w:rPr>
        <w:rFonts w:hint="eastAsia"/>
        <w:b/>
        <w:bCs/>
        <w:color w:val="632423" w:themeColor="accent2" w:themeShade="80"/>
        <w:sz w:val="20"/>
        <w:szCs w:val="24"/>
        <w:rtl/>
      </w:rPr>
      <w:t>د</w:t>
    </w:r>
    <w:r w:rsidR="00963107">
      <w:rPr>
        <w:b/>
        <w:bCs/>
        <w:color w:val="632423" w:themeColor="accent2" w:themeShade="80"/>
        <w:sz w:val="20"/>
        <w:szCs w:val="24"/>
        <w:rtl/>
      </w:rPr>
      <w:t xml:space="preserve"> محمد جواد شب</w:t>
    </w:r>
    <w:r w:rsidR="00963107">
      <w:rPr>
        <w:rFonts w:hint="cs"/>
        <w:b/>
        <w:bCs/>
        <w:color w:val="632423" w:themeColor="accent2" w:themeShade="80"/>
        <w:sz w:val="20"/>
        <w:szCs w:val="24"/>
        <w:rtl/>
      </w:rPr>
      <w:t>ی</w:t>
    </w:r>
    <w:r w:rsidR="00963107">
      <w:rPr>
        <w:rFonts w:hint="eastAsia"/>
        <w:b/>
        <w:bCs/>
        <w:color w:val="632423" w:themeColor="accent2" w:themeShade="80"/>
        <w:sz w:val="20"/>
        <w:szCs w:val="24"/>
        <w:rtl/>
      </w:rPr>
      <w:t>ر</w:t>
    </w:r>
    <w:r w:rsidR="0096310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963107">
      <w:rPr>
        <w:sz w:val="24"/>
        <w:szCs w:val="24"/>
        <w:rtl/>
      </w:rPr>
      <w:t>23 /7 /1401</w:t>
    </w:r>
  </w:p>
  <w:p w:rsidR="00FA3B17" w:rsidRPr="00F16B53" w:rsidRDefault="00935A55" w:rsidP="002B6AF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963107">
      <w:rPr>
        <w:color w:val="000000" w:themeColor="text1"/>
        <w:sz w:val="24"/>
        <w:szCs w:val="24"/>
        <w:rtl/>
      </w:rPr>
      <w:t>شرا</w:t>
    </w:r>
    <w:r w:rsidR="00963107">
      <w:rPr>
        <w:rFonts w:hint="cs"/>
        <w:color w:val="000000" w:themeColor="text1"/>
        <w:sz w:val="24"/>
        <w:szCs w:val="24"/>
        <w:rtl/>
      </w:rPr>
      <w:t>ی</w:t>
    </w:r>
    <w:r w:rsidR="00963107">
      <w:rPr>
        <w:rFonts w:hint="eastAsia"/>
        <w:color w:val="000000" w:themeColor="text1"/>
        <w:sz w:val="24"/>
        <w:szCs w:val="24"/>
        <w:rtl/>
      </w:rPr>
      <w:t>ط</w:t>
    </w:r>
    <w:r w:rsidR="00963107">
      <w:rPr>
        <w:color w:val="000000" w:themeColor="text1"/>
        <w:sz w:val="24"/>
        <w:szCs w:val="24"/>
        <w:rtl/>
      </w:rPr>
      <w:t xml:space="preserve"> مال زکو</w:t>
    </w:r>
    <w:r w:rsidR="00963107">
      <w:rPr>
        <w:rFonts w:hint="cs"/>
        <w:color w:val="000000" w:themeColor="text1"/>
        <w:sz w:val="24"/>
        <w:szCs w:val="24"/>
        <w:rtl/>
      </w:rPr>
      <w:t>ی</w:t>
    </w:r>
    <w:r w:rsidR="00963107">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2B6AF8">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963107">
      <w:rPr>
        <w:sz w:val="24"/>
        <w:szCs w:val="24"/>
        <w:rtl/>
      </w:rPr>
      <w:t>مملوک</w:t>
    </w:r>
    <w:r w:rsidR="00963107">
      <w:rPr>
        <w:rFonts w:hint="cs"/>
        <w:sz w:val="24"/>
        <w:szCs w:val="24"/>
        <w:rtl/>
      </w:rPr>
      <w:t>ی</w:t>
    </w:r>
    <w:r w:rsidR="00963107">
      <w:rPr>
        <w:rFonts w:hint="eastAsia"/>
        <w:sz w:val="24"/>
        <w:szCs w:val="24"/>
        <w:rtl/>
      </w:rPr>
      <w:t>ت</w:t>
    </w:r>
    <w:r w:rsidR="00963107">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E11BDE"/>
    <w:multiLevelType w:val="hybridMultilevel"/>
    <w:tmpl w:val="C7964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44357"/>
    <w:multiLevelType w:val="hybridMultilevel"/>
    <w:tmpl w:val="2E84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64FF5"/>
    <w:multiLevelType w:val="hybridMultilevel"/>
    <w:tmpl w:val="5F3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25A4"/>
    <w:rsid w:val="00080A41"/>
    <w:rsid w:val="0008299B"/>
    <w:rsid w:val="000913AA"/>
    <w:rsid w:val="00094847"/>
    <w:rsid w:val="00096C63"/>
    <w:rsid w:val="000B50F6"/>
    <w:rsid w:val="000B5DB5"/>
    <w:rsid w:val="000C3947"/>
    <w:rsid w:val="000C5F48"/>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1D1C"/>
    <w:rsid w:val="0016391F"/>
    <w:rsid w:val="001674E2"/>
    <w:rsid w:val="00177C17"/>
    <w:rsid w:val="00181844"/>
    <w:rsid w:val="001837E9"/>
    <w:rsid w:val="00187DFA"/>
    <w:rsid w:val="001A1BC1"/>
    <w:rsid w:val="001A1EA5"/>
    <w:rsid w:val="001A2574"/>
    <w:rsid w:val="001A27D7"/>
    <w:rsid w:val="001A294E"/>
    <w:rsid w:val="001A4ED8"/>
    <w:rsid w:val="001A57A5"/>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861E1"/>
    <w:rsid w:val="00294A52"/>
    <w:rsid w:val="002B575F"/>
    <w:rsid w:val="002B6AF8"/>
    <w:rsid w:val="002B729B"/>
    <w:rsid w:val="002C23B5"/>
    <w:rsid w:val="002C53A2"/>
    <w:rsid w:val="002D0040"/>
    <w:rsid w:val="002D2FA8"/>
    <w:rsid w:val="002E220F"/>
    <w:rsid w:val="00307311"/>
    <w:rsid w:val="0032100F"/>
    <w:rsid w:val="0033402C"/>
    <w:rsid w:val="00340521"/>
    <w:rsid w:val="00345C73"/>
    <w:rsid w:val="00352617"/>
    <w:rsid w:val="00354A99"/>
    <w:rsid w:val="00360311"/>
    <w:rsid w:val="00361922"/>
    <w:rsid w:val="0037339B"/>
    <w:rsid w:val="00386C11"/>
    <w:rsid w:val="00397466"/>
    <w:rsid w:val="003A2046"/>
    <w:rsid w:val="003A6148"/>
    <w:rsid w:val="003C33F6"/>
    <w:rsid w:val="003C3D2E"/>
    <w:rsid w:val="003C43A5"/>
    <w:rsid w:val="003E15DE"/>
    <w:rsid w:val="003E1C5C"/>
    <w:rsid w:val="003E6650"/>
    <w:rsid w:val="003F5B46"/>
    <w:rsid w:val="00401363"/>
    <w:rsid w:val="00402E47"/>
    <w:rsid w:val="004042EB"/>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4A8E"/>
    <w:rsid w:val="004D75C5"/>
    <w:rsid w:val="004E2186"/>
    <w:rsid w:val="004E66FB"/>
    <w:rsid w:val="004F470A"/>
    <w:rsid w:val="004F4C59"/>
    <w:rsid w:val="00500C8F"/>
    <w:rsid w:val="0050140C"/>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63CF"/>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6C80"/>
    <w:rsid w:val="00837FAA"/>
    <w:rsid w:val="00841F77"/>
    <w:rsid w:val="00846586"/>
    <w:rsid w:val="0085276D"/>
    <w:rsid w:val="00863390"/>
    <w:rsid w:val="0086385C"/>
    <w:rsid w:val="00871916"/>
    <w:rsid w:val="008956DD"/>
    <w:rsid w:val="008A510E"/>
    <w:rsid w:val="008A522A"/>
    <w:rsid w:val="008B4464"/>
    <w:rsid w:val="008B750B"/>
    <w:rsid w:val="008C3162"/>
    <w:rsid w:val="008D1F14"/>
    <w:rsid w:val="008E3924"/>
    <w:rsid w:val="008F13F7"/>
    <w:rsid w:val="008F43B1"/>
    <w:rsid w:val="008F5B4D"/>
    <w:rsid w:val="00907425"/>
    <w:rsid w:val="00923C34"/>
    <w:rsid w:val="00924152"/>
    <w:rsid w:val="0092513D"/>
    <w:rsid w:val="00927A9F"/>
    <w:rsid w:val="009335CC"/>
    <w:rsid w:val="00935A55"/>
    <w:rsid w:val="00941CEB"/>
    <w:rsid w:val="0094720F"/>
    <w:rsid w:val="00953B28"/>
    <w:rsid w:val="00954322"/>
    <w:rsid w:val="00957CAA"/>
    <w:rsid w:val="00963107"/>
    <w:rsid w:val="0096778A"/>
    <w:rsid w:val="00977656"/>
    <w:rsid w:val="009846A7"/>
    <w:rsid w:val="0098794D"/>
    <w:rsid w:val="0099497B"/>
    <w:rsid w:val="009A43BA"/>
    <w:rsid w:val="009A4A13"/>
    <w:rsid w:val="009B0D05"/>
    <w:rsid w:val="009B4CA6"/>
    <w:rsid w:val="009B79F8"/>
    <w:rsid w:val="009C66D5"/>
    <w:rsid w:val="009D13FD"/>
    <w:rsid w:val="009D266A"/>
    <w:rsid w:val="009F7E07"/>
    <w:rsid w:val="00A01522"/>
    <w:rsid w:val="00A10A11"/>
    <w:rsid w:val="00A13C6A"/>
    <w:rsid w:val="00A145E0"/>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29D3"/>
    <w:rsid w:val="00AC6FE2"/>
    <w:rsid w:val="00AF3925"/>
    <w:rsid w:val="00B1296B"/>
    <w:rsid w:val="00B149E0"/>
    <w:rsid w:val="00B2292F"/>
    <w:rsid w:val="00B43169"/>
    <w:rsid w:val="00B501A8"/>
    <w:rsid w:val="00B55AE4"/>
    <w:rsid w:val="00B70B46"/>
    <w:rsid w:val="00B739B0"/>
    <w:rsid w:val="00B814A3"/>
    <w:rsid w:val="00B96F38"/>
    <w:rsid w:val="00BC17A4"/>
    <w:rsid w:val="00BC716B"/>
    <w:rsid w:val="00BD0E74"/>
    <w:rsid w:val="00BD5933"/>
    <w:rsid w:val="00BD5F8C"/>
    <w:rsid w:val="00BE29DD"/>
    <w:rsid w:val="00C00CBD"/>
    <w:rsid w:val="00C066AF"/>
    <w:rsid w:val="00C10E06"/>
    <w:rsid w:val="00C145B8"/>
    <w:rsid w:val="00C2438F"/>
    <w:rsid w:val="00C31AF0"/>
    <w:rsid w:val="00C32A7E"/>
    <w:rsid w:val="00C34F28"/>
    <w:rsid w:val="00C368DF"/>
    <w:rsid w:val="00C442C5"/>
    <w:rsid w:val="00C57B5C"/>
    <w:rsid w:val="00C57C7C"/>
    <w:rsid w:val="00C60701"/>
    <w:rsid w:val="00C61049"/>
    <w:rsid w:val="00C63FFE"/>
    <w:rsid w:val="00C91EB6"/>
    <w:rsid w:val="00C92F3A"/>
    <w:rsid w:val="00C95A05"/>
    <w:rsid w:val="00CA10B0"/>
    <w:rsid w:val="00CA2F8E"/>
    <w:rsid w:val="00CA3EE2"/>
    <w:rsid w:val="00CA7FD5"/>
    <w:rsid w:val="00CB3287"/>
    <w:rsid w:val="00CB33E2"/>
    <w:rsid w:val="00CB4E68"/>
    <w:rsid w:val="00CC07A4"/>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749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51CD"/>
    <w:rsid w:val="00F16B53"/>
    <w:rsid w:val="00F25ECD"/>
    <w:rsid w:val="00F318BE"/>
    <w:rsid w:val="00F33297"/>
    <w:rsid w:val="00F343FB"/>
    <w:rsid w:val="00F359FE"/>
    <w:rsid w:val="00F42159"/>
    <w:rsid w:val="00F4256E"/>
    <w:rsid w:val="00F42EE1"/>
    <w:rsid w:val="00F60F1F"/>
    <w:rsid w:val="00F64141"/>
    <w:rsid w:val="00F67508"/>
    <w:rsid w:val="00F70BF5"/>
    <w:rsid w:val="00F71FC9"/>
    <w:rsid w:val="00F72EB2"/>
    <w:rsid w:val="00F73B48"/>
    <w:rsid w:val="00F74363"/>
    <w:rsid w:val="00F74F51"/>
    <w:rsid w:val="00F80B0A"/>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6043231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28/2/264/" TargetMode="External"/><Relationship Id="rId2" Type="http://schemas.openxmlformats.org/officeDocument/2006/relationships/hyperlink" Target="http://lib.eshia.ir/71613/1/128/" TargetMode="External"/><Relationship Id="rId1" Type="http://schemas.openxmlformats.org/officeDocument/2006/relationships/hyperlink" Target="http://lib.eshia.ir/11005/3/542/" TargetMode="External"/><Relationship Id="rId4" Type="http://schemas.openxmlformats.org/officeDocument/2006/relationships/hyperlink" Target="http://lib.eshia.ir/10028/2/8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6268-3CA9-4003-9C93-E70F92EB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1871</Words>
  <Characters>10669</Characters>
  <Application>Microsoft Office Word</Application>
  <DocSecurity>0</DocSecurity>
  <Lines>88</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2022-10-17T02:26:00Z</cp:lastPrinted>
  <dcterms:created xsi:type="dcterms:W3CDTF">2022-10-17T02:26:00Z</dcterms:created>
  <dcterms:modified xsi:type="dcterms:W3CDTF">2022-11-06T15:20:00Z</dcterms:modified>
  <cp:contentStatus>ویرایش 2.5</cp:contentStatus>
  <cp:version>2.7</cp:version>
</cp:coreProperties>
</file>