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86" w:rsidRDefault="005D3F86" w:rsidP="005D3F8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D3F86" w:rsidRDefault="005D3F86" w:rsidP="005D3F8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C23ADC">
      <w:pPr>
        <w:tabs>
          <w:tab w:val="left" w:pos="4124"/>
        </w:tabs>
        <w:jc w:val="both"/>
        <w:rPr>
          <w:rStyle w:val="Emphasis"/>
          <w:b/>
          <w:bCs w:val="0"/>
          <w:rtl/>
        </w:rPr>
      </w:pPr>
      <w:r w:rsidRPr="009C66D5">
        <w:rPr>
          <w:rStyle w:val="Emphasis"/>
          <w:rFonts w:hint="cs"/>
          <w:b/>
          <w:bCs w:val="0"/>
          <w:rtl/>
        </w:rPr>
        <w:t>خلاصه مباحث گذشته</w:t>
      </w:r>
      <w:r w:rsidR="00C23ADC">
        <w:rPr>
          <w:rStyle w:val="Emphasis"/>
          <w:rFonts w:hint="cs"/>
          <w:b/>
          <w:bCs w:val="0"/>
          <w:rtl/>
        </w:rPr>
        <w:t xml:space="preserve"> و جلسه امروز</w:t>
      </w:r>
      <w:r w:rsidRPr="009C66D5">
        <w:rPr>
          <w:rStyle w:val="Emphasis"/>
          <w:rFonts w:hint="cs"/>
          <w:b/>
          <w:bCs w:val="0"/>
          <w:rtl/>
        </w:rPr>
        <w:t>:</w:t>
      </w:r>
      <w:r w:rsidR="00A534C4">
        <w:rPr>
          <w:rStyle w:val="Emphasis"/>
          <w:b/>
          <w:bCs w:val="0"/>
          <w:rtl/>
        </w:rPr>
        <w:tab/>
      </w:r>
    </w:p>
    <w:p w:rsidR="003A6148" w:rsidRDefault="00C23ADC" w:rsidP="00C23ADC">
      <w:pPr>
        <w:pBdr>
          <w:bottom w:val="double" w:sz="6" w:space="1" w:color="auto"/>
        </w:pBdr>
        <w:jc w:val="both"/>
        <w:rPr>
          <w:rtl/>
        </w:rPr>
      </w:pPr>
      <w:r>
        <w:rPr>
          <w:rFonts w:hint="cs"/>
          <w:rtl/>
        </w:rPr>
        <w:t xml:space="preserve">بحث درباره ضابطه تشخیص امر قابل اسقاط از امر غیر قابل اسقاط بود. در جلسه گذشته کلام شهید صدر در این باره نقل شد. در این جلسه درباره دلالت روایت محمد بن مسلم بر امضای ضابطه عقلایی تشخیص امر قابل اسقاط مورد بحث قرار می گیرد. </w:t>
      </w:r>
    </w:p>
    <w:p w:rsidR="00247D2F" w:rsidRPr="003A6148" w:rsidRDefault="00247D2F" w:rsidP="00C23ADC">
      <w:pPr>
        <w:pBdr>
          <w:bottom w:val="double" w:sz="6" w:space="1" w:color="auto"/>
        </w:pBdr>
        <w:jc w:val="both"/>
      </w:pPr>
    </w:p>
    <w:p w:rsidR="008F5B4D" w:rsidRDefault="008F5B4D" w:rsidP="00C23ADC">
      <w:pPr>
        <w:jc w:val="both"/>
      </w:pPr>
    </w:p>
    <w:p w:rsidR="00C23ADC" w:rsidRDefault="00C23ADC" w:rsidP="00C23ADC">
      <w:pPr>
        <w:pStyle w:val="Heading1"/>
        <w:jc w:val="both"/>
        <w:rPr>
          <w:rtl/>
        </w:rPr>
      </w:pPr>
      <w:bookmarkStart w:id="1" w:name="_Toc90181135"/>
      <w:r>
        <w:rPr>
          <w:rFonts w:hint="cs"/>
          <w:rtl/>
        </w:rPr>
        <w:t>ضابطه تشخیص حق از حکم</w:t>
      </w:r>
      <w:bookmarkEnd w:id="1"/>
      <w:r>
        <w:rPr>
          <w:rFonts w:hint="cs"/>
          <w:rtl/>
        </w:rPr>
        <w:t xml:space="preserve"> </w:t>
      </w:r>
    </w:p>
    <w:p w:rsidR="001A1EA5" w:rsidRDefault="00A534C4" w:rsidP="00C23ADC">
      <w:pPr>
        <w:jc w:val="both"/>
        <w:rPr>
          <w:rtl/>
        </w:rPr>
      </w:pPr>
      <w:r>
        <w:rPr>
          <w:rFonts w:hint="cs"/>
          <w:rtl/>
        </w:rPr>
        <w:t>بحث در این باره بود که چگونه می توان تشخیص دارد، یک شیء حق است یا حکم؟</w:t>
      </w:r>
    </w:p>
    <w:p w:rsidR="00C23ADC" w:rsidRDefault="00C23ADC" w:rsidP="00C23ADC">
      <w:pPr>
        <w:pStyle w:val="Heading2"/>
        <w:rPr>
          <w:rtl/>
        </w:rPr>
      </w:pPr>
      <w:bookmarkStart w:id="2" w:name="_Toc90181136"/>
      <w:r>
        <w:rPr>
          <w:rFonts w:hint="cs"/>
          <w:rtl/>
        </w:rPr>
        <w:t>تمسک به روایت محمد بن مسلم برای امضای ضابطه</w:t>
      </w:r>
      <w:bookmarkEnd w:id="2"/>
      <w:r>
        <w:rPr>
          <w:rFonts w:hint="cs"/>
          <w:rtl/>
        </w:rPr>
        <w:t xml:space="preserve"> </w:t>
      </w:r>
    </w:p>
    <w:p w:rsidR="00A534C4" w:rsidRDefault="00A534C4" w:rsidP="00C23ADC">
      <w:pPr>
        <w:jc w:val="both"/>
        <w:rPr>
          <w:rtl/>
        </w:rPr>
      </w:pPr>
      <w:r>
        <w:rPr>
          <w:rFonts w:hint="cs"/>
          <w:rtl/>
        </w:rPr>
        <w:t xml:space="preserve">شهید صدر </w:t>
      </w:r>
      <w:r w:rsidR="00E525AE">
        <w:rPr>
          <w:rFonts w:hint="cs"/>
          <w:rtl/>
        </w:rPr>
        <w:t xml:space="preserve">بنابر نقل آقای حائری </w:t>
      </w:r>
      <w:r>
        <w:rPr>
          <w:rFonts w:hint="cs"/>
          <w:rtl/>
        </w:rPr>
        <w:t>بیان کرد: حق قابلیت اسقاط دارد و ممکن است با رجوع به ارتکازات عقلایی، نکته مشترکی کشف شود که این نکته مشترک، ضابطه تشخیص قابلیت اسقاط باشد. اعتبار شرعی این نکته مشترک به سه طریق است که یکی از آنها رجوع به برخی از روایات است که از آنها استفاده می شود شارع ارتکاز عقلایی را امضا کرده است. روایت مورد اشاره ایشان، صحیحه محمد بن مسلم است:</w:t>
      </w:r>
    </w:p>
    <w:p w:rsidR="00A534C4" w:rsidRDefault="00E525AE" w:rsidP="00C23ADC">
      <w:pPr>
        <w:jc w:val="both"/>
        <w:rPr>
          <w:color w:val="008000"/>
          <w:rtl/>
        </w:rPr>
      </w:pPr>
      <w:r w:rsidRPr="00E525AE">
        <w:rPr>
          <w:color w:val="008000"/>
          <w:rtl/>
        </w:rPr>
        <w:t>عَنْ مُحَمَّدِ بْنِ مُسْلِمٍ عَنْ أَبِي جَعْفَرٍ ع قَالَ: قُلْتُ لَهُ رَجُلٌ جَنَى إِلَيَّ أَعْفُو عَنْهُ أَوْ أَرْفَعُهُ إِلَى السُّلْطَانِ قَالَ هُوَ حَقُّكَ إِنْ عَفَوْتَ عَنْهُ فَحَسَنٌ وَ إِنْ رَفَعْتَهُ إِلَى الْإِمَامِ فَإِنَّمَا طَلَبْتَ حَقَّكَ وَ كَيْفَ لَكَ بِالْإِمَامِ.</w:t>
      </w:r>
      <w:r>
        <w:rPr>
          <w:rStyle w:val="FootnoteReference"/>
          <w:color w:val="008000"/>
          <w:rtl/>
        </w:rPr>
        <w:footnoteReference w:id="1"/>
      </w:r>
    </w:p>
    <w:p w:rsidR="00C23ADC" w:rsidRDefault="00C23ADC" w:rsidP="00C23ADC">
      <w:pPr>
        <w:pStyle w:val="Heading3"/>
        <w:rPr>
          <w:rtl/>
        </w:rPr>
      </w:pPr>
      <w:bookmarkStart w:id="3" w:name="_Toc90181137"/>
      <w:r>
        <w:rPr>
          <w:rFonts w:hint="cs"/>
          <w:rtl/>
        </w:rPr>
        <w:t>اشکال به استدلال</w:t>
      </w:r>
      <w:bookmarkEnd w:id="3"/>
      <w:r>
        <w:rPr>
          <w:rFonts w:hint="cs"/>
          <w:rtl/>
        </w:rPr>
        <w:t xml:space="preserve"> </w:t>
      </w:r>
    </w:p>
    <w:p w:rsidR="00E525AE" w:rsidRDefault="00E525AE" w:rsidP="00C23ADC">
      <w:pPr>
        <w:jc w:val="both"/>
        <w:rPr>
          <w:rtl/>
        </w:rPr>
      </w:pPr>
      <w:r>
        <w:rPr>
          <w:rFonts w:hint="cs"/>
          <w:rtl/>
        </w:rPr>
        <w:t xml:space="preserve">بیان شد: استدلال به این روایت برای امضای ضابطه عقلایی تشخیص اسقاط پذیری از عدم اسقاط پذیری صحیح نیست زیرا، </w:t>
      </w:r>
    </w:p>
    <w:p w:rsidR="00E525AE" w:rsidRDefault="00E525AE" w:rsidP="00C23ADC">
      <w:pPr>
        <w:jc w:val="both"/>
        <w:rPr>
          <w:rtl/>
        </w:rPr>
      </w:pPr>
      <w:r>
        <w:rPr>
          <w:rFonts w:hint="cs"/>
          <w:rtl/>
        </w:rPr>
        <w:t>اولا: روشن نیست ضابطه عقلایی برای تشخیص اسقاط پذیری از عدم اسقاط پذیری چیست که در این روایت این ضابطه امضا شده است.</w:t>
      </w:r>
    </w:p>
    <w:p w:rsidR="00E525AE" w:rsidRDefault="00E525AE" w:rsidP="00C23ADC">
      <w:pPr>
        <w:jc w:val="both"/>
        <w:rPr>
          <w:rtl/>
        </w:rPr>
      </w:pPr>
      <w:r>
        <w:rPr>
          <w:rFonts w:hint="cs"/>
          <w:rtl/>
        </w:rPr>
        <w:lastRenderedPageBreak/>
        <w:t xml:space="preserve">ثانیا: این روایت در این مقام نیست که بیان کند: «کل حقّ یصح اسقاطه» زیرا عفو اسقاط حقّ نیست و خود عفو، نوعی اعمال حقّ است. معنای عفو خداوند از بندگان نیز اسقاط حق نیست و عفوی که در مورد خدا به کار می رود عین عفوی است که در مورد بنده به کار می رود. بنابراین عفو، اسقاط حقّ نیست و اعمال حقّ است. </w:t>
      </w:r>
    </w:p>
    <w:p w:rsidR="00830A97" w:rsidRDefault="00830A97" w:rsidP="00C23ADC">
      <w:pPr>
        <w:jc w:val="both"/>
        <w:rPr>
          <w:rtl/>
        </w:rPr>
      </w:pPr>
      <w:r>
        <w:rPr>
          <w:rFonts w:hint="cs"/>
          <w:rtl/>
        </w:rPr>
        <w:t>در جلسه قبل به این نکته نیز اشاره شد که حتی اگر بعد از عفو، حق قابل اعمال نیز نباشد، با اعمال حق بودن عفو منافات ندارد زیرا امکان دارد متعلّق خیار بدوی باشد نه استمراری.</w:t>
      </w:r>
    </w:p>
    <w:p w:rsidR="00A63FF3" w:rsidRDefault="00A63FF3" w:rsidP="00A63FF3">
      <w:pPr>
        <w:pStyle w:val="Heading4"/>
        <w:rPr>
          <w:rtl/>
        </w:rPr>
      </w:pPr>
      <w:bookmarkStart w:id="4" w:name="_Toc90181138"/>
      <w:r>
        <w:rPr>
          <w:rFonts w:hint="cs"/>
          <w:rtl/>
        </w:rPr>
        <w:t>عدم جواز رجوع مجنی علیه پس از عفو</w:t>
      </w:r>
      <w:bookmarkEnd w:id="4"/>
      <w:r>
        <w:rPr>
          <w:rFonts w:hint="cs"/>
          <w:rtl/>
        </w:rPr>
        <w:t xml:space="preserve"> </w:t>
      </w:r>
    </w:p>
    <w:p w:rsidR="008F5EF7" w:rsidRDefault="00E525AE" w:rsidP="00C23ADC">
      <w:pPr>
        <w:jc w:val="both"/>
        <w:rPr>
          <w:rtl/>
        </w:rPr>
      </w:pPr>
      <w:r>
        <w:rPr>
          <w:rFonts w:hint="cs"/>
          <w:rtl/>
        </w:rPr>
        <w:t xml:space="preserve">این سوال مطرح است که آیا مجنی علیه می تواند پس از عفو برگردد و حق را اعمال کند؟ </w:t>
      </w:r>
    </w:p>
    <w:p w:rsidR="00830A97" w:rsidRDefault="000653EC" w:rsidP="00C23ADC">
      <w:pPr>
        <w:jc w:val="both"/>
        <w:rPr>
          <w:rtl/>
        </w:rPr>
      </w:pPr>
      <w:r>
        <w:rPr>
          <w:rFonts w:hint="cs"/>
          <w:rtl/>
        </w:rPr>
        <w:t xml:space="preserve">مفاد برخی از روایات عدم جواز رجوع بعد از عفو است. </w:t>
      </w:r>
    </w:p>
    <w:p w:rsidR="000653EC" w:rsidRDefault="000653EC" w:rsidP="00C23ADC">
      <w:pPr>
        <w:jc w:val="both"/>
        <w:rPr>
          <w:rtl/>
        </w:rPr>
      </w:pPr>
      <w:r>
        <w:rPr>
          <w:rFonts w:hint="cs"/>
          <w:rtl/>
        </w:rPr>
        <w:t>در صحیحه سماعه وارد شده است:</w:t>
      </w:r>
    </w:p>
    <w:p w:rsidR="000653EC" w:rsidRPr="000653EC" w:rsidRDefault="000653EC" w:rsidP="00C23ADC">
      <w:pPr>
        <w:jc w:val="both"/>
        <w:rPr>
          <w:color w:val="008000"/>
          <w:rtl/>
        </w:rPr>
      </w:pPr>
      <w:r w:rsidRPr="000653EC">
        <w:rPr>
          <w:color w:val="008000"/>
          <w:rtl/>
        </w:rPr>
        <w:t>عَنْ سَمَاعَةَ قَالَ: سَأَلْتُ أَبَا عَبْدِ اللَّهِ ع عَنِ الرَّجُلِ يَقْذِفُ الرَّجُلَ بِالزِّنَى فَيَعْفُو عَنْهُ وَ يَجْعَلُهُ مِنْ ذَلِكَ فِي حِلٍّ ثُمَّ إِنَّهُ بَعْدُ يَبْدُو لَهُ فِي أَنْ يُقَدِّمَهُ حَتَّى يَجْلِدَهُ قَالَ فَقَالَ لَيْسَ لَهُ حَدٌّ بَعْدَ الْعَفْوِ فَقُلْتُ لَهُ أَ رَأَيْتَ إِنْ هُوَ قَالَ يَا ابْنَ الزَّانِيَةِ فَعَفَا عَنْهُ وَ تَرَكَ ذَلِكَ لِلَّهِ فَقَالَ إِنْ كَانَتْ أُمُّهُ حَيَّةً فَلَيْسَ لَهُ أَنْ يَعْفُوَ الْعَفْوُ إِلَى أُمِّهِ مَتَى شَاءَتْ أَخَذَتْ بِحَقِّهَا قَالَ فَإِنْ كَانَتْ أُمُّهُ قَدْ مَاتَتْ فَإِنَّهُ وَلِيُّ أَمْرِهَا يَجُوزُ عَفْوُهُ.</w:t>
      </w:r>
      <w:r>
        <w:rPr>
          <w:rStyle w:val="FootnoteReference"/>
          <w:color w:val="008000"/>
          <w:rtl/>
        </w:rPr>
        <w:footnoteReference w:id="2"/>
      </w:r>
    </w:p>
    <w:p w:rsidR="000653EC" w:rsidRDefault="000653EC" w:rsidP="00C23ADC">
      <w:pPr>
        <w:jc w:val="both"/>
        <w:rPr>
          <w:rtl/>
        </w:rPr>
      </w:pPr>
      <w:r>
        <w:rPr>
          <w:rFonts w:hint="cs"/>
          <w:rtl/>
        </w:rPr>
        <w:t xml:space="preserve">مقذوف از قاذف عفو می کند و حضرت علیه السلام می فرماید: پس از عفو دیگر حدّی وجود ندارد. </w:t>
      </w:r>
    </w:p>
    <w:p w:rsidR="000653EC" w:rsidRDefault="000653EC" w:rsidP="00C23ADC">
      <w:pPr>
        <w:jc w:val="both"/>
        <w:rPr>
          <w:rtl/>
        </w:rPr>
      </w:pPr>
      <w:r>
        <w:rPr>
          <w:rFonts w:hint="cs"/>
          <w:rtl/>
        </w:rPr>
        <w:t xml:space="preserve">همانگونه که بیان شد، این مطلب به این معنا نیست که عفو اسقاط حقّ است زیرا ممکن است حق قذف به این تعلّق گرفته باشد که می تواند حدّ را جاری را کند یا از آن در گذرد و با ایجاد صرف الوجود عفو، حقّ خود را اعمال کرده است. </w:t>
      </w:r>
    </w:p>
    <w:p w:rsidR="000653EC" w:rsidRDefault="000653EC" w:rsidP="00A63FF3">
      <w:pPr>
        <w:jc w:val="both"/>
        <w:rPr>
          <w:rtl/>
        </w:rPr>
      </w:pPr>
      <w:r>
        <w:rPr>
          <w:rFonts w:hint="cs"/>
          <w:rtl/>
        </w:rPr>
        <w:t>در باب بعدی همین روایت را البته با مقداری تفاوت دارد:</w:t>
      </w:r>
    </w:p>
    <w:p w:rsidR="000653EC" w:rsidRDefault="000653EC" w:rsidP="00C23ADC">
      <w:pPr>
        <w:jc w:val="both"/>
        <w:rPr>
          <w:color w:val="008000"/>
          <w:rtl/>
        </w:rPr>
      </w:pPr>
      <w:r w:rsidRPr="000653EC">
        <w:rPr>
          <w:color w:val="008000"/>
          <w:rtl/>
        </w:rPr>
        <w:t>عَنْ سَمَاعَةَ بْنِ مِهْرَانَ عَنْ أَبِي عَبْدِ اللَّهِ ع قَالَ: سَأَلْتُهُ عَنِ الرَّجُلِ يَفْتَرِي عَلَى الرَّجُلِ فَيَعْفُو عَنْهُ ثُمَّ يُرِيدُ أَنْ يَجْلِدَهُ بَعْدَ الْعَفْوِ قَالَ لَيْسَ لَهُ أَنْ يَجْلِدَهُ بَعْدَ الْعَفْوِ.</w:t>
      </w:r>
      <w:r>
        <w:rPr>
          <w:rStyle w:val="FootnoteReference"/>
          <w:color w:val="008000"/>
          <w:rtl/>
        </w:rPr>
        <w:footnoteReference w:id="3"/>
      </w:r>
    </w:p>
    <w:p w:rsidR="00A63FF3" w:rsidRDefault="00A63FF3" w:rsidP="00A63FF3">
      <w:pPr>
        <w:pStyle w:val="Heading3"/>
        <w:rPr>
          <w:rtl/>
        </w:rPr>
      </w:pPr>
      <w:bookmarkStart w:id="5" w:name="_Toc90181139"/>
      <w:r>
        <w:rPr>
          <w:rFonts w:hint="cs"/>
          <w:rtl/>
        </w:rPr>
        <w:t>عدم دلالت روایت محمد بن مسلم بر قابلیت اسقاط حق</w:t>
      </w:r>
      <w:bookmarkEnd w:id="5"/>
    </w:p>
    <w:p w:rsidR="000653EC" w:rsidRDefault="000653EC" w:rsidP="00C23ADC">
      <w:pPr>
        <w:jc w:val="both"/>
        <w:rPr>
          <w:rtl/>
        </w:rPr>
      </w:pPr>
      <w:r>
        <w:rPr>
          <w:rFonts w:hint="cs"/>
          <w:rtl/>
        </w:rPr>
        <w:t xml:space="preserve">حال بر فرض اینکه عفو، اسقاط حقّ باشد، آیا از روایت محمد بن مسلم استفاده می شود که «کل حقّ قابل للاسقاط» و اینکه بین حقّ و قابلیت اسقاط ملازمه </w:t>
      </w:r>
      <w:r w:rsidR="00A63FF3">
        <w:rPr>
          <w:rFonts w:hint="cs"/>
          <w:rtl/>
        </w:rPr>
        <w:t xml:space="preserve">وجود </w:t>
      </w:r>
      <w:r>
        <w:rPr>
          <w:rFonts w:hint="cs"/>
          <w:rtl/>
        </w:rPr>
        <w:t>دارد؟</w:t>
      </w:r>
    </w:p>
    <w:p w:rsidR="00A63FF3" w:rsidRDefault="000653EC" w:rsidP="00A63FF3">
      <w:pPr>
        <w:jc w:val="both"/>
        <w:rPr>
          <w:rtl/>
        </w:rPr>
      </w:pPr>
      <w:r>
        <w:rPr>
          <w:rFonts w:hint="cs"/>
          <w:rtl/>
        </w:rPr>
        <w:lastRenderedPageBreak/>
        <w:t>به نظر می رسد چنین مطلبی از روایت استف</w:t>
      </w:r>
      <w:r w:rsidR="00A63FF3">
        <w:rPr>
          <w:rFonts w:hint="cs"/>
          <w:rtl/>
        </w:rPr>
        <w:t>اده نمی شود. در توضیح باید گفت:</w:t>
      </w:r>
    </w:p>
    <w:p w:rsidR="00A63FF3" w:rsidRDefault="00A63FF3" w:rsidP="00A63FF3">
      <w:pPr>
        <w:pStyle w:val="Heading4"/>
        <w:rPr>
          <w:rtl/>
        </w:rPr>
      </w:pPr>
      <w:bookmarkStart w:id="6" w:name="_Toc90181140"/>
      <w:r>
        <w:rPr>
          <w:rFonts w:hint="cs"/>
          <w:rtl/>
        </w:rPr>
        <w:t>مقدمه اول: مسلّم بودن قابلیت عفو قصاص</w:t>
      </w:r>
      <w:bookmarkEnd w:id="6"/>
      <w:r>
        <w:rPr>
          <w:rFonts w:hint="cs"/>
          <w:rtl/>
        </w:rPr>
        <w:t xml:space="preserve"> </w:t>
      </w:r>
    </w:p>
    <w:p w:rsidR="000653EC" w:rsidRDefault="000653EC" w:rsidP="00C23ADC">
      <w:pPr>
        <w:jc w:val="both"/>
      </w:pPr>
      <w:r>
        <w:rPr>
          <w:rFonts w:hint="cs"/>
          <w:rtl/>
        </w:rPr>
        <w:t>سوال سائل (</w:t>
      </w:r>
      <w:r w:rsidRPr="00E525AE">
        <w:rPr>
          <w:color w:val="008000"/>
          <w:rtl/>
        </w:rPr>
        <w:t>رَجُلٌ جَنَى إِلَيَّ أَعْفُو عَنْهُ أَوْ أَرْفَعُهُ إِلَى السُّلْطَانِ</w:t>
      </w:r>
      <w:r>
        <w:rPr>
          <w:rFonts w:hint="cs"/>
          <w:color w:val="008000"/>
          <w:rtl/>
        </w:rPr>
        <w:t xml:space="preserve">) </w:t>
      </w:r>
      <w:r w:rsidRPr="000653EC">
        <w:rPr>
          <w:rFonts w:hint="cs"/>
          <w:rtl/>
        </w:rPr>
        <w:t xml:space="preserve">این نیست که آیا مجنی علیه حق عفو دارد یا نه؟ زیرا حق عفو از نظر عقلایی و آیات و روایات و اجماع مسلمین مسلّم است و شکی در آن نیست. در المغنی ابن قدامه درباره قصاص دارد: </w:t>
      </w:r>
    </w:p>
    <w:p w:rsidR="00EA6542" w:rsidRDefault="00EA6542" w:rsidP="00C23ADC">
      <w:pPr>
        <w:jc w:val="both"/>
        <w:rPr>
          <w:color w:val="000080"/>
          <w:rtl/>
        </w:rPr>
      </w:pPr>
      <w:r w:rsidRPr="00EA6542">
        <w:rPr>
          <w:rFonts w:hint="cs"/>
          <w:color w:val="000080"/>
          <w:rtl/>
        </w:rPr>
        <w:t>ا</w:t>
      </w:r>
      <w:r w:rsidRPr="00EA6542">
        <w:rPr>
          <w:color w:val="000080"/>
          <w:rtl/>
        </w:rPr>
        <w:t>جْمَعَ أَهْلُ الْعِلْمِ عَلَى إجَازَةِ الْعَفْو عَنْ الْقِصَاصِ، وَأَنَّهُ أَفْضَلُ. وَالْأَصْلُ فِيهِ الْكِتَابُ وَالسُّنَّةُ؛</w:t>
      </w:r>
      <w:r>
        <w:rPr>
          <w:rStyle w:val="FootnoteReference"/>
          <w:color w:val="000080"/>
          <w:rtl/>
        </w:rPr>
        <w:footnoteReference w:id="4"/>
      </w:r>
    </w:p>
    <w:p w:rsidR="00EA6542" w:rsidRDefault="00EA6542" w:rsidP="00C23ADC">
      <w:pPr>
        <w:jc w:val="both"/>
        <w:rPr>
          <w:rtl/>
        </w:rPr>
      </w:pPr>
      <w:r>
        <w:rPr>
          <w:rFonts w:hint="cs"/>
          <w:rtl/>
        </w:rPr>
        <w:t>سپس دو آیه را ذکر می کند و به آن استدلال می کند. ایشان دو مطلب را ادعا</w:t>
      </w:r>
      <w:r w:rsidR="00D525F3">
        <w:rPr>
          <w:rFonts w:hint="cs"/>
          <w:rtl/>
        </w:rPr>
        <w:t xml:space="preserve"> کرد: جواز و حسن بودن عفو و دو آیه ای که ایشان به آن استدلال کرده، در اثبات حسن بودن عفو، مناسب نیست و تنها از آنها جواز عفو استفاده می شود. این دو آیه این است:</w:t>
      </w:r>
    </w:p>
    <w:p w:rsidR="00D525F3" w:rsidRDefault="00884B17" w:rsidP="00C23ADC">
      <w:pPr>
        <w:jc w:val="both"/>
        <w:rPr>
          <w:color w:val="008000"/>
          <w:rtl/>
        </w:rPr>
      </w:pPr>
      <w:r>
        <w:rPr>
          <w:rFonts w:cs="Times New Roman"/>
          <w:color w:val="008000"/>
          <w:rtl/>
        </w:rPr>
        <w:t>﴿</w:t>
      </w:r>
      <w:r w:rsidRPr="00884B17">
        <w:rPr>
          <w:color w:val="008000"/>
          <w:rtl/>
        </w:rPr>
        <w:t>يَا أَيُّهَا الَّذِينَ آمَنُوا كُتِبَ عَلَيْكُمُ الْقِصَاصُ فِي الْقَتْلَى الْحُرُّ بِالْحُرِّ وَ الْعَبْدُ بِالْعَبْدِ وَ الْأُنْثَى بِالْأُنْثَى فَمَنْ عُفِيَ لَهُ مِنْ أَخِيهِ شَيْ‌ءٌ فَاتِّبَاعٌ بِالْمَعْرُوفِ وَ أَدَاءٌ إِلَيْهِ بِإِحْسَانٍ ذ</w:t>
      </w:r>
      <w:r w:rsidRPr="00884B17">
        <w:rPr>
          <w:rFonts w:hint="cs"/>
          <w:color w:val="008000"/>
          <w:rtl/>
        </w:rPr>
        <w:t>لِكَ</w:t>
      </w:r>
      <w:r w:rsidRPr="00884B17">
        <w:rPr>
          <w:color w:val="008000"/>
          <w:rtl/>
        </w:rPr>
        <w:t xml:space="preserve"> </w:t>
      </w:r>
      <w:r w:rsidRPr="00884B17">
        <w:rPr>
          <w:rFonts w:hint="cs"/>
          <w:color w:val="008000"/>
          <w:rtl/>
        </w:rPr>
        <w:t>تَخْفِيفٌ</w:t>
      </w:r>
      <w:r w:rsidRPr="00884B17">
        <w:rPr>
          <w:color w:val="008000"/>
          <w:rtl/>
        </w:rPr>
        <w:t xml:space="preserve"> </w:t>
      </w:r>
      <w:r w:rsidRPr="00884B17">
        <w:rPr>
          <w:rFonts w:hint="cs"/>
          <w:color w:val="008000"/>
          <w:rtl/>
        </w:rPr>
        <w:t>مِنْ</w:t>
      </w:r>
      <w:r w:rsidRPr="00884B17">
        <w:rPr>
          <w:color w:val="008000"/>
          <w:rtl/>
        </w:rPr>
        <w:t xml:space="preserve"> </w:t>
      </w:r>
      <w:r w:rsidRPr="00884B17">
        <w:rPr>
          <w:rFonts w:hint="cs"/>
          <w:color w:val="008000"/>
          <w:rtl/>
        </w:rPr>
        <w:t>رَبِّكُمْ</w:t>
      </w:r>
      <w:r w:rsidRPr="00884B17">
        <w:rPr>
          <w:color w:val="008000"/>
          <w:rtl/>
        </w:rPr>
        <w:t xml:space="preserve"> </w:t>
      </w:r>
      <w:r w:rsidRPr="00884B17">
        <w:rPr>
          <w:rFonts w:hint="cs"/>
          <w:color w:val="008000"/>
          <w:rtl/>
        </w:rPr>
        <w:t>وَ</w:t>
      </w:r>
      <w:r w:rsidRPr="00884B17">
        <w:rPr>
          <w:color w:val="008000"/>
          <w:rtl/>
        </w:rPr>
        <w:t xml:space="preserve"> </w:t>
      </w:r>
      <w:r w:rsidRPr="00884B17">
        <w:rPr>
          <w:rFonts w:hint="cs"/>
          <w:color w:val="008000"/>
          <w:rtl/>
        </w:rPr>
        <w:t>رَحْمَةٌ</w:t>
      </w:r>
      <w:r w:rsidRPr="00884B17">
        <w:rPr>
          <w:color w:val="008000"/>
          <w:rtl/>
        </w:rPr>
        <w:t xml:space="preserve"> </w:t>
      </w:r>
      <w:r w:rsidRPr="00884B17">
        <w:rPr>
          <w:rFonts w:hint="cs"/>
          <w:color w:val="008000"/>
          <w:rtl/>
        </w:rPr>
        <w:t>فَمَنِ</w:t>
      </w:r>
      <w:r w:rsidRPr="00884B17">
        <w:rPr>
          <w:color w:val="008000"/>
          <w:rtl/>
        </w:rPr>
        <w:t xml:space="preserve"> اعْتَدَى بَعْدَ ذ</w:t>
      </w:r>
      <w:r w:rsidRPr="00884B17">
        <w:rPr>
          <w:rFonts w:hint="cs"/>
          <w:color w:val="008000"/>
          <w:rtl/>
        </w:rPr>
        <w:t>لِكَ</w:t>
      </w:r>
      <w:r w:rsidRPr="00884B17">
        <w:rPr>
          <w:color w:val="008000"/>
          <w:rtl/>
        </w:rPr>
        <w:t xml:space="preserve"> </w:t>
      </w:r>
      <w:r w:rsidRPr="00884B17">
        <w:rPr>
          <w:rFonts w:hint="cs"/>
          <w:color w:val="008000"/>
          <w:rtl/>
        </w:rPr>
        <w:t>فَلَهُ</w:t>
      </w:r>
      <w:r w:rsidRPr="00884B17">
        <w:rPr>
          <w:color w:val="008000"/>
          <w:rtl/>
        </w:rPr>
        <w:t xml:space="preserve"> </w:t>
      </w:r>
      <w:r w:rsidRPr="00884B17">
        <w:rPr>
          <w:rFonts w:hint="cs"/>
          <w:color w:val="008000"/>
          <w:rtl/>
        </w:rPr>
        <w:t>عَذَابٌ</w:t>
      </w:r>
      <w:r w:rsidRPr="00884B17">
        <w:rPr>
          <w:color w:val="008000"/>
          <w:rtl/>
        </w:rPr>
        <w:t xml:space="preserve"> </w:t>
      </w:r>
      <w:r w:rsidRPr="00884B17">
        <w:rPr>
          <w:rFonts w:hint="cs"/>
          <w:color w:val="008000"/>
          <w:rtl/>
        </w:rPr>
        <w:t>أَلِي</w:t>
      </w:r>
      <w:r w:rsidR="00D525F3" w:rsidRPr="00884B17">
        <w:rPr>
          <w:rFonts w:hint="cs"/>
          <w:color w:val="008000"/>
          <w:rtl/>
        </w:rPr>
        <w:t>م</w:t>
      </w:r>
      <w:r w:rsidRPr="00295582">
        <w:rPr>
          <w:rFonts w:cs="Times New Roman"/>
          <w:color w:val="008000"/>
          <w:rtl/>
        </w:rPr>
        <w:t>﴾</w:t>
      </w:r>
      <w:r w:rsidR="00D525F3" w:rsidRPr="00295582">
        <w:rPr>
          <w:rFonts w:cs="Times New Roman"/>
          <w:color w:val="008000"/>
          <w:rtl/>
        </w:rPr>
        <w:t>ٌ</w:t>
      </w:r>
      <w:r w:rsidR="00D525F3">
        <w:rPr>
          <w:rStyle w:val="FootnoteReference"/>
          <w:color w:val="008000"/>
          <w:rtl/>
        </w:rPr>
        <w:footnoteReference w:id="5"/>
      </w:r>
    </w:p>
    <w:p w:rsidR="00884B17" w:rsidRDefault="00D525F3" w:rsidP="00A63FF3">
      <w:pPr>
        <w:jc w:val="both"/>
        <w:rPr>
          <w:rtl/>
        </w:rPr>
      </w:pPr>
      <w:r>
        <w:rPr>
          <w:rFonts w:hint="cs"/>
          <w:rtl/>
        </w:rPr>
        <w:t>در مراد از «فمن عفی له من اخیه شیء فاتّباع بالمعروف و اداء الیه باحسان» اختلاف است که آیا هر دو درباره معفو له (جانی) است یا یکی درباره معفو له و یکی درباره عافی است؟ معروف شاید این باشد که «فاتباع بالمعروف» درباره عافی است و «اداء الیه باحسان» درباره معفو الیه است. به این معنا که اگر به وسیله مال از حق قصاص گذشت</w:t>
      </w:r>
      <w:r w:rsidR="00A63FF3">
        <w:rPr>
          <w:rFonts w:hint="cs"/>
          <w:rtl/>
        </w:rPr>
        <w:t xml:space="preserve"> شد</w:t>
      </w:r>
      <w:r>
        <w:rPr>
          <w:rFonts w:hint="cs"/>
          <w:rtl/>
        </w:rPr>
        <w:t xml:space="preserve"> و دیه گرفت</w:t>
      </w:r>
      <w:r w:rsidR="00A63FF3">
        <w:rPr>
          <w:rFonts w:hint="cs"/>
          <w:rtl/>
        </w:rPr>
        <w:t>ه شد</w:t>
      </w:r>
      <w:r>
        <w:rPr>
          <w:rFonts w:hint="cs"/>
          <w:rtl/>
        </w:rPr>
        <w:t xml:space="preserve">، دو وظیفه وجود دارد که یکی متوجه به مجنی علیه یا ورثه اوست که نباید منت بگذارد و حق قصاص مجدّد ندارد پس «فاتباع بالمعروف» به این معناست که باید بعد از عفو رفتار بالمعروف داشته باشد. </w:t>
      </w:r>
      <w:r w:rsidR="00884B17">
        <w:rPr>
          <w:rFonts w:hint="cs"/>
          <w:rtl/>
        </w:rPr>
        <w:t>وظیفه دیگر</w:t>
      </w:r>
      <w:r>
        <w:rPr>
          <w:rFonts w:hint="cs"/>
          <w:rtl/>
        </w:rPr>
        <w:t xml:space="preserve"> متوجه </w:t>
      </w:r>
      <w:r w:rsidR="00884B17">
        <w:rPr>
          <w:rFonts w:hint="cs"/>
          <w:rtl/>
        </w:rPr>
        <w:t>جانی</w:t>
      </w:r>
      <w:r w:rsidR="00A63FF3">
        <w:rPr>
          <w:rFonts w:hint="cs"/>
          <w:rtl/>
        </w:rPr>
        <w:t xml:space="preserve"> ا</w:t>
      </w:r>
      <w:r>
        <w:rPr>
          <w:rFonts w:hint="cs"/>
          <w:rtl/>
        </w:rPr>
        <w:t>ست</w:t>
      </w:r>
      <w:r w:rsidR="00884B17">
        <w:rPr>
          <w:rFonts w:hint="cs"/>
          <w:rtl/>
        </w:rPr>
        <w:t xml:space="preserve"> که باید دیه را به راحتی اداء کند و باحسان دیه را پرداخت کند و امهال و مماطله در پرداخت دیه صحیح نیست. هیچ یک از این دو وظیفه ارتباطی به حسن بودن عفو ندارند و تنها مجاز بودن عفو از آن استفاده می شود. البته چون در مقام بیان حکم دیگر است، نمی توان استفاده کرد مجاز بودن عفو علی وجه الاطلاق است به همین دلیل اگر عفو مختص به صورت خاصی باشد، با این آیه مخالفت نشده است. زیرا در آیه بیان شده: جانی باید بدون مماطله مال جایگزین قصاص را پرداخت کند و مجنی علیه به خاطر عفو منت نگذارد و از آن استفاده نمی شود که عفو در چه مواردی جایز است. بنابراین این آیه شریفه اولا دالّ بر حسن بودن عفو نیست و ثانیا اطلاق جواز عفو از آن استفاده نمی شود.</w:t>
      </w:r>
    </w:p>
    <w:p w:rsidR="00884B17" w:rsidRDefault="00884B17" w:rsidP="00C23ADC">
      <w:pPr>
        <w:jc w:val="both"/>
        <w:rPr>
          <w:rtl/>
        </w:rPr>
      </w:pPr>
      <w:r>
        <w:rPr>
          <w:rFonts w:hint="cs"/>
          <w:rtl/>
        </w:rPr>
        <w:lastRenderedPageBreak/>
        <w:t>ابن قدامه به آیه دیگری نیز استدلال کرده است:</w:t>
      </w:r>
    </w:p>
    <w:p w:rsidR="00D525F3" w:rsidRDefault="00884B17" w:rsidP="00C23ADC">
      <w:pPr>
        <w:jc w:val="both"/>
        <w:rPr>
          <w:rFonts w:cs="Calibri"/>
          <w:color w:val="008000"/>
          <w:rtl/>
        </w:rPr>
      </w:pPr>
      <w:r>
        <w:rPr>
          <w:rFonts w:cs="Times New Roman"/>
          <w:rtl/>
        </w:rPr>
        <w:t>﴿</w:t>
      </w:r>
      <w:r w:rsidRPr="00884B17">
        <w:rPr>
          <w:color w:val="008000"/>
          <w:rtl/>
        </w:rPr>
        <w:t>وَ كَتَبْنَا عَلَيْهِمْ فِيهَا أَنَّ النَّفْسَ بِالنَّفْسِ وَ الْعَيْنَ بِالْعَيْنِ وَ الْأَنْفَ بِالْأَنْفِ وَ الْأُذُنَ بِالْأُذُنِ وَ السِّنَّ بِالسِّنِّ وَ الْجُرُوحَ قِصَاصٌ فَمَنْ تَصَدَّقَ بِهِ فَهُوَ كَفَّارَةٌ لَهُ وَ مَنْ لَمْ يَحْكُمْ بِمَا أَنْزَلَ اللَّهُ فَأُول</w:t>
      </w:r>
      <w:r w:rsidRPr="00884B17">
        <w:rPr>
          <w:rFonts w:hint="cs"/>
          <w:color w:val="008000"/>
          <w:rtl/>
        </w:rPr>
        <w:t>ئِكَ</w:t>
      </w:r>
      <w:r w:rsidRPr="00884B17">
        <w:rPr>
          <w:color w:val="008000"/>
          <w:rtl/>
        </w:rPr>
        <w:t xml:space="preserve"> </w:t>
      </w:r>
      <w:r w:rsidRPr="00884B17">
        <w:rPr>
          <w:rFonts w:hint="cs"/>
          <w:color w:val="008000"/>
          <w:rtl/>
        </w:rPr>
        <w:t>هُمُ</w:t>
      </w:r>
      <w:r w:rsidRPr="00884B17">
        <w:rPr>
          <w:color w:val="008000"/>
          <w:rtl/>
        </w:rPr>
        <w:t xml:space="preserve"> </w:t>
      </w:r>
      <w:r w:rsidRPr="00884B17">
        <w:rPr>
          <w:rFonts w:hint="cs"/>
          <w:color w:val="008000"/>
          <w:rtl/>
        </w:rPr>
        <w:t>الظَّالِمُون</w:t>
      </w:r>
      <w:r w:rsidRPr="00884B17">
        <w:rPr>
          <w:color w:val="008000"/>
          <w:rtl/>
        </w:rPr>
        <w:t>َ</w:t>
      </w:r>
      <w:r w:rsidRPr="00295582">
        <w:rPr>
          <w:rFonts w:cs="Times New Roman"/>
          <w:color w:val="008000"/>
          <w:rtl/>
        </w:rPr>
        <w:t>﴾</w:t>
      </w:r>
      <w:r>
        <w:rPr>
          <w:rStyle w:val="FootnoteReference"/>
          <w:rFonts w:cs="Calibri"/>
          <w:color w:val="008000"/>
          <w:rtl/>
        </w:rPr>
        <w:footnoteReference w:id="6"/>
      </w:r>
    </w:p>
    <w:p w:rsidR="00973827" w:rsidRDefault="00884B17" w:rsidP="00C23ADC">
      <w:pPr>
        <w:jc w:val="both"/>
        <w:rPr>
          <w:rtl/>
        </w:rPr>
      </w:pPr>
      <w:r>
        <w:rPr>
          <w:rFonts w:hint="cs"/>
          <w:rtl/>
        </w:rPr>
        <w:t xml:space="preserve">«فمن تصدّق به» به معنای تصدّق بالقصاص است که مراد از آن بخشیدن قصاص است. </w:t>
      </w:r>
      <w:r w:rsidR="00973827">
        <w:rPr>
          <w:rFonts w:hint="cs"/>
          <w:rtl/>
        </w:rPr>
        <w:t xml:space="preserve">مراد از </w:t>
      </w:r>
      <w:r>
        <w:rPr>
          <w:rFonts w:hint="cs"/>
          <w:rtl/>
        </w:rPr>
        <w:t>«فهو کفاره له»</w:t>
      </w:r>
      <w:r w:rsidR="00973827">
        <w:rPr>
          <w:rFonts w:hint="cs"/>
          <w:rtl/>
        </w:rPr>
        <w:t>؛</w:t>
      </w:r>
    </w:p>
    <w:p w:rsidR="00973827" w:rsidRDefault="00884B17" w:rsidP="00C23ADC">
      <w:pPr>
        <w:pStyle w:val="ListParagraph"/>
        <w:numPr>
          <w:ilvl w:val="0"/>
          <w:numId w:val="16"/>
        </w:numPr>
        <w:jc w:val="both"/>
        <w:rPr>
          <w:rtl/>
        </w:rPr>
      </w:pPr>
      <w:r>
        <w:rPr>
          <w:rFonts w:hint="cs"/>
          <w:rtl/>
        </w:rPr>
        <w:t xml:space="preserve">می تواند کفاره برای متصدّق باشد به این معنا که با عفو کردن، گناه کسی که قصاص نکرده و عفو کرده، آمرزیده می شود. </w:t>
      </w:r>
      <w:r w:rsidR="00973827">
        <w:rPr>
          <w:rFonts w:hint="cs"/>
          <w:rtl/>
        </w:rPr>
        <w:t>مطابق</w:t>
      </w:r>
      <w:r>
        <w:rPr>
          <w:rFonts w:hint="cs"/>
          <w:rtl/>
        </w:rPr>
        <w:t xml:space="preserve"> این فرض، </w:t>
      </w:r>
      <w:r w:rsidR="00973827">
        <w:rPr>
          <w:rFonts w:hint="cs"/>
          <w:rtl/>
        </w:rPr>
        <w:t xml:space="preserve">آیه </w:t>
      </w:r>
      <w:r>
        <w:rPr>
          <w:rFonts w:hint="cs"/>
          <w:rtl/>
        </w:rPr>
        <w:t xml:space="preserve">دالّ بر جواز و حسن عفو است. </w:t>
      </w:r>
    </w:p>
    <w:p w:rsidR="00884B17" w:rsidRDefault="00884B17" w:rsidP="00C23ADC">
      <w:pPr>
        <w:pStyle w:val="ListParagraph"/>
        <w:numPr>
          <w:ilvl w:val="0"/>
          <w:numId w:val="16"/>
        </w:numPr>
        <w:jc w:val="both"/>
        <w:rPr>
          <w:rtl/>
        </w:rPr>
      </w:pPr>
      <w:r>
        <w:rPr>
          <w:rFonts w:hint="cs"/>
          <w:rtl/>
        </w:rPr>
        <w:t xml:space="preserve">همچنین می تواند کفاره برای جانی باشد به این معنا که گذشت مجنی علیه یا ورثه او، موجب آمرزش گناه جانی است چنانچه اجراء حدّ تطهیر جانی است. پس طبق این احتمال، آیه بیان می کند پاک شدن جانی منحصر در مجازات نیست و با گذشت مجنی علیه یا ورثه او، جانی پاک می شود. مطابق این احتمال، اولا اطلاق جواز از </w:t>
      </w:r>
      <w:r w:rsidR="00973827">
        <w:rPr>
          <w:rFonts w:hint="cs"/>
          <w:rtl/>
        </w:rPr>
        <w:t>آیه</w:t>
      </w:r>
      <w:r>
        <w:rPr>
          <w:rFonts w:hint="cs"/>
          <w:rtl/>
        </w:rPr>
        <w:t xml:space="preserve"> استفاده نمی شود و ثانیا دالّ بر حسن عفو نیست. </w:t>
      </w:r>
    </w:p>
    <w:p w:rsidR="00D6732E" w:rsidRDefault="00D6732E" w:rsidP="00C23ADC">
      <w:pPr>
        <w:pStyle w:val="ListParagraph"/>
        <w:numPr>
          <w:ilvl w:val="0"/>
          <w:numId w:val="16"/>
        </w:numPr>
        <w:jc w:val="both"/>
      </w:pPr>
      <w:r>
        <w:rPr>
          <w:rFonts w:hint="cs"/>
          <w:rtl/>
        </w:rPr>
        <w:t>این احتمال نیز وجود دارد که در تصدّق کفاره برای قصاص است و با تصدّق حق رجوع و قصاص دیگر وجود ندارد. مطابق این احتمال، آیه دالّ بر حسن عفو نیست.</w:t>
      </w:r>
      <w:r>
        <w:rPr>
          <w:rStyle w:val="FootnoteReference"/>
          <w:rtl/>
        </w:rPr>
        <w:footnoteReference w:id="7"/>
      </w:r>
    </w:p>
    <w:p w:rsidR="00D6732E" w:rsidRDefault="00D6732E" w:rsidP="00C23ADC">
      <w:pPr>
        <w:jc w:val="both"/>
        <w:rPr>
          <w:rtl/>
        </w:rPr>
      </w:pPr>
      <w:r>
        <w:rPr>
          <w:rFonts w:hint="cs"/>
          <w:rtl/>
        </w:rPr>
        <w:t>شاید ظهور بدوی آیه همان احتمال اول باشد که کفاره برای عافی و متصدّق است چنانچه در برخی از روایات وارد شده است:</w:t>
      </w:r>
    </w:p>
    <w:p w:rsidR="00D6732E" w:rsidRPr="00D6732E" w:rsidRDefault="00D6732E" w:rsidP="00C23ADC">
      <w:pPr>
        <w:jc w:val="both"/>
        <w:rPr>
          <w:color w:val="008000"/>
        </w:rPr>
      </w:pPr>
      <w:r w:rsidRPr="00D6732E">
        <w:rPr>
          <w:color w:val="008000"/>
          <w:rtl/>
        </w:rPr>
        <w:t>يُكَفَّرُ عَنْهُ مِنْ ذُنُوبِهِ بِقَدْرِ مَا عَفَا</w:t>
      </w:r>
      <w:r>
        <w:rPr>
          <w:rStyle w:val="FootnoteReference"/>
          <w:color w:val="008000"/>
          <w:rtl/>
        </w:rPr>
        <w:footnoteReference w:id="8"/>
      </w:r>
    </w:p>
    <w:p w:rsidR="00D6732E" w:rsidRDefault="00D6732E" w:rsidP="00C23ADC">
      <w:pPr>
        <w:jc w:val="both"/>
        <w:rPr>
          <w:rtl/>
        </w:rPr>
      </w:pPr>
      <w:r>
        <w:rPr>
          <w:rFonts w:hint="cs"/>
          <w:rtl/>
        </w:rPr>
        <w:t>آیات دیگری در بحث وجود دارد که به روشنی می توان به آن آیات برای حسن عفو تمسک کرد:</w:t>
      </w:r>
    </w:p>
    <w:p w:rsidR="00295582" w:rsidRDefault="00D6732E" w:rsidP="00A63FF3">
      <w:pPr>
        <w:jc w:val="both"/>
        <w:rPr>
          <w:rtl/>
        </w:rPr>
      </w:pPr>
      <w:r>
        <w:rPr>
          <w:rFonts w:cs="Times New Roman"/>
          <w:color w:val="008000"/>
          <w:rtl/>
        </w:rPr>
        <w:t>﴿</w:t>
      </w:r>
      <w:r w:rsidRPr="00D6732E">
        <w:rPr>
          <w:color w:val="008000"/>
          <w:rtl/>
        </w:rPr>
        <w:t>وَ جَزَاءُ سَيِّئَةٍ سَيِّئَةٌ مِثْلُهَا فَمَنْ عَفَا وَ أَصْلَحَ فَأَجْرُهُ عَلَى اللَّهِ إِنَّهُ لاَ يُحِبُّ الظَّالِمِين</w:t>
      </w:r>
      <w:r w:rsidRPr="00295582">
        <w:rPr>
          <w:rFonts w:cs="Times New Roman"/>
          <w:color w:val="008000"/>
          <w:rtl/>
        </w:rPr>
        <w:t>﴾</w:t>
      </w:r>
      <w:r>
        <w:rPr>
          <w:rStyle w:val="FootnoteReference"/>
          <w:rFonts w:cs="Calibri"/>
          <w:color w:val="008000"/>
          <w:rtl/>
        </w:rPr>
        <w:footnoteReference w:id="9"/>
      </w:r>
      <w:r>
        <w:rPr>
          <w:rFonts w:cs="Calibri" w:hint="cs"/>
          <w:color w:val="008000"/>
          <w:rtl/>
        </w:rPr>
        <w:t xml:space="preserve"> </w:t>
      </w:r>
      <w:r w:rsidRPr="00D6732E">
        <w:rPr>
          <w:rFonts w:hint="cs"/>
          <w:rtl/>
        </w:rPr>
        <w:t xml:space="preserve">در این آیه بیان شده که عافی اجر دارد و همین دالّ بر حسن است. شاید «اصلح» اشاره به نکته ای باشد که در </w:t>
      </w:r>
      <w:r w:rsidR="00A63FF3">
        <w:rPr>
          <w:rFonts w:hint="cs"/>
          <w:rtl/>
        </w:rPr>
        <w:t>روایات</w:t>
      </w:r>
      <w:r w:rsidRPr="00D6732E">
        <w:rPr>
          <w:rFonts w:hint="cs"/>
          <w:rtl/>
        </w:rPr>
        <w:t xml:space="preserve"> وارد شده </w:t>
      </w:r>
      <w:r w:rsidR="00A63FF3">
        <w:rPr>
          <w:rFonts w:hint="cs"/>
          <w:rtl/>
        </w:rPr>
        <w:t>که</w:t>
      </w:r>
      <w:r w:rsidRPr="00D6732E">
        <w:rPr>
          <w:rFonts w:hint="cs"/>
          <w:rtl/>
        </w:rPr>
        <w:t xml:space="preserve"> اگر شخص احساس کند، عفو مضرّ است، عفو مطلوب نیست و عفو در جایی</w:t>
      </w:r>
      <w:r>
        <w:rPr>
          <w:rFonts w:hint="cs"/>
          <w:rtl/>
        </w:rPr>
        <w:t xml:space="preserve"> مطلوب است که عفو موجب ضرر نشود. پس در صورتی که عفو موجب ضرر به عافی یا جامعه و حیات اجتماعی باشد، عفو مطلوب نیست.</w:t>
      </w:r>
    </w:p>
    <w:p w:rsidR="000B57CE" w:rsidRDefault="00295582" w:rsidP="00A63FF3">
      <w:pPr>
        <w:jc w:val="both"/>
        <w:rPr>
          <w:rtl/>
        </w:rPr>
      </w:pPr>
      <w:r>
        <w:rPr>
          <w:rFonts w:cs="Times New Roman"/>
          <w:rtl/>
        </w:rPr>
        <w:lastRenderedPageBreak/>
        <w:t>﴿</w:t>
      </w:r>
      <w:r>
        <w:rPr>
          <w:rFonts w:hint="cs"/>
          <w:rtl/>
        </w:rPr>
        <w:t xml:space="preserve"> </w:t>
      </w:r>
      <w:r w:rsidRPr="00295582">
        <w:rPr>
          <w:color w:val="008000"/>
          <w:rtl/>
        </w:rPr>
        <w:t>وَ إِنْ طَلَّقْتُمُوهُنَّ مِنْ قَبْلِ أَنْ تَمَسُّوهُنَّ وَ قَدْ فَرَضْتُمْ لَهُنَّ فَرِيضَةً فَنِصْفُ مَا فَرَضْتُمْ إِلاَّ أَنْ يَعْفُونَ أَوْ يَعْفُوَ الَّذِي بِيَدِهِ عُقْدَةُ النِّكَاحِ وَ أَنْ تَعْفُوا أَقْرَبُ لِلتَّقْوَى وَ لاَ تَنْسَوُا الْفَضْلَ بَيْنَكُمْ إِنَّ اللَّهَ بِمَا تَعْمَلُونَ بَصِي</w:t>
      </w:r>
      <w:r w:rsidRPr="00295582">
        <w:rPr>
          <w:rFonts w:hint="cs"/>
          <w:color w:val="008000"/>
          <w:rtl/>
        </w:rPr>
        <w:t>ر</w:t>
      </w:r>
      <w:r w:rsidRPr="00295582">
        <w:rPr>
          <w:rFonts w:cs="Times New Roman"/>
          <w:color w:val="008000"/>
          <w:rtl/>
        </w:rPr>
        <w:t>﴾</w:t>
      </w:r>
      <w:r>
        <w:rPr>
          <w:rStyle w:val="FootnoteReference"/>
          <w:rFonts w:cs="Calibri"/>
          <w:color w:val="008000"/>
          <w:rtl/>
        </w:rPr>
        <w:footnoteReference w:id="10"/>
      </w:r>
      <w:r>
        <w:rPr>
          <w:rFonts w:cs="Calibri" w:hint="cs"/>
          <w:color w:val="008000"/>
          <w:rtl/>
        </w:rPr>
        <w:t xml:space="preserve"> </w:t>
      </w:r>
      <w:r w:rsidRPr="00295582">
        <w:rPr>
          <w:rFonts w:hint="cs"/>
          <w:rtl/>
        </w:rPr>
        <w:t xml:space="preserve">در آیه بیان شده که در فرض طلاق قبل از دخول، شوهر باید نصف مهریه را بپردازد مگر زن یا کسی که اختیار نکاح به ید اوست، عفو کند و مهریه را ببخشد. البته عفو به تقوا نزدیک تر است. هر چند قدر مسلّم </w:t>
      </w:r>
      <w:r w:rsidR="00A63FF3">
        <w:rPr>
          <w:rFonts w:hint="cs"/>
          <w:rtl/>
        </w:rPr>
        <w:t>از آِه</w:t>
      </w:r>
      <w:r w:rsidRPr="00295582">
        <w:rPr>
          <w:rFonts w:hint="cs"/>
          <w:rtl/>
        </w:rPr>
        <w:t xml:space="preserve"> عفو از مهریه </w:t>
      </w:r>
      <w:r w:rsidR="00A63FF3">
        <w:rPr>
          <w:rFonts w:hint="cs"/>
          <w:rtl/>
        </w:rPr>
        <w:t>است</w:t>
      </w:r>
      <w:r w:rsidRPr="00295582">
        <w:rPr>
          <w:rFonts w:hint="cs"/>
          <w:rtl/>
        </w:rPr>
        <w:t xml:space="preserve"> اما شاید </w:t>
      </w:r>
      <w:r>
        <w:rPr>
          <w:rFonts w:hint="cs"/>
          <w:rtl/>
        </w:rPr>
        <w:t xml:space="preserve">از این آیه اطلاق استفاده شود و عفو در همه جا اقرب للتقوی </w:t>
      </w:r>
      <w:r w:rsidR="00A63FF3">
        <w:rPr>
          <w:rFonts w:hint="cs"/>
          <w:rtl/>
        </w:rPr>
        <w:t>باشد</w:t>
      </w:r>
      <w:r>
        <w:rPr>
          <w:rFonts w:hint="cs"/>
          <w:rtl/>
        </w:rPr>
        <w:t xml:space="preserve">. </w:t>
      </w:r>
    </w:p>
    <w:p w:rsidR="00A63FF3" w:rsidRDefault="00295582" w:rsidP="00C23ADC">
      <w:pPr>
        <w:jc w:val="both"/>
        <w:rPr>
          <w:rtl/>
        </w:rPr>
      </w:pPr>
      <w:r>
        <w:rPr>
          <w:rFonts w:hint="cs"/>
          <w:rtl/>
        </w:rPr>
        <w:t xml:space="preserve">در نتیجه، بحثی نیست که عفو جایز است و حتی حسن است و آیات و روایات و حکم عقل و عقلا و اجماع دالّ بر آن است. </w:t>
      </w:r>
    </w:p>
    <w:p w:rsidR="00A63FF3" w:rsidRDefault="00A63FF3" w:rsidP="00A63FF3">
      <w:pPr>
        <w:pStyle w:val="Heading4"/>
        <w:rPr>
          <w:rtl/>
        </w:rPr>
      </w:pPr>
      <w:bookmarkStart w:id="7" w:name="_Toc90181141"/>
      <w:r>
        <w:rPr>
          <w:rFonts w:hint="cs"/>
          <w:rtl/>
        </w:rPr>
        <w:t>مقدمه دوم: احتمالات در محطّ سوال در روایت</w:t>
      </w:r>
      <w:bookmarkEnd w:id="7"/>
      <w:r>
        <w:rPr>
          <w:rFonts w:hint="cs"/>
          <w:rtl/>
        </w:rPr>
        <w:t xml:space="preserve"> </w:t>
      </w:r>
    </w:p>
    <w:p w:rsidR="00295582" w:rsidRDefault="00295582" w:rsidP="00C23ADC">
      <w:pPr>
        <w:jc w:val="both"/>
        <w:rPr>
          <w:rtl/>
        </w:rPr>
      </w:pPr>
      <w:r>
        <w:rPr>
          <w:rFonts w:hint="cs"/>
          <w:rtl/>
        </w:rPr>
        <w:t xml:space="preserve">با این فرض، سوال </w:t>
      </w:r>
      <w:r w:rsidRPr="00E525AE">
        <w:rPr>
          <w:color w:val="008000"/>
          <w:rtl/>
        </w:rPr>
        <w:t>رَجُلٌ جَنَى إِلَيَّ أَعْفُو عَنْهُ أَوْ أَرْفَعُهُ إِلَى السُّلْطَانِ</w:t>
      </w:r>
      <w:r>
        <w:rPr>
          <w:rFonts w:hint="cs"/>
          <w:color w:val="008000"/>
          <w:rtl/>
        </w:rPr>
        <w:t xml:space="preserve"> </w:t>
      </w:r>
      <w:r w:rsidRPr="00295582">
        <w:rPr>
          <w:rFonts w:hint="cs"/>
          <w:rtl/>
        </w:rPr>
        <w:t>در روایت محمد بن مسلم از چیست؟</w:t>
      </w:r>
    </w:p>
    <w:p w:rsidR="00A63FF3" w:rsidRDefault="000A7730" w:rsidP="00A63FF3">
      <w:pPr>
        <w:jc w:val="both"/>
        <w:rPr>
          <w:rtl/>
        </w:rPr>
      </w:pPr>
      <w:r>
        <w:rPr>
          <w:rFonts w:hint="cs"/>
          <w:rtl/>
        </w:rPr>
        <w:t>چند احتمال در سوال وجود دارد که هر یک از</w:t>
      </w:r>
      <w:r w:rsidR="00A63FF3">
        <w:rPr>
          <w:rFonts w:hint="cs"/>
          <w:rtl/>
        </w:rPr>
        <w:t xml:space="preserve"> این احتمالات با</w:t>
      </w:r>
      <w:r>
        <w:rPr>
          <w:rFonts w:hint="cs"/>
          <w:rtl/>
        </w:rPr>
        <w:t xml:space="preserve"> روایات دیگر</w:t>
      </w:r>
      <w:r w:rsidR="00A63FF3">
        <w:rPr>
          <w:rFonts w:hint="cs"/>
          <w:rtl/>
        </w:rPr>
        <w:t>ی</w:t>
      </w:r>
      <w:r>
        <w:rPr>
          <w:rFonts w:hint="cs"/>
          <w:rtl/>
        </w:rPr>
        <w:t xml:space="preserve"> </w:t>
      </w:r>
      <w:r w:rsidR="00A63FF3">
        <w:rPr>
          <w:rFonts w:hint="cs"/>
          <w:rtl/>
        </w:rPr>
        <w:t>تأیید می شود:</w:t>
      </w:r>
    </w:p>
    <w:p w:rsidR="000A7730" w:rsidRDefault="000A7730" w:rsidP="00C23ADC">
      <w:pPr>
        <w:jc w:val="both"/>
        <w:rPr>
          <w:rtl/>
        </w:rPr>
      </w:pPr>
      <w:r>
        <w:rPr>
          <w:rFonts w:hint="cs"/>
          <w:rtl/>
        </w:rPr>
        <w:t>احتمال اول این است که سوال</w:t>
      </w:r>
      <w:r w:rsidR="00A63FF3">
        <w:rPr>
          <w:rFonts w:hint="cs"/>
          <w:rtl/>
        </w:rPr>
        <w:t xml:space="preserve"> از بهتر بودن عفو یا رفع به سلط</w:t>
      </w:r>
      <w:r>
        <w:rPr>
          <w:rFonts w:hint="cs"/>
          <w:rtl/>
        </w:rPr>
        <w:t>ان است. شبیه به این سوال در برخی از روایات همین باب وارد شده است. در صحیحه حسین بن ابی العلاء آمده است:</w:t>
      </w:r>
    </w:p>
    <w:p w:rsidR="000A7730" w:rsidRDefault="000A7730" w:rsidP="00C23ADC">
      <w:pPr>
        <w:jc w:val="both"/>
        <w:rPr>
          <w:color w:val="008000"/>
          <w:rtl/>
        </w:rPr>
      </w:pPr>
      <w:r w:rsidRPr="000A7730">
        <w:rPr>
          <w:color w:val="008000"/>
          <w:rtl/>
        </w:rPr>
        <w:t>عَنِ الْحُسَيْنِ بْنِ أَبِي الْعَلَاءِ قَالَ: سَأَلْتُ أَبَا عَبْدِ اللَّهِ ع عَنِ الرَّجُلِ يَأْخُذُ اللِّصَّ يَدَعُهُ أَفْضَلُ أَمْ يَرْفَعُهُ فَقَالَ إِنَّ صَفْوَانَ بْنَ أُمَيَّةَ كَانَ مُتَّكِئاً فِي الْمَسْجِدِ عَلَى رِدَائِهِ فَقَامَ يَبُولُ فَرَجَعَ وَ قَدْ ذُهِبَ بِهِ فَطَلَبَ صَاحِبَهُ فَوَجَدَهُ فَقَدَّمَهُ إِلَى رَسُولِ اللَّهِ ص فَقَالَ اقْطَعُوا يَدَهُ فَقَالَ صَفْوَانُ يَا رَسُولَ اللَّهِ أَنَا أَهَبُ ذَلِكَ لَهُ فَقَالَ لَهُ رَسُولُ اللَّهِ ص أَلَا كَانَ ذَلِكَ قَبْلَ أَنْ تَنْتَهِيَ بِهِ إِلَيَّ</w:t>
      </w:r>
      <w:r w:rsidR="00682D8C">
        <w:rPr>
          <w:rFonts w:hint="cs"/>
          <w:color w:val="008000"/>
          <w:rtl/>
        </w:rPr>
        <w:t>..</w:t>
      </w:r>
      <w:r w:rsidRPr="000A7730">
        <w:rPr>
          <w:color w:val="008000"/>
          <w:rtl/>
        </w:rPr>
        <w:t>.</w:t>
      </w:r>
      <w:r>
        <w:rPr>
          <w:rStyle w:val="FootnoteReference"/>
          <w:color w:val="008000"/>
          <w:rtl/>
        </w:rPr>
        <w:footnoteReference w:id="11"/>
      </w:r>
    </w:p>
    <w:p w:rsidR="000A7730" w:rsidRDefault="000A7730" w:rsidP="00C23ADC">
      <w:pPr>
        <w:jc w:val="both"/>
        <w:rPr>
          <w:rtl/>
        </w:rPr>
      </w:pPr>
      <w:r>
        <w:rPr>
          <w:rFonts w:hint="cs"/>
          <w:rtl/>
        </w:rPr>
        <w:t>با مثالی که حضرت علیه السلام فرمودند، در مقام بیان این هستند که گذشت بهتر از مطالبه حقّ است. همین سوال را حلبی نیز پرسیده است:</w:t>
      </w:r>
    </w:p>
    <w:p w:rsidR="000A7730" w:rsidRDefault="000A7730" w:rsidP="00C23ADC">
      <w:pPr>
        <w:jc w:val="both"/>
        <w:rPr>
          <w:color w:val="008000"/>
          <w:rtl/>
        </w:rPr>
      </w:pPr>
      <w:r w:rsidRPr="000A7730">
        <w:rPr>
          <w:color w:val="008000"/>
          <w:rtl/>
        </w:rPr>
        <w:t>عَنِ الْحَلَبِيِّ عَنْ أَبِي عَبْدِ اللَّهِ ع قَالَ: سَأَلْتُهُ عَنِ الرَّجُلِ يَأْخُذُ اللِّصَّ يَرْفَعُهُ أَوْ يَتْرُكُهُ فَقَالَ إِنَّ صَفْوَانَ بْنَ أُمَيَّةَ كَانَ مُضْطَجِعاً فِي الْمَسْجِدِ الْحَرَامِ فَوَضَعَ رِدَاءَهُ وَ خَرَجَ يُهَرِيقُ الْمَاءَ فَوَجَدَ رِدَاءَهُ قَدْ سُرِقَ حِينَ رَجَعَ إِلَيْهِ فَقَالَ مَنْ ذَهَبَ بِرِدَائِي فَذَهَبَ يَطْلُبُهُ فَأَخَذَ صَاحِبَهُ فَرَفَعَهُ إِلَى النَّبِيِّ ص فَقَالَ النَّبِيُّ ص اقْطَعُوا يَدَهُ فَقَالَ صَفْوَانُ أَ تَقْطَعُ يَدَهُ مِنْ أَجْلِ رِدَائِي يَا رَسُولَ اللَّهِ قَالَ نَعَمْ قَالَ فَأَنَا أَهَبُهُ لَهُ فَقَالَ رَسُولُ اللَّهِ ص فَهَلَّا كَانَ هَذَا قَبْلَ أَنْ تَرْفَعَهُ إِلَيَّ قُلْتُ فَالْإِمَامُ بِمَنْزِلَتِهِ إِذَا رُفِعَ إِلَيْهِ قَالَ نَعَمْ</w:t>
      </w:r>
      <w:r w:rsidR="009552C4">
        <w:rPr>
          <w:rFonts w:hint="cs"/>
          <w:color w:val="008000"/>
          <w:rtl/>
        </w:rPr>
        <w:t>..</w:t>
      </w:r>
      <w:r w:rsidRPr="000A7730">
        <w:rPr>
          <w:color w:val="008000"/>
          <w:rtl/>
        </w:rPr>
        <w:t>.</w:t>
      </w:r>
      <w:r>
        <w:rPr>
          <w:rStyle w:val="FootnoteReference"/>
          <w:color w:val="008000"/>
          <w:rtl/>
        </w:rPr>
        <w:footnoteReference w:id="12"/>
      </w:r>
    </w:p>
    <w:p w:rsidR="005E642A" w:rsidRDefault="009552C4" w:rsidP="00C23ADC">
      <w:pPr>
        <w:jc w:val="both"/>
        <w:rPr>
          <w:rtl/>
        </w:rPr>
      </w:pPr>
      <w:r>
        <w:rPr>
          <w:rFonts w:hint="cs"/>
          <w:rtl/>
        </w:rPr>
        <w:lastRenderedPageBreak/>
        <w:t xml:space="preserve">مراد از «خرج یهریق الماء» با توجه به روایت قبل که «فقام یبول» بود، روشن می شود. </w:t>
      </w:r>
      <w:r w:rsidR="005E642A">
        <w:rPr>
          <w:rFonts w:hint="cs"/>
          <w:rtl/>
        </w:rPr>
        <w:t xml:space="preserve">روایتی درباره حجّ تمتّع وارد شده که پس از آنکه پیامبر ص حج تمتّع را مطرح کردند، عمر اعتراض کرد. در روایت امام صادق علیه السلام اعتراض عمر اینگونه نقل شده است: </w:t>
      </w:r>
      <w:r w:rsidR="005E642A" w:rsidRPr="005E642A">
        <w:rPr>
          <w:rtl/>
        </w:rPr>
        <w:t>نَخْرُجُ حُجَّاجاً وَ رُؤُوسُنَا تَقْطُرُ</w:t>
      </w:r>
      <w:r w:rsidR="005E642A">
        <w:rPr>
          <w:rStyle w:val="FootnoteReference"/>
          <w:rtl/>
        </w:rPr>
        <w:footnoteReference w:id="13"/>
      </w:r>
      <w:r w:rsidR="005E642A">
        <w:rPr>
          <w:rFonts w:hint="cs"/>
          <w:rtl/>
        </w:rPr>
        <w:t xml:space="preserve"> اما در منابع</w:t>
      </w:r>
      <w:r>
        <w:rPr>
          <w:rFonts w:hint="cs"/>
          <w:rtl/>
        </w:rPr>
        <w:t xml:space="preserve"> عامه</w:t>
      </w:r>
      <w:r w:rsidR="005E642A">
        <w:rPr>
          <w:rFonts w:hint="cs"/>
          <w:rtl/>
        </w:rPr>
        <w:t xml:space="preserve"> آمده به این شکل نقل شده است: </w:t>
      </w:r>
      <w:r w:rsidR="005E642A" w:rsidRPr="005E642A">
        <w:rPr>
          <w:rtl/>
        </w:rPr>
        <w:t>فَنَخْرُجُ إِلَيْهَا، وَمَذَاكِيرُنَا تَقْطُرُ مَنِيًّا؟</w:t>
      </w:r>
      <w:r w:rsidR="005E642A">
        <w:rPr>
          <w:rStyle w:val="FootnoteReference"/>
          <w:rtl/>
        </w:rPr>
        <w:footnoteReference w:id="14"/>
      </w:r>
      <w:r>
        <w:rPr>
          <w:rFonts w:hint="cs"/>
          <w:rtl/>
        </w:rPr>
        <w:t xml:space="preserve"> آیت الله والد نقل عامه را ترجیح می دادند که امام صادق علیه السلام تأدب کردند و نقل به معنا کردند. چنانچه ذیل آیه شریفه «او لامستم النساء» وارد شده است: </w:t>
      </w:r>
      <w:r w:rsidRPr="009552C4">
        <w:rPr>
          <w:color w:val="008000"/>
          <w:rtl/>
        </w:rPr>
        <w:t>عَنِ الْحَلَبِيِّ عَنْ أَبِي عَبْدِ اللَّهِ ع قَالَ: سَأَلْتُهُ عَنْ قَوْلِ اللَّهِ عَزَّ وَ جَلَّ- أَوْ ل</w:t>
      </w:r>
      <w:r w:rsidRPr="009552C4">
        <w:rPr>
          <w:rFonts w:hint="cs"/>
          <w:color w:val="008000"/>
          <w:rtl/>
        </w:rPr>
        <w:t>امَسْتُمُ</w:t>
      </w:r>
      <w:r w:rsidRPr="009552C4">
        <w:rPr>
          <w:color w:val="008000"/>
          <w:rtl/>
        </w:rPr>
        <w:t xml:space="preserve"> </w:t>
      </w:r>
      <w:r w:rsidRPr="009552C4">
        <w:rPr>
          <w:rFonts w:hint="cs"/>
          <w:color w:val="008000"/>
          <w:rtl/>
        </w:rPr>
        <w:t>النِّساءَ</w:t>
      </w:r>
      <w:r w:rsidRPr="009552C4">
        <w:rPr>
          <w:color w:val="008000"/>
          <w:rtl/>
        </w:rPr>
        <w:t xml:space="preserve"> </w:t>
      </w:r>
      <w:r w:rsidRPr="009552C4">
        <w:rPr>
          <w:rFonts w:hint="cs"/>
          <w:color w:val="008000"/>
          <w:rtl/>
        </w:rPr>
        <w:t>فَقَالَ</w:t>
      </w:r>
      <w:r w:rsidRPr="009552C4">
        <w:rPr>
          <w:color w:val="008000"/>
          <w:rtl/>
        </w:rPr>
        <w:t xml:space="preserve"> </w:t>
      </w:r>
      <w:r w:rsidRPr="009552C4">
        <w:rPr>
          <w:rFonts w:hint="cs"/>
          <w:color w:val="008000"/>
          <w:rtl/>
        </w:rPr>
        <w:t>هُوَ</w:t>
      </w:r>
      <w:r w:rsidRPr="009552C4">
        <w:rPr>
          <w:color w:val="008000"/>
          <w:rtl/>
        </w:rPr>
        <w:t xml:space="preserve"> </w:t>
      </w:r>
      <w:r w:rsidRPr="009552C4">
        <w:rPr>
          <w:rFonts w:hint="cs"/>
          <w:color w:val="008000"/>
          <w:rtl/>
        </w:rPr>
        <w:t>الْجِمَاعُ</w:t>
      </w:r>
      <w:r w:rsidRPr="009552C4">
        <w:rPr>
          <w:color w:val="008000"/>
          <w:rtl/>
        </w:rPr>
        <w:t xml:space="preserve"> </w:t>
      </w:r>
      <w:r w:rsidRPr="009552C4">
        <w:rPr>
          <w:rFonts w:hint="cs"/>
          <w:color w:val="008000"/>
          <w:rtl/>
        </w:rPr>
        <w:t>وَ</w:t>
      </w:r>
      <w:r w:rsidRPr="009552C4">
        <w:rPr>
          <w:color w:val="008000"/>
          <w:rtl/>
        </w:rPr>
        <w:t xml:space="preserve"> </w:t>
      </w:r>
      <w:r w:rsidRPr="009552C4">
        <w:rPr>
          <w:rFonts w:hint="cs"/>
          <w:color w:val="008000"/>
          <w:rtl/>
        </w:rPr>
        <w:t>لَكِنَّ</w:t>
      </w:r>
      <w:r w:rsidRPr="009552C4">
        <w:rPr>
          <w:color w:val="008000"/>
          <w:rtl/>
        </w:rPr>
        <w:t xml:space="preserve"> </w:t>
      </w:r>
      <w:r w:rsidRPr="009552C4">
        <w:rPr>
          <w:rFonts w:hint="cs"/>
          <w:color w:val="008000"/>
          <w:rtl/>
        </w:rPr>
        <w:t>اللَّهَ</w:t>
      </w:r>
      <w:r w:rsidRPr="009552C4">
        <w:rPr>
          <w:color w:val="008000"/>
          <w:rtl/>
        </w:rPr>
        <w:t xml:space="preserve"> </w:t>
      </w:r>
      <w:r w:rsidRPr="009552C4">
        <w:rPr>
          <w:rFonts w:hint="cs"/>
          <w:color w:val="008000"/>
          <w:rtl/>
        </w:rPr>
        <w:t>سَتِيرٌ</w:t>
      </w:r>
      <w:r w:rsidRPr="009552C4">
        <w:rPr>
          <w:color w:val="008000"/>
          <w:rtl/>
        </w:rPr>
        <w:t xml:space="preserve"> </w:t>
      </w:r>
      <w:r w:rsidRPr="009552C4">
        <w:rPr>
          <w:rFonts w:hint="cs"/>
          <w:color w:val="008000"/>
          <w:rtl/>
        </w:rPr>
        <w:t>يُحِبُّ</w:t>
      </w:r>
      <w:r w:rsidRPr="009552C4">
        <w:rPr>
          <w:color w:val="008000"/>
          <w:rtl/>
        </w:rPr>
        <w:t xml:space="preserve"> </w:t>
      </w:r>
      <w:r w:rsidRPr="009552C4">
        <w:rPr>
          <w:rFonts w:hint="cs"/>
          <w:color w:val="008000"/>
          <w:rtl/>
        </w:rPr>
        <w:t>السَّتْرَ</w:t>
      </w:r>
      <w:r w:rsidRPr="009552C4">
        <w:rPr>
          <w:color w:val="008000"/>
          <w:rtl/>
        </w:rPr>
        <w:t xml:space="preserve"> </w:t>
      </w:r>
      <w:r w:rsidRPr="009552C4">
        <w:rPr>
          <w:rFonts w:hint="cs"/>
          <w:color w:val="008000"/>
          <w:rtl/>
        </w:rPr>
        <w:t>فَلَمْ</w:t>
      </w:r>
      <w:r w:rsidRPr="009552C4">
        <w:rPr>
          <w:color w:val="008000"/>
          <w:rtl/>
        </w:rPr>
        <w:t xml:space="preserve"> </w:t>
      </w:r>
      <w:r w:rsidRPr="009552C4">
        <w:rPr>
          <w:rFonts w:hint="cs"/>
          <w:color w:val="008000"/>
          <w:rtl/>
        </w:rPr>
        <w:t>يُسَمِّ</w:t>
      </w:r>
      <w:r w:rsidRPr="009552C4">
        <w:rPr>
          <w:color w:val="008000"/>
          <w:rtl/>
        </w:rPr>
        <w:t xml:space="preserve"> </w:t>
      </w:r>
      <w:r w:rsidRPr="009552C4">
        <w:rPr>
          <w:rFonts w:hint="cs"/>
          <w:color w:val="008000"/>
          <w:rtl/>
        </w:rPr>
        <w:t>كَمَا</w:t>
      </w:r>
      <w:r w:rsidRPr="009552C4">
        <w:rPr>
          <w:color w:val="008000"/>
          <w:rtl/>
        </w:rPr>
        <w:t xml:space="preserve"> </w:t>
      </w:r>
      <w:r w:rsidRPr="009552C4">
        <w:rPr>
          <w:rFonts w:hint="cs"/>
          <w:color w:val="008000"/>
          <w:rtl/>
        </w:rPr>
        <w:t>تُسَمُّونَ</w:t>
      </w:r>
      <w:r>
        <w:rPr>
          <w:rFonts w:hint="cs"/>
          <w:color w:val="008000"/>
          <w:rtl/>
        </w:rPr>
        <w:t>.</w:t>
      </w:r>
      <w:r>
        <w:rPr>
          <w:rStyle w:val="FootnoteReference"/>
          <w:color w:val="008000"/>
          <w:rtl/>
        </w:rPr>
        <w:footnoteReference w:id="15"/>
      </w:r>
      <w:r>
        <w:rPr>
          <w:rFonts w:hint="cs"/>
          <w:color w:val="008000"/>
          <w:rtl/>
        </w:rPr>
        <w:t xml:space="preserve"> </w:t>
      </w:r>
      <w:r w:rsidRPr="009552C4">
        <w:rPr>
          <w:rFonts w:hint="cs"/>
          <w:rtl/>
        </w:rPr>
        <w:t xml:space="preserve">مرحوم آقای خویی تعبیر می کردند یکی از ویژگی های ادبیات قرآن، مؤدبانه بودن آن است. </w:t>
      </w:r>
      <w:r>
        <w:rPr>
          <w:rFonts w:hint="cs"/>
          <w:rtl/>
        </w:rPr>
        <w:t xml:space="preserve">شاید با توجه به این نکات، «خرج یهریق الماء» عبارت اصلی امام صادق علیه السلام باشد و «خرج یبول» نقل به معنا شده است. </w:t>
      </w:r>
    </w:p>
    <w:p w:rsidR="005E642A" w:rsidRDefault="009552C4" w:rsidP="00C23ADC">
      <w:pPr>
        <w:jc w:val="both"/>
        <w:rPr>
          <w:rtl/>
        </w:rPr>
      </w:pPr>
      <w:r>
        <w:rPr>
          <w:rFonts w:hint="cs"/>
          <w:rtl/>
        </w:rPr>
        <w:t xml:space="preserve">مطابق احتمال اول، سوال از جواز عفو نیست و سوال از برتری عفو یا رفع به سلطان است. </w:t>
      </w:r>
    </w:p>
    <w:p w:rsidR="005E642A" w:rsidRDefault="009552C4" w:rsidP="00A63FF3">
      <w:pPr>
        <w:jc w:val="both"/>
        <w:rPr>
          <w:rtl/>
        </w:rPr>
      </w:pPr>
      <w:r>
        <w:rPr>
          <w:rFonts w:hint="cs"/>
          <w:rtl/>
        </w:rPr>
        <w:t xml:space="preserve">احتمال دوم این است که سوال از این </w:t>
      </w:r>
      <w:r w:rsidR="00A63FF3">
        <w:rPr>
          <w:rFonts w:hint="cs"/>
          <w:rtl/>
        </w:rPr>
        <w:t>باشد</w:t>
      </w:r>
      <w:r>
        <w:rPr>
          <w:rFonts w:hint="cs"/>
          <w:rtl/>
        </w:rPr>
        <w:t xml:space="preserve"> که آیا عفو قبل از ر</w:t>
      </w:r>
      <w:r w:rsidR="00A63FF3">
        <w:rPr>
          <w:rFonts w:hint="cs"/>
          <w:rtl/>
        </w:rPr>
        <w:t>فع به امام علیه السلام صحیح است؟</w:t>
      </w:r>
      <w:r>
        <w:rPr>
          <w:rFonts w:hint="cs"/>
          <w:rtl/>
        </w:rPr>
        <w:t xml:space="preserve"> هر دو روایتی که خوانده شد، ذیلی دارند: </w:t>
      </w:r>
      <w:r w:rsidRPr="000A7730">
        <w:rPr>
          <w:color w:val="008000"/>
          <w:rtl/>
        </w:rPr>
        <w:t>قَالَ وَ سَأَلْتُهُ عَنِ الْعَفْوِ قَبْلَ أَنْ يَنْتَهِيَ إِلَى الْإِمَامِ فَقَالَ حَسَنٌ</w:t>
      </w:r>
      <w:r w:rsidR="00682D8C">
        <w:rPr>
          <w:rFonts w:hint="cs"/>
          <w:color w:val="008000"/>
          <w:rtl/>
        </w:rPr>
        <w:t xml:space="preserve"> </w:t>
      </w:r>
      <w:r w:rsidR="00682D8C" w:rsidRPr="00682D8C">
        <w:rPr>
          <w:rFonts w:hint="cs"/>
          <w:rtl/>
        </w:rPr>
        <w:t>سوال این است که قبل از انتهای به امام علیه السلام عفو صحیح است؟ امام علیه السلام</w:t>
      </w:r>
      <w:r w:rsidR="00682D8C">
        <w:rPr>
          <w:rFonts w:hint="cs"/>
          <w:rtl/>
        </w:rPr>
        <w:t xml:space="preserve"> فرمود: خوب است و اشکالی ندارد. پس از رفع امر به امام علیه السلام در اموری مثل سرقت که جنبه حق اللهی</w:t>
      </w:r>
      <w:r w:rsidR="00682D8C">
        <w:rPr>
          <w:rStyle w:val="FootnoteReference"/>
          <w:rtl/>
        </w:rPr>
        <w:footnoteReference w:id="16"/>
      </w:r>
      <w:r w:rsidR="00682D8C">
        <w:rPr>
          <w:rFonts w:hint="cs"/>
          <w:rtl/>
        </w:rPr>
        <w:t xml:space="preserve"> نیز دارد، عفو صحیح نیست. </w:t>
      </w:r>
    </w:p>
    <w:p w:rsidR="005E642A" w:rsidRDefault="00682D8C" w:rsidP="00C23ADC">
      <w:pPr>
        <w:jc w:val="both"/>
        <w:rPr>
          <w:rtl/>
        </w:rPr>
      </w:pPr>
      <w:r>
        <w:rPr>
          <w:rFonts w:hint="cs"/>
          <w:rtl/>
        </w:rPr>
        <w:t xml:space="preserve">احتمال سوم این است که محطّ سوال «او یرفعه الی السلطان» </w:t>
      </w:r>
      <w:r w:rsidR="005B3F06">
        <w:rPr>
          <w:rFonts w:hint="cs"/>
          <w:rtl/>
        </w:rPr>
        <w:t xml:space="preserve">باشد </w:t>
      </w:r>
      <w:r>
        <w:rPr>
          <w:rFonts w:hint="cs"/>
          <w:rtl/>
        </w:rPr>
        <w:t xml:space="preserve">و سوال از عفو مقدّمه است. به این معنا که شخصی که دسترسی به امام علیه السلام ندارد، مخیّر بین عفو و رفع به سلطان است و آیا می تواند با رفع به سلطان، حق خود را بگیرد؟ قطعه ای </w:t>
      </w:r>
      <w:r w:rsidR="005B3F06">
        <w:rPr>
          <w:rFonts w:hint="cs"/>
          <w:rtl/>
        </w:rPr>
        <w:t xml:space="preserve">از </w:t>
      </w:r>
      <w:r>
        <w:rPr>
          <w:rFonts w:hint="cs"/>
          <w:rtl/>
        </w:rPr>
        <w:t>جواب امام علیه السلام ناظر به همین است و بیان می کند: رفع به سلطان جایز نیست و</w:t>
      </w:r>
      <w:r w:rsidR="005B3F06">
        <w:rPr>
          <w:rFonts w:hint="cs"/>
          <w:rtl/>
        </w:rPr>
        <w:t xml:space="preserve"> تنها</w:t>
      </w:r>
      <w:r>
        <w:rPr>
          <w:rFonts w:hint="cs"/>
          <w:rtl/>
        </w:rPr>
        <w:t xml:space="preserve"> با رفع به امام علیه السلام می تواند مطالبه حق کند. پس این روایت شبیه روایت عمر بن حنظله و مانند آن است که از تحاکم به طاغوت نهی کرده است. </w:t>
      </w:r>
    </w:p>
    <w:p w:rsidR="005E642A" w:rsidRDefault="00682D8C" w:rsidP="00C23ADC">
      <w:pPr>
        <w:jc w:val="both"/>
        <w:rPr>
          <w:rtl/>
        </w:rPr>
      </w:pPr>
      <w:r>
        <w:rPr>
          <w:rFonts w:hint="cs"/>
          <w:rtl/>
        </w:rPr>
        <w:t>به هر حال، هر یک از این سه احتمال محطّ سوال باشد از روایت استفاده نمی شود که «کل حقّ قابل للاسقاط» زیرا محطّ سوال سائل و پاسخ امام علیه السلام این نیست که «هل یقبل الحق للاسقاط</w:t>
      </w:r>
      <w:r w:rsidR="00C7795C">
        <w:rPr>
          <w:rFonts w:hint="cs"/>
          <w:rtl/>
        </w:rPr>
        <w:t>؟</w:t>
      </w:r>
      <w:r>
        <w:rPr>
          <w:rFonts w:hint="cs"/>
          <w:rtl/>
        </w:rPr>
        <w:t xml:space="preserve">» و سوال جنبه دیگری دارد. </w:t>
      </w:r>
      <w:r w:rsidR="00C7795C">
        <w:rPr>
          <w:rFonts w:hint="cs"/>
          <w:rtl/>
        </w:rPr>
        <w:t xml:space="preserve">طبق احتمال اول، </w:t>
      </w:r>
      <w:r w:rsidR="00C7795C">
        <w:rPr>
          <w:rFonts w:hint="cs"/>
          <w:rtl/>
        </w:rPr>
        <w:lastRenderedPageBreak/>
        <w:t xml:space="preserve">سوال از این است که حق قابل اسقاط قبل از رفع به سلطان قابل عفو است؟ طبق احتمال سوم، سوال از این است که آیا رفع به سلطان جایز است؟ پس چون محطّ سوال سقوط پذیری یا عدم آن نیست، نمی توان از روایت اطلاق گیری کرد که «کل حقّ فهو قابل للاسقاط». </w:t>
      </w:r>
    </w:p>
    <w:p w:rsidR="005B3F06" w:rsidRDefault="005B3F06" w:rsidP="005B3F06">
      <w:pPr>
        <w:pStyle w:val="Heading3"/>
        <w:rPr>
          <w:rtl/>
        </w:rPr>
      </w:pPr>
      <w:bookmarkStart w:id="8" w:name="_Toc90181142"/>
      <w:r>
        <w:rPr>
          <w:rFonts w:hint="cs"/>
          <w:rtl/>
        </w:rPr>
        <w:t>صحت استدلال به روایت بر فرض دلالت آن بر سقوط پذیری حق</w:t>
      </w:r>
      <w:bookmarkEnd w:id="8"/>
      <w:r>
        <w:rPr>
          <w:rFonts w:hint="cs"/>
          <w:rtl/>
        </w:rPr>
        <w:t xml:space="preserve"> </w:t>
      </w:r>
    </w:p>
    <w:p w:rsidR="005E642A" w:rsidRDefault="00931DE6" w:rsidP="00C23ADC">
      <w:pPr>
        <w:jc w:val="both"/>
        <w:rPr>
          <w:rtl/>
        </w:rPr>
      </w:pPr>
      <w:r>
        <w:rPr>
          <w:rFonts w:hint="cs"/>
          <w:rtl/>
        </w:rPr>
        <w:t>این نکته نیازمند ضمیمه است که اگر روایت مربوط به قابلیت اسقاط بود، امکان داشت برخی از اشکالاتی که در جلسه گذشته بیان شد، پاسخ داده شود. در جلسه گذشته این اشکال مطرح شد که روایت در مقام بیان این است که حقّ سقوط پذیر است و ضابطه کلی</w:t>
      </w:r>
      <w:r w:rsidR="001001C0">
        <w:rPr>
          <w:rFonts w:hint="cs"/>
          <w:rtl/>
        </w:rPr>
        <w:t xml:space="preserve"> برای تشخیص امر قابل اسقاط از امر غیر قابل اسقاط</w:t>
      </w:r>
      <w:r>
        <w:rPr>
          <w:rFonts w:hint="cs"/>
          <w:rtl/>
        </w:rPr>
        <w:t xml:space="preserve"> بیان نمی کند. اگر روایت در مقام بیان اسقاط پذیری حق باشد، ممکن است اینگونه پاسخ داد که راوی سوال کرده، حق اسقاط پذیر است؟ امام علیه السلام بیان کردند: حق اسقاط پذیر است. امام علیه السلام برای سقوط </w:t>
      </w:r>
      <w:r w:rsidR="005B3F06">
        <w:rPr>
          <w:rFonts w:hint="cs"/>
          <w:rtl/>
        </w:rPr>
        <w:t>پذیری شرط و مانع بیان نکرده</w:t>
      </w:r>
      <w:r w:rsidR="00D40D94">
        <w:rPr>
          <w:rFonts w:hint="cs"/>
          <w:rtl/>
        </w:rPr>
        <w:t xml:space="preserve"> که از این سکوت استفاده می شود امام علیه السلام نسبت به محدوده سقوط پذیری به بنای عقلا ایکال کردند زیرا حضرت علیه السلام باید محدو</w:t>
      </w:r>
      <w:r w:rsidR="001001C0">
        <w:rPr>
          <w:rFonts w:hint="cs"/>
          <w:rtl/>
        </w:rPr>
        <w:t>ده سقوط پذیری را بیان می کردند. پس</w:t>
      </w:r>
      <w:r w:rsidR="00D40D94">
        <w:rPr>
          <w:rFonts w:hint="cs"/>
          <w:rtl/>
        </w:rPr>
        <w:t xml:space="preserve"> به اطلاق مقامی دلیل استفاده می شود که امام علیه السلام </w:t>
      </w:r>
      <w:r w:rsidR="008837A3">
        <w:rPr>
          <w:rFonts w:hint="cs"/>
          <w:rtl/>
        </w:rPr>
        <w:t>حدود</w:t>
      </w:r>
      <w:r w:rsidR="00D40D94">
        <w:rPr>
          <w:rFonts w:hint="cs"/>
          <w:rtl/>
        </w:rPr>
        <w:t xml:space="preserve"> سقوط پذیری حق را به </w:t>
      </w:r>
      <w:r w:rsidR="008837A3">
        <w:rPr>
          <w:rFonts w:hint="cs"/>
          <w:rtl/>
        </w:rPr>
        <w:t xml:space="preserve">ضابطه عقلایی </w:t>
      </w:r>
      <w:r w:rsidR="00D40D94">
        <w:rPr>
          <w:rFonts w:hint="cs"/>
          <w:rtl/>
        </w:rPr>
        <w:t xml:space="preserve">ایکال کردند. به نظر می رسد مراد شهید صدر همین مطلب است و ارتباط آن با بحث ضابطه تشخیص امر سقوط پذیر از امر غیر سقوط پذیر روشن می شود. </w:t>
      </w:r>
      <w:r w:rsidR="008837A3">
        <w:rPr>
          <w:rFonts w:hint="cs"/>
          <w:rtl/>
        </w:rPr>
        <w:t xml:space="preserve">در نتیجه، عدم ارائه ضابطه جدید برای اسقاط پذیری به معنای تأیید و امضای ضابطه اسقاط پذیری عقلایی است. </w:t>
      </w:r>
    </w:p>
    <w:p w:rsidR="001001C0" w:rsidRDefault="008837A3" w:rsidP="00C23ADC">
      <w:pPr>
        <w:jc w:val="both"/>
        <w:rPr>
          <w:rtl/>
        </w:rPr>
      </w:pPr>
      <w:r>
        <w:rPr>
          <w:rFonts w:hint="cs"/>
          <w:rtl/>
        </w:rPr>
        <w:t>تمام این مطالب در صورتی صحیح است که روایت در مقام بیان اسقاط پذیری و عدم آن باشد. اما با این فرض که اصل اسقاط پذیری مفروض است و سوال از ناحیه دیگری است، لازم نیست امام علیه السلام ضابطه اسقاط پذیری را بیان کنند. در نتیجه فرمایش شهید صدر به این روایت ارتباطی ندا</w:t>
      </w:r>
      <w:r w:rsidR="001001C0">
        <w:rPr>
          <w:rFonts w:hint="cs"/>
          <w:rtl/>
        </w:rPr>
        <w:t>رد</w:t>
      </w:r>
      <w:r w:rsidR="007D5AE0">
        <w:rPr>
          <w:rFonts w:hint="cs"/>
          <w:rtl/>
        </w:rPr>
        <w:t>.</w:t>
      </w:r>
    </w:p>
    <w:p w:rsidR="007D5AE0" w:rsidRDefault="007D5AE0" w:rsidP="00C23ADC">
      <w:pPr>
        <w:jc w:val="both"/>
        <w:rPr>
          <w:rtl/>
        </w:rPr>
      </w:pPr>
      <w:r>
        <w:rPr>
          <w:rFonts w:hint="cs"/>
          <w:rtl/>
        </w:rPr>
        <w:t xml:space="preserve">آقای حائری در ادامه نکاتی دارند که وارد بحث از آن نمی شویم. ایشان </w:t>
      </w:r>
      <w:r w:rsidR="005B3F06">
        <w:rPr>
          <w:rFonts w:hint="cs"/>
          <w:rtl/>
        </w:rPr>
        <w:t xml:space="preserve">پس از آن </w:t>
      </w:r>
      <w:r>
        <w:rPr>
          <w:rFonts w:hint="cs"/>
          <w:rtl/>
        </w:rPr>
        <w:t xml:space="preserve">بحثی را درباره ضابطه عقلایی جواز اسقاط مطرح می کنند. در مطلبی که از شهید صدر بیان شد، راه شناخت ضابطه عقلایی تعیین شد و از نظر صغروی ضابطه تشخیص جواز اسقاط بیان نشده بود. آقای حائری از این به بعد وارد بیان این ضابطه می شوند. </w:t>
      </w:r>
    </w:p>
    <w:p w:rsidR="005B3F06" w:rsidRDefault="005B3F06" w:rsidP="005B3F06">
      <w:pPr>
        <w:pStyle w:val="Heading1"/>
        <w:rPr>
          <w:rtl/>
        </w:rPr>
      </w:pPr>
      <w:bookmarkStart w:id="9" w:name="_Toc90181143"/>
      <w:r>
        <w:rPr>
          <w:rFonts w:hint="cs"/>
          <w:rtl/>
        </w:rPr>
        <w:t>وجود فرق جوهری بین حق و حکم</w:t>
      </w:r>
      <w:bookmarkEnd w:id="9"/>
      <w:r>
        <w:rPr>
          <w:rFonts w:hint="cs"/>
          <w:rtl/>
        </w:rPr>
        <w:t xml:space="preserve"> </w:t>
      </w:r>
    </w:p>
    <w:p w:rsidR="001C10EA" w:rsidRDefault="007D5AE0" w:rsidP="00C23ADC">
      <w:pPr>
        <w:jc w:val="both"/>
        <w:rPr>
          <w:rtl/>
        </w:rPr>
      </w:pPr>
      <w:r>
        <w:rPr>
          <w:rFonts w:hint="cs"/>
          <w:rtl/>
        </w:rPr>
        <w:t xml:space="preserve">پیش از ورود به این ضابطه نیاز است درباره فرمایش مرحوم آقای خویی که به اختصار اشاره شد، صحبت شود. مرحوم آقای خویی بیان کرد: بین حق و حکم، فرق جوهری وجود ندارد. این مطلب در کلام آقای حائری نیز مورد بحث قرار گرفته است. </w:t>
      </w:r>
      <w:r>
        <w:rPr>
          <w:rFonts w:hint="cs"/>
          <w:rtl/>
        </w:rPr>
        <w:lastRenderedPageBreak/>
        <w:t xml:space="preserve">بنده کلام آقای خویی را از زاویه دید دیگری بررسی می کنیم. </w:t>
      </w:r>
      <w:r w:rsidR="002F274F">
        <w:rPr>
          <w:rFonts w:hint="cs"/>
          <w:rtl/>
        </w:rPr>
        <w:t>باید درباره حق یکی از سه جهت باشد یا قابل اسقاط باشد یا قابل نقل باشد یا قابل انتقال قهری داشته باشد اما حکم</w:t>
      </w:r>
      <w:r w:rsidR="005B3F06">
        <w:rPr>
          <w:rFonts w:hint="cs"/>
          <w:rtl/>
        </w:rPr>
        <w:t>،</w:t>
      </w:r>
      <w:r w:rsidR="002F274F">
        <w:rPr>
          <w:rFonts w:hint="cs"/>
          <w:rtl/>
        </w:rPr>
        <w:t xml:space="preserve"> هیچ یک از این سه قابلیت را ندارد. پس حق با حکم تفاوت جوهری دارد. حق اعتبار نوعی سلطه و ملکیت است و برخی از آن به ملکیت ضعیفه تعبیر کردند که آقای حائری مفصّل درباره رابطه حق و ملک شدند که وارد بحث از آن نمی شویم. به هر حال در حقّ مفهوم مسلّط بودن وجود دارد که یا باید سلطه بر اسقاط باشد یا سلطه بر نقل داشته باشد یا قابلیت انتقال باشد و در صورتی که هیچ یک از این امور نباشد، قطعا حکم است. </w:t>
      </w:r>
      <w:r w:rsidR="000A1373">
        <w:rPr>
          <w:rFonts w:hint="cs"/>
          <w:rtl/>
        </w:rPr>
        <w:t xml:space="preserve">پس هر چند ممکن است در حکم بودن امری که اسقاط پذیر باشد ولی قابل نقل نباشد، تردید داشته باشیم اما بدون تردید امری که هیچ یک از ویژگی های سه گانه را ندارد، حکم است و در حقّ باید یکی از این امور وجود داشته باشد هر چند باید بحث شود که کدام یک از این آثار، ما به الامتیاز حق است؟ </w:t>
      </w:r>
      <w:r w:rsidR="001C10EA">
        <w:rPr>
          <w:rFonts w:hint="cs"/>
          <w:rtl/>
        </w:rPr>
        <w:t xml:space="preserve">باید به این نکته اشاره شود که انتقال به ارث به این دلیل اتفاق می افتد که مورّث نمی تواند دیگر از مال خودش استفاده کند و وارث نماینده مورّث است و سلطه از مورّث به وارث منتقل می شود. پس چه در اسقاط، چه در نقل به معاملات و چه در انتقال قهری نوعی سلطه وجود دارد. </w:t>
      </w:r>
    </w:p>
    <w:p w:rsidR="007D5AE0" w:rsidRDefault="001C10EA" w:rsidP="005B3F06">
      <w:pPr>
        <w:jc w:val="both"/>
        <w:rPr>
          <w:rtl/>
        </w:rPr>
      </w:pPr>
      <w:r>
        <w:rPr>
          <w:rFonts w:hint="cs"/>
          <w:rtl/>
        </w:rPr>
        <w:t xml:space="preserve">باید دقت داشت: سلطه به دو صورت موجود است اول نسبت به مال سلطه دارد و می تواند از آن استفاده کند یا نکند و دوم نسبت به خود حق سلطه دارد. برخی به الناس مسلطون علی اموالهم </w:t>
      </w:r>
      <w:r w:rsidR="00044FF8">
        <w:rPr>
          <w:rFonts w:hint="cs"/>
          <w:rtl/>
        </w:rPr>
        <w:t xml:space="preserve">برای صحت اخراج ملک از شخص استدلال </w:t>
      </w:r>
      <w:r w:rsidR="005B3F06">
        <w:rPr>
          <w:rFonts w:hint="cs"/>
          <w:rtl/>
        </w:rPr>
        <w:t>کردند که</w:t>
      </w:r>
      <w:r w:rsidR="00044FF8">
        <w:rPr>
          <w:rFonts w:hint="cs"/>
          <w:rtl/>
        </w:rPr>
        <w:t xml:space="preserve"> مرحوم ایروانی به این نکته اشاره کردند که الناس مسلطون علی اموالهم به این معناست که شخص بر خود مال سلطه دارد و می تواند انواع تقلبّات را درباره مال انجام دهد. اما از این روایت صحت اخراج از ملک استفاده نمی شود. هر چند این مطلب نیازمند بحث است، اما سلطه به دو نحو وجود دارد. گاهی سلطه بر مال در نظر گرفته می شود که این سلطه مقوّم حق است و گاهی سلطه بر حق در نظر گرفته می شود که این سلطه مقوّم حق نیست. </w:t>
      </w:r>
      <w:r w:rsidR="00901E7D">
        <w:rPr>
          <w:rFonts w:hint="cs"/>
          <w:rtl/>
        </w:rPr>
        <w:t xml:space="preserve">مثلا خداوند متعال بر تمام عالم سلطه دارد ولی نسبت به سلطه خودش سلطه ندارد و نمی تواند سلطه خود بر عالم را از بین ببرد. </w:t>
      </w:r>
      <w:r w:rsidR="000F191E">
        <w:rPr>
          <w:rFonts w:hint="cs"/>
          <w:rtl/>
        </w:rPr>
        <w:t xml:space="preserve">پس قوام حق خود به واجدیت اسقاط نیست ولی نسبت به متعلّق حق تسلط دارد. سلطه ای که بیان شد، اعم از سلطه بر حق و سلطه بر متعلّق حق است. چنانچه ارث فرع سلطه داشتن شخص بر شیء است و فرع سلطه داشتن بر حقّ نیست و همین مقدار که شخص نسبت به مال حق تصرّف دارد، موجب ارث بری می شود. </w:t>
      </w:r>
    </w:p>
    <w:p w:rsidR="000F191E" w:rsidRDefault="000F191E" w:rsidP="00C23ADC">
      <w:pPr>
        <w:jc w:val="both"/>
        <w:rPr>
          <w:rtl/>
        </w:rPr>
      </w:pPr>
    </w:p>
    <w:p w:rsidR="005E642A" w:rsidRPr="005E642A" w:rsidRDefault="005E642A" w:rsidP="00C23ADC">
      <w:pPr>
        <w:jc w:val="both"/>
        <w:rPr>
          <w:rtl/>
        </w:rPr>
      </w:pPr>
    </w:p>
    <w:sectPr w:rsidR="005E642A" w:rsidRPr="005E642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B4" w:rsidRDefault="00A44CB4" w:rsidP="008B750B">
      <w:pPr>
        <w:spacing w:line="240" w:lineRule="auto"/>
      </w:pPr>
      <w:r>
        <w:separator/>
      </w:r>
    </w:p>
  </w:endnote>
  <w:endnote w:type="continuationSeparator" w:id="0">
    <w:p w:rsidR="00A44CB4" w:rsidRDefault="00A44CB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534C4" w:rsidRPr="006D44C1" w:rsidTr="0020241A">
      <w:tc>
        <w:tcPr>
          <w:tcW w:w="3382" w:type="dxa"/>
          <w:tcBorders>
            <w:top w:val="nil"/>
            <w:left w:val="nil"/>
            <w:bottom w:val="nil"/>
            <w:right w:val="nil"/>
          </w:tcBorders>
        </w:tcPr>
        <w:p w:rsidR="00A534C4" w:rsidRDefault="00A534C4"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534C4" w:rsidRDefault="00A534C4" w:rsidP="006D44C1">
          <w:pPr>
            <w:pStyle w:val="Footer"/>
            <w:jc w:val="right"/>
            <w:rPr>
              <w:rtl/>
            </w:rPr>
          </w:pPr>
          <w:r>
            <w:rPr>
              <w:rFonts w:hint="cs"/>
              <w:rtl/>
            </w:rPr>
            <w:t xml:space="preserve">صفحه </w:t>
          </w:r>
          <w:r>
            <w:fldChar w:fldCharType="begin"/>
          </w:r>
          <w:r>
            <w:instrText>PAGE   \* MERGEFORMAT</w:instrText>
          </w:r>
          <w:r>
            <w:fldChar w:fldCharType="separate"/>
          </w:r>
          <w:r w:rsidR="005D3F86" w:rsidRPr="005D3F86">
            <w:rPr>
              <w:noProof/>
              <w:rtl/>
              <w:lang w:val="fa-IR"/>
            </w:rPr>
            <w:t>1</w:t>
          </w:r>
          <w:r>
            <w:rPr>
              <w:noProof/>
            </w:rPr>
            <w:fldChar w:fldCharType="end"/>
          </w:r>
        </w:p>
      </w:tc>
      <w:tc>
        <w:tcPr>
          <w:tcW w:w="4786" w:type="dxa"/>
          <w:tcBorders>
            <w:top w:val="nil"/>
            <w:left w:val="nil"/>
            <w:bottom w:val="nil"/>
            <w:right w:val="nil"/>
          </w:tcBorders>
          <w:vAlign w:val="center"/>
        </w:tcPr>
        <w:p w:rsidR="00A534C4" w:rsidRPr="006D44C1" w:rsidRDefault="00A534C4" w:rsidP="001B6799">
          <w:pPr>
            <w:pStyle w:val="Footer"/>
            <w:bidi w:val="0"/>
            <w:rPr>
              <w:color w:val="808080" w:themeColor="background1" w:themeShade="80"/>
              <w:rtl/>
            </w:rPr>
          </w:pPr>
          <w:bookmarkStart w:id="17" w:name="BokAdres"/>
          <w:bookmarkEnd w:id="17"/>
          <w:r>
            <w:rPr>
              <w:color w:val="808080" w:themeColor="background1" w:themeShade="80"/>
            </w:rPr>
            <w:t>F1js1_14000916-043_mk3_mfeb.ir</w:t>
          </w:r>
        </w:p>
      </w:tc>
    </w:tr>
  </w:tbl>
  <w:p w:rsidR="00A534C4" w:rsidRDefault="00A534C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B4" w:rsidRDefault="00A44CB4" w:rsidP="008B750B">
      <w:pPr>
        <w:spacing w:line="240" w:lineRule="auto"/>
      </w:pPr>
      <w:r>
        <w:separator/>
      </w:r>
    </w:p>
  </w:footnote>
  <w:footnote w:type="continuationSeparator" w:id="0">
    <w:p w:rsidR="00A44CB4" w:rsidRDefault="00A44CB4" w:rsidP="008B750B">
      <w:pPr>
        <w:spacing w:line="240" w:lineRule="auto"/>
      </w:pPr>
      <w:r>
        <w:continuationSeparator/>
      </w:r>
    </w:p>
  </w:footnote>
  <w:footnote w:id="1">
    <w:p w:rsidR="00E525AE" w:rsidRPr="00E525AE" w:rsidRDefault="00E525AE" w:rsidP="00E525AE">
      <w:pPr>
        <w:pStyle w:val="FootnoteText"/>
      </w:pPr>
      <w:r w:rsidRPr="00E525AE">
        <w:footnoteRef/>
      </w:r>
      <w:r w:rsidRPr="00E525AE">
        <w:rPr>
          <w:rtl/>
        </w:rPr>
        <w:t xml:space="preserve"> </w:t>
      </w:r>
      <w:hyperlink r:id="rId1" w:history="1">
        <w:r w:rsidRPr="00E525AE">
          <w:rPr>
            <w:rStyle w:val="Hyperlink"/>
            <w:rtl/>
          </w:rPr>
          <w:t>تهذ</w:t>
        </w:r>
        <w:r w:rsidRPr="00E525AE">
          <w:rPr>
            <w:rStyle w:val="Hyperlink"/>
            <w:rFonts w:hint="cs"/>
            <w:rtl/>
          </w:rPr>
          <w:t>ی</w:t>
        </w:r>
        <w:r w:rsidRPr="00E525AE">
          <w:rPr>
            <w:rStyle w:val="Hyperlink"/>
            <w:rFonts w:hint="eastAsia"/>
            <w:rtl/>
          </w:rPr>
          <w:t>ب</w:t>
        </w:r>
        <w:r w:rsidRPr="00E525AE">
          <w:rPr>
            <w:rStyle w:val="Hyperlink"/>
            <w:rtl/>
          </w:rPr>
          <w:t xml:space="preserve"> الاحکام، ش</w:t>
        </w:r>
        <w:r w:rsidRPr="00E525AE">
          <w:rPr>
            <w:rStyle w:val="Hyperlink"/>
            <w:rFonts w:hint="cs"/>
            <w:rtl/>
          </w:rPr>
          <w:t>ی</w:t>
        </w:r>
        <w:r w:rsidRPr="00E525AE">
          <w:rPr>
            <w:rStyle w:val="Hyperlink"/>
            <w:rFonts w:hint="eastAsia"/>
            <w:rtl/>
          </w:rPr>
          <w:t>خ</w:t>
        </w:r>
        <w:r w:rsidRPr="00E525AE">
          <w:rPr>
            <w:rStyle w:val="Hyperlink"/>
            <w:rtl/>
          </w:rPr>
          <w:t xml:space="preserve"> طوس</w:t>
        </w:r>
        <w:r w:rsidRPr="00E525AE">
          <w:rPr>
            <w:rStyle w:val="Hyperlink"/>
            <w:rFonts w:hint="cs"/>
            <w:rtl/>
          </w:rPr>
          <w:t>ی</w:t>
        </w:r>
        <w:r w:rsidRPr="00E525AE">
          <w:rPr>
            <w:rStyle w:val="Hyperlink"/>
            <w:rFonts w:hint="eastAsia"/>
            <w:rtl/>
          </w:rPr>
          <w:t>،</w:t>
        </w:r>
        <w:r w:rsidRPr="00E525AE">
          <w:rPr>
            <w:rStyle w:val="Hyperlink"/>
            <w:rtl/>
          </w:rPr>
          <w:t xml:space="preserve"> ج10، ص82</w:t>
        </w:r>
        <w:r w:rsidRPr="00E525AE">
          <w:rPr>
            <w:rStyle w:val="Hyperlink"/>
          </w:rPr>
          <w:t>.</w:t>
        </w:r>
      </w:hyperlink>
    </w:p>
  </w:footnote>
  <w:footnote w:id="2">
    <w:p w:rsidR="000653EC" w:rsidRPr="000653EC" w:rsidRDefault="000653EC" w:rsidP="000653EC">
      <w:pPr>
        <w:pStyle w:val="FootnoteText"/>
      </w:pPr>
      <w:r w:rsidRPr="000653EC">
        <w:footnoteRef/>
      </w:r>
      <w:r w:rsidRPr="000653EC">
        <w:rPr>
          <w:rtl/>
        </w:rPr>
        <w:t xml:space="preserve"> </w:t>
      </w:r>
      <w:hyperlink r:id="rId2" w:history="1">
        <w:r w:rsidRPr="000653EC">
          <w:rPr>
            <w:rStyle w:val="Hyperlink"/>
            <w:rtl/>
          </w:rPr>
          <w:t>الکاف</w:t>
        </w:r>
        <w:r w:rsidRPr="000653EC">
          <w:rPr>
            <w:rStyle w:val="Hyperlink"/>
            <w:rFonts w:hint="cs"/>
            <w:rtl/>
          </w:rPr>
          <w:t>ی</w:t>
        </w:r>
        <w:r w:rsidRPr="000653EC">
          <w:rPr>
            <w:rStyle w:val="Hyperlink"/>
            <w:rFonts w:hint="eastAsia"/>
            <w:rtl/>
          </w:rPr>
          <w:t>،</w:t>
        </w:r>
        <w:r w:rsidRPr="000653EC">
          <w:rPr>
            <w:rStyle w:val="Hyperlink"/>
            <w:rtl/>
          </w:rPr>
          <w:t xml:space="preserve"> محمد بن </w:t>
        </w:r>
        <w:r w:rsidRPr="000653EC">
          <w:rPr>
            <w:rStyle w:val="Hyperlink"/>
            <w:rFonts w:hint="cs"/>
            <w:rtl/>
          </w:rPr>
          <w:t>ی</w:t>
        </w:r>
        <w:r w:rsidRPr="000653EC">
          <w:rPr>
            <w:rStyle w:val="Hyperlink"/>
            <w:rFonts w:hint="eastAsia"/>
            <w:rtl/>
          </w:rPr>
          <w:t>عقوب</w:t>
        </w:r>
        <w:r w:rsidRPr="000653EC">
          <w:rPr>
            <w:rStyle w:val="Hyperlink"/>
            <w:rtl/>
          </w:rPr>
          <w:t xml:space="preserve"> کل</w:t>
        </w:r>
        <w:r w:rsidRPr="000653EC">
          <w:rPr>
            <w:rStyle w:val="Hyperlink"/>
            <w:rFonts w:hint="cs"/>
            <w:rtl/>
          </w:rPr>
          <w:t>ی</w:t>
        </w:r>
        <w:r w:rsidRPr="000653EC">
          <w:rPr>
            <w:rStyle w:val="Hyperlink"/>
            <w:rFonts w:hint="eastAsia"/>
            <w:rtl/>
          </w:rPr>
          <w:t>ن</w:t>
        </w:r>
        <w:r w:rsidRPr="000653EC">
          <w:rPr>
            <w:rStyle w:val="Hyperlink"/>
            <w:rFonts w:hint="cs"/>
            <w:rtl/>
          </w:rPr>
          <w:t>ی</w:t>
        </w:r>
        <w:r w:rsidRPr="000653EC">
          <w:rPr>
            <w:rStyle w:val="Hyperlink"/>
            <w:rFonts w:hint="eastAsia"/>
            <w:rtl/>
          </w:rPr>
          <w:t>،</w:t>
        </w:r>
        <w:r w:rsidRPr="000653EC">
          <w:rPr>
            <w:rStyle w:val="Hyperlink"/>
            <w:rtl/>
          </w:rPr>
          <w:t xml:space="preserve"> ج7، ص252</w:t>
        </w:r>
        <w:r w:rsidRPr="000653EC">
          <w:rPr>
            <w:rStyle w:val="Hyperlink"/>
          </w:rPr>
          <w:t>.</w:t>
        </w:r>
      </w:hyperlink>
    </w:p>
  </w:footnote>
  <w:footnote w:id="3">
    <w:p w:rsidR="000653EC" w:rsidRPr="000653EC" w:rsidRDefault="000653EC" w:rsidP="000653EC">
      <w:pPr>
        <w:pStyle w:val="FootnoteText"/>
      </w:pPr>
      <w:r w:rsidRPr="000653EC">
        <w:footnoteRef/>
      </w:r>
      <w:r w:rsidRPr="000653EC">
        <w:rPr>
          <w:rtl/>
        </w:rPr>
        <w:t xml:space="preserve"> </w:t>
      </w:r>
      <w:hyperlink r:id="rId3" w:history="1">
        <w:r w:rsidRPr="000653EC">
          <w:rPr>
            <w:rStyle w:val="Hyperlink"/>
            <w:rtl/>
          </w:rPr>
          <w:t>الکاف</w:t>
        </w:r>
        <w:r w:rsidRPr="000653EC">
          <w:rPr>
            <w:rStyle w:val="Hyperlink"/>
            <w:rFonts w:hint="cs"/>
            <w:rtl/>
          </w:rPr>
          <w:t>ی</w:t>
        </w:r>
        <w:r w:rsidRPr="000653EC">
          <w:rPr>
            <w:rStyle w:val="Hyperlink"/>
            <w:rFonts w:hint="eastAsia"/>
            <w:rtl/>
          </w:rPr>
          <w:t>،</w:t>
        </w:r>
        <w:r w:rsidRPr="000653EC">
          <w:rPr>
            <w:rStyle w:val="Hyperlink"/>
            <w:rtl/>
          </w:rPr>
          <w:t xml:space="preserve"> محمد بن </w:t>
        </w:r>
        <w:r w:rsidRPr="000653EC">
          <w:rPr>
            <w:rStyle w:val="Hyperlink"/>
            <w:rFonts w:hint="cs"/>
            <w:rtl/>
          </w:rPr>
          <w:t>ی</w:t>
        </w:r>
        <w:r w:rsidRPr="000653EC">
          <w:rPr>
            <w:rStyle w:val="Hyperlink"/>
            <w:rFonts w:hint="eastAsia"/>
            <w:rtl/>
          </w:rPr>
          <w:t>عقوب</w:t>
        </w:r>
        <w:r w:rsidRPr="000653EC">
          <w:rPr>
            <w:rStyle w:val="Hyperlink"/>
            <w:rtl/>
          </w:rPr>
          <w:t xml:space="preserve"> کل</w:t>
        </w:r>
        <w:r w:rsidRPr="000653EC">
          <w:rPr>
            <w:rStyle w:val="Hyperlink"/>
            <w:rFonts w:hint="cs"/>
            <w:rtl/>
          </w:rPr>
          <w:t>ی</w:t>
        </w:r>
        <w:r w:rsidRPr="000653EC">
          <w:rPr>
            <w:rStyle w:val="Hyperlink"/>
            <w:rFonts w:hint="eastAsia"/>
            <w:rtl/>
          </w:rPr>
          <w:t>ن</w:t>
        </w:r>
        <w:r w:rsidRPr="000653EC">
          <w:rPr>
            <w:rStyle w:val="Hyperlink"/>
            <w:rFonts w:hint="cs"/>
            <w:rtl/>
          </w:rPr>
          <w:t>ی</w:t>
        </w:r>
        <w:r w:rsidRPr="000653EC">
          <w:rPr>
            <w:rStyle w:val="Hyperlink"/>
            <w:rFonts w:hint="eastAsia"/>
            <w:rtl/>
          </w:rPr>
          <w:t>،</w:t>
        </w:r>
        <w:r w:rsidRPr="000653EC">
          <w:rPr>
            <w:rStyle w:val="Hyperlink"/>
            <w:rtl/>
          </w:rPr>
          <w:t xml:space="preserve"> ج7، ص253</w:t>
        </w:r>
        <w:r w:rsidRPr="000653EC">
          <w:rPr>
            <w:rStyle w:val="Hyperlink"/>
          </w:rPr>
          <w:t>.</w:t>
        </w:r>
      </w:hyperlink>
    </w:p>
  </w:footnote>
  <w:footnote w:id="4">
    <w:p w:rsidR="00EA6542" w:rsidRDefault="00EA6542">
      <w:pPr>
        <w:pStyle w:val="FootnoteText"/>
      </w:pPr>
      <w:r>
        <w:rPr>
          <w:rStyle w:val="FootnoteReference"/>
        </w:rPr>
        <w:footnoteRef/>
      </w:r>
      <w:r>
        <w:rPr>
          <w:rtl/>
        </w:rPr>
        <w:t xml:space="preserve"> </w:t>
      </w:r>
      <w:r>
        <w:rPr>
          <w:rFonts w:hint="cs"/>
          <w:rtl/>
        </w:rPr>
        <w:t xml:space="preserve">المغنی لابن قدامه، ج 9، ص: 464 </w:t>
      </w:r>
    </w:p>
  </w:footnote>
  <w:footnote w:id="5">
    <w:p w:rsidR="00D525F3" w:rsidRPr="00D525F3" w:rsidRDefault="00D525F3" w:rsidP="00D525F3">
      <w:pPr>
        <w:pStyle w:val="FootnoteText"/>
      </w:pPr>
      <w:r w:rsidRPr="00D525F3">
        <w:footnoteRef/>
      </w:r>
      <w:r w:rsidRPr="00D525F3">
        <w:rPr>
          <w:rtl/>
        </w:rPr>
        <w:t xml:space="preserve"> </w:t>
      </w:r>
      <w:r w:rsidRPr="00D525F3">
        <w:rPr>
          <w:rFonts w:hint="eastAsia"/>
          <w:rtl/>
        </w:rPr>
        <w:t>سوره</w:t>
      </w:r>
      <w:r w:rsidRPr="00D525F3">
        <w:rPr>
          <w:rtl/>
        </w:rPr>
        <w:t xml:space="preserve"> بقره، آيه 178.</w:t>
      </w:r>
    </w:p>
  </w:footnote>
  <w:footnote w:id="6">
    <w:p w:rsidR="00884B17" w:rsidRPr="00884B17" w:rsidRDefault="00884B17" w:rsidP="00884B17">
      <w:pPr>
        <w:pStyle w:val="FootnoteText"/>
      </w:pPr>
      <w:r w:rsidRPr="00884B17">
        <w:footnoteRef/>
      </w:r>
      <w:r w:rsidRPr="00884B17">
        <w:rPr>
          <w:rtl/>
        </w:rPr>
        <w:t xml:space="preserve"> </w:t>
      </w:r>
      <w:r w:rsidRPr="00884B17">
        <w:rPr>
          <w:rFonts w:hint="eastAsia"/>
          <w:rtl/>
        </w:rPr>
        <w:t>سوره</w:t>
      </w:r>
      <w:r w:rsidRPr="00884B17">
        <w:rPr>
          <w:rtl/>
        </w:rPr>
        <w:t xml:space="preserve"> مائده، آيه 45.</w:t>
      </w:r>
    </w:p>
  </w:footnote>
  <w:footnote w:id="7">
    <w:p w:rsidR="00D6732E" w:rsidRPr="00D6732E" w:rsidRDefault="00D6732E" w:rsidP="00D6732E">
      <w:pPr>
        <w:pStyle w:val="FootnoteText"/>
      </w:pPr>
      <w:r>
        <w:rPr>
          <w:rStyle w:val="FootnoteReference"/>
        </w:rPr>
        <w:footnoteRef/>
      </w:r>
      <w:r>
        <w:rPr>
          <w:rtl/>
        </w:rPr>
        <w:t xml:space="preserve"> </w:t>
      </w:r>
      <w:r w:rsidRPr="00D6732E">
        <w:rPr>
          <w:rtl/>
        </w:rPr>
        <w:t>هر چند ا</w:t>
      </w:r>
      <w:r w:rsidRPr="00D6732E">
        <w:rPr>
          <w:rFonts w:hint="cs"/>
          <w:rtl/>
        </w:rPr>
        <w:t>ی</w:t>
      </w:r>
      <w:r w:rsidRPr="00D6732E">
        <w:rPr>
          <w:rFonts w:hint="eastAsia"/>
          <w:rtl/>
        </w:rPr>
        <w:t>ن</w:t>
      </w:r>
      <w:r w:rsidRPr="00D6732E">
        <w:rPr>
          <w:rtl/>
        </w:rPr>
        <w:t xml:space="preserve"> آ</w:t>
      </w:r>
      <w:r w:rsidRPr="00D6732E">
        <w:rPr>
          <w:rFonts w:hint="cs"/>
          <w:rtl/>
        </w:rPr>
        <w:t>ی</w:t>
      </w:r>
      <w:r w:rsidRPr="00D6732E">
        <w:rPr>
          <w:rFonts w:hint="eastAsia"/>
          <w:rtl/>
        </w:rPr>
        <w:t>ه</w:t>
      </w:r>
      <w:r w:rsidRPr="00D6732E">
        <w:rPr>
          <w:rtl/>
        </w:rPr>
        <w:t xml:space="preserve"> درباره تورات است، اما چون تصر</w:t>
      </w:r>
      <w:r w:rsidRPr="00D6732E">
        <w:rPr>
          <w:rFonts w:hint="cs"/>
          <w:rtl/>
        </w:rPr>
        <w:t>ی</w:t>
      </w:r>
      <w:r w:rsidRPr="00D6732E">
        <w:rPr>
          <w:rFonts w:hint="eastAsia"/>
          <w:rtl/>
        </w:rPr>
        <w:t>ح</w:t>
      </w:r>
      <w:r w:rsidRPr="00D6732E">
        <w:rPr>
          <w:rtl/>
        </w:rPr>
        <w:t xml:space="preserve"> نشده که ا</w:t>
      </w:r>
      <w:r w:rsidRPr="00D6732E">
        <w:rPr>
          <w:rFonts w:hint="cs"/>
          <w:rtl/>
        </w:rPr>
        <w:t>ی</w:t>
      </w:r>
      <w:r w:rsidRPr="00D6732E">
        <w:rPr>
          <w:rFonts w:hint="eastAsia"/>
          <w:rtl/>
        </w:rPr>
        <w:t>ن</w:t>
      </w:r>
      <w:r w:rsidRPr="00D6732E">
        <w:rPr>
          <w:rtl/>
        </w:rPr>
        <w:t xml:space="preserve"> حکم منسوخ است، دالّ بر بقاء حکم در شر</w:t>
      </w:r>
      <w:r w:rsidRPr="00D6732E">
        <w:rPr>
          <w:rFonts w:hint="cs"/>
          <w:rtl/>
        </w:rPr>
        <w:t>ی</w:t>
      </w:r>
      <w:r w:rsidRPr="00D6732E">
        <w:rPr>
          <w:rFonts w:hint="eastAsia"/>
          <w:rtl/>
        </w:rPr>
        <w:t>عت</w:t>
      </w:r>
      <w:r w:rsidRPr="00D6732E">
        <w:rPr>
          <w:rtl/>
        </w:rPr>
        <w:t xml:space="preserve"> اسلام است.</w:t>
      </w:r>
    </w:p>
  </w:footnote>
  <w:footnote w:id="8">
    <w:p w:rsidR="00D6732E" w:rsidRPr="00D6732E" w:rsidRDefault="00D6732E" w:rsidP="00D6732E">
      <w:pPr>
        <w:pStyle w:val="FootnoteText"/>
      </w:pPr>
      <w:r w:rsidRPr="00D6732E">
        <w:footnoteRef/>
      </w:r>
      <w:r w:rsidRPr="00D6732E">
        <w:rPr>
          <w:rtl/>
        </w:rPr>
        <w:t xml:space="preserve"> </w:t>
      </w:r>
      <w:hyperlink r:id="rId4" w:history="1">
        <w:r w:rsidRPr="00D6732E">
          <w:rPr>
            <w:rStyle w:val="Hyperlink"/>
            <w:rtl/>
          </w:rPr>
          <w:t>تهذ</w:t>
        </w:r>
        <w:r w:rsidRPr="00D6732E">
          <w:rPr>
            <w:rStyle w:val="Hyperlink"/>
            <w:rFonts w:hint="cs"/>
            <w:rtl/>
          </w:rPr>
          <w:t>ی</w:t>
        </w:r>
        <w:r w:rsidRPr="00D6732E">
          <w:rPr>
            <w:rStyle w:val="Hyperlink"/>
            <w:rFonts w:hint="eastAsia"/>
            <w:rtl/>
          </w:rPr>
          <w:t>ب</w:t>
        </w:r>
        <w:r w:rsidRPr="00D6732E">
          <w:rPr>
            <w:rStyle w:val="Hyperlink"/>
            <w:rtl/>
          </w:rPr>
          <w:t xml:space="preserve"> الاحکام، ش</w:t>
        </w:r>
        <w:r w:rsidRPr="00D6732E">
          <w:rPr>
            <w:rStyle w:val="Hyperlink"/>
            <w:rFonts w:hint="cs"/>
            <w:rtl/>
          </w:rPr>
          <w:t>ی</w:t>
        </w:r>
        <w:r w:rsidRPr="00D6732E">
          <w:rPr>
            <w:rStyle w:val="Hyperlink"/>
            <w:rFonts w:hint="eastAsia"/>
            <w:rtl/>
          </w:rPr>
          <w:t>خ</w:t>
        </w:r>
        <w:r w:rsidRPr="00D6732E">
          <w:rPr>
            <w:rStyle w:val="Hyperlink"/>
            <w:rtl/>
          </w:rPr>
          <w:t xml:space="preserve"> طوس</w:t>
        </w:r>
        <w:r w:rsidRPr="00D6732E">
          <w:rPr>
            <w:rStyle w:val="Hyperlink"/>
            <w:rFonts w:hint="cs"/>
            <w:rtl/>
          </w:rPr>
          <w:t>ی</w:t>
        </w:r>
        <w:r w:rsidRPr="00D6732E">
          <w:rPr>
            <w:rStyle w:val="Hyperlink"/>
            <w:rFonts w:hint="eastAsia"/>
            <w:rtl/>
          </w:rPr>
          <w:t>،</w:t>
        </w:r>
        <w:r w:rsidRPr="00D6732E">
          <w:rPr>
            <w:rStyle w:val="Hyperlink"/>
            <w:rtl/>
          </w:rPr>
          <w:t xml:space="preserve"> ج10، ص179</w:t>
        </w:r>
        <w:r w:rsidRPr="00D6732E">
          <w:rPr>
            <w:rStyle w:val="Hyperlink"/>
          </w:rPr>
          <w:t>.</w:t>
        </w:r>
      </w:hyperlink>
      <w:r>
        <w:rPr>
          <w:rFonts w:hint="cs"/>
          <w:rtl/>
        </w:rPr>
        <w:t xml:space="preserve"> </w:t>
      </w:r>
      <w:r w:rsidRPr="00D6732E">
        <w:rPr>
          <w:rtl/>
        </w:rPr>
        <w:t>أَحْمَدُ بْنُ مُحَمَّدٍ عَنْ عَلِيِّ بْنِ الْحَكَمِ عَنْ عَلِيِّ بْنِ أَبِي حَمْزَةَ عَنْ أَبِي بَصِيرٍ قَالَ سَأَلْتُ أَبَا عَبْدِ اللَّهِ ع عَنْ قَوْلِ اللَّهِ عَزَّ وَ جَلَّ فَمَنْ تَصَدَّقَ بِهِ فَهُوَ كَفّ</w:t>
      </w:r>
      <w:r w:rsidRPr="00D6732E">
        <w:rPr>
          <w:rFonts w:hint="cs"/>
          <w:rtl/>
        </w:rPr>
        <w:t>ارَةٌ</w:t>
      </w:r>
      <w:r w:rsidRPr="00D6732E">
        <w:rPr>
          <w:rtl/>
        </w:rPr>
        <w:t xml:space="preserve"> </w:t>
      </w:r>
      <w:r w:rsidRPr="00D6732E">
        <w:rPr>
          <w:rFonts w:hint="cs"/>
          <w:rtl/>
        </w:rPr>
        <w:t>لَهُ</w:t>
      </w:r>
      <w:r w:rsidRPr="00D6732E">
        <w:rPr>
          <w:rtl/>
        </w:rPr>
        <w:t xml:space="preserve"> قَالَ يُكَفَّرُ عَنْهُ مِنْ ذُنُوبِهِ بِقَدْرِ مَا عَفَا مِنْ جُرْحٍ أَوْ غَيْرِهِ قَالَ وَ سَأَلْتُهُ عَنْ قَوْلِ اللَّهِ عَزَّ وَ جَلَّ فَمَنْ عُفِيَ لَهُ مِنْ أَخِيهِ شَيْ‌ءٌ فَاتِّب</w:t>
      </w:r>
      <w:r w:rsidRPr="00D6732E">
        <w:rPr>
          <w:rFonts w:hint="cs"/>
          <w:rtl/>
        </w:rPr>
        <w:t>اعٌ</w:t>
      </w:r>
      <w:r w:rsidRPr="00D6732E">
        <w:rPr>
          <w:rtl/>
        </w:rPr>
        <w:t xml:space="preserve"> </w:t>
      </w:r>
      <w:r w:rsidRPr="00D6732E">
        <w:rPr>
          <w:rFonts w:hint="cs"/>
          <w:rtl/>
        </w:rPr>
        <w:t>بِالْمَعْرُوفِ</w:t>
      </w:r>
      <w:r w:rsidRPr="00D6732E">
        <w:rPr>
          <w:rtl/>
        </w:rPr>
        <w:t xml:space="preserve"> </w:t>
      </w:r>
      <w:r w:rsidRPr="00D6732E">
        <w:rPr>
          <w:rFonts w:hint="cs"/>
          <w:rtl/>
        </w:rPr>
        <w:t>وَ</w:t>
      </w:r>
      <w:r w:rsidRPr="00D6732E">
        <w:rPr>
          <w:rtl/>
        </w:rPr>
        <w:t xml:space="preserve"> </w:t>
      </w:r>
      <w:r w:rsidRPr="00D6732E">
        <w:rPr>
          <w:rFonts w:hint="cs"/>
          <w:rtl/>
        </w:rPr>
        <w:t>أَداءٌ</w:t>
      </w:r>
      <w:r w:rsidRPr="00D6732E">
        <w:rPr>
          <w:rtl/>
        </w:rPr>
        <w:t xml:space="preserve"> </w:t>
      </w:r>
      <w:r w:rsidRPr="00D6732E">
        <w:rPr>
          <w:rFonts w:hint="cs"/>
          <w:rtl/>
        </w:rPr>
        <w:t>إِلَيْهِ</w:t>
      </w:r>
      <w:r w:rsidRPr="00D6732E">
        <w:rPr>
          <w:rtl/>
        </w:rPr>
        <w:t xml:space="preserve"> </w:t>
      </w:r>
      <w:r w:rsidRPr="00D6732E">
        <w:rPr>
          <w:rFonts w:hint="cs"/>
          <w:rtl/>
        </w:rPr>
        <w:t>بِإِحْسانٍ</w:t>
      </w:r>
      <w:r w:rsidRPr="00D6732E">
        <w:rPr>
          <w:rtl/>
        </w:rPr>
        <w:t xml:space="preserve"> </w:t>
      </w:r>
      <w:r w:rsidRPr="00D6732E">
        <w:rPr>
          <w:rFonts w:hint="cs"/>
          <w:rtl/>
        </w:rPr>
        <w:t>قَالَ</w:t>
      </w:r>
      <w:r w:rsidRPr="00D6732E">
        <w:rPr>
          <w:rtl/>
        </w:rPr>
        <w:t xml:space="preserve"> </w:t>
      </w:r>
      <w:r w:rsidRPr="00D6732E">
        <w:rPr>
          <w:rFonts w:hint="cs"/>
          <w:rtl/>
        </w:rPr>
        <w:t>هُوَ</w:t>
      </w:r>
      <w:r w:rsidRPr="00D6732E">
        <w:rPr>
          <w:rtl/>
        </w:rPr>
        <w:t xml:space="preserve"> </w:t>
      </w:r>
      <w:r w:rsidRPr="00D6732E">
        <w:rPr>
          <w:rFonts w:hint="cs"/>
          <w:rtl/>
        </w:rPr>
        <w:t>الرَّجُل</w:t>
      </w:r>
      <w:r w:rsidRPr="00D6732E">
        <w:rPr>
          <w:rtl/>
        </w:rPr>
        <w:t>ُ يَقْبَلُ الدِّيَةَ فَيَنْبَغِي لِلْمُطَالِبِ أَنْ يَرْفُقَ بِهِ وَ لَا يُعْسِرَهُ وَ يَنْبَغِي لِلْمَطْلُوبِ أَنْ يُؤَدِّيَ إِلَيْهِ بِإِحْسَانٍ فَلَا يَمْطُلْهُ إِذَا قَدَرَ.</w:t>
      </w:r>
    </w:p>
  </w:footnote>
  <w:footnote w:id="9">
    <w:p w:rsidR="00D6732E" w:rsidRPr="00D6732E" w:rsidRDefault="00D6732E" w:rsidP="00D6732E">
      <w:pPr>
        <w:pStyle w:val="FootnoteText"/>
      </w:pPr>
      <w:r w:rsidRPr="00D6732E">
        <w:footnoteRef/>
      </w:r>
      <w:r w:rsidRPr="00D6732E">
        <w:rPr>
          <w:rtl/>
        </w:rPr>
        <w:t xml:space="preserve"> </w:t>
      </w:r>
      <w:r w:rsidRPr="00D6732E">
        <w:rPr>
          <w:rFonts w:hint="eastAsia"/>
          <w:rtl/>
        </w:rPr>
        <w:t>سوره</w:t>
      </w:r>
      <w:r w:rsidRPr="00D6732E">
        <w:rPr>
          <w:rtl/>
        </w:rPr>
        <w:t xml:space="preserve"> شورى، آيه 40.</w:t>
      </w:r>
    </w:p>
  </w:footnote>
  <w:footnote w:id="10">
    <w:p w:rsidR="00295582" w:rsidRPr="00295582" w:rsidRDefault="00295582" w:rsidP="00295582">
      <w:pPr>
        <w:pStyle w:val="FootnoteText"/>
      </w:pPr>
      <w:r w:rsidRPr="00295582">
        <w:footnoteRef/>
      </w:r>
      <w:r w:rsidRPr="00295582">
        <w:rPr>
          <w:rtl/>
        </w:rPr>
        <w:t xml:space="preserve"> </w:t>
      </w:r>
      <w:r w:rsidRPr="00295582">
        <w:rPr>
          <w:rFonts w:hint="eastAsia"/>
          <w:rtl/>
        </w:rPr>
        <w:t>سوره</w:t>
      </w:r>
      <w:r w:rsidRPr="00295582">
        <w:rPr>
          <w:rtl/>
        </w:rPr>
        <w:t xml:space="preserve"> بقره، آيه 237.</w:t>
      </w:r>
    </w:p>
  </w:footnote>
  <w:footnote w:id="11">
    <w:p w:rsidR="000A7730" w:rsidRPr="000A7730" w:rsidRDefault="000A7730" w:rsidP="000A7730">
      <w:pPr>
        <w:pStyle w:val="FootnoteText"/>
      </w:pPr>
      <w:r w:rsidRPr="000A7730">
        <w:footnoteRef/>
      </w:r>
      <w:r w:rsidRPr="000A7730">
        <w:rPr>
          <w:rtl/>
        </w:rPr>
        <w:t xml:space="preserve"> </w:t>
      </w:r>
      <w:hyperlink r:id="rId5" w:history="1">
        <w:r w:rsidRPr="000A7730">
          <w:rPr>
            <w:rStyle w:val="Hyperlink"/>
            <w:rtl/>
          </w:rPr>
          <w:t>الکاف</w:t>
        </w:r>
        <w:r w:rsidRPr="000A7730">
          <w:rPr>
            <w:rStyle w:val="Hyperlink"/>
            <w:rFonts w:hint="cs"/>
            <w:rtl/>
          </w:rPr>
          <w:t>ی</w:t>
        </w:r>
        <w:r w:rsidRPr="000A7730">
          <w:rPr>
            <w:rStyle w:val="Hyperlink"/>
            <w:rFonts w:hint="eastAsia"/>
            <w:rtl/>
          </w:rPr>
          <w:t>،</w:t>
        </w:r>
        <w:r w:rsidRPr="000A7730">
          <w:rPr>
            <w:rStyle w:val="Hyperlink"/>
            <w:rtl/>
          </w:rPr>
          <w:t xml:space="preserve"> محمد بن </w:t>
        </w:r>
        <w:r w:rsidRPr="000A7730">
          <w:rPr>
            <w:rStyle w:val="Hyperlink"/>
            <w:rFonts w:hint="cs"/>
            <w:rtl/>
          </w:rPr>
          <w:t>ی</w:t>
        </w:r>
        <w:r w:rsidRPr="000A7730">
          <w:rPr>
            <w:rStyle w:val="Hyperlink"/>
            <w:rFonts w:hint="eastAsia"/>
            <w:rtl/>
          </w:rPr>
          <w:t>عقوب</w:t>
        </w:r>
        <w:r w:rsidRPr="000A7730">
          <w:rPr>
            <w:rStyle w:val="Hyperlink"/>
            <w:rtl/>
          </w:rPr>
          <w:t xml:space="preserve"> کل</w:t>
        </w:r>
        <w:r w:rsidRPr="000A7730">
          <w:rPr>
            <w:rStyle w:val="Hyperlink"/>
            <w:rFonts w:hint="cs"/>
            <w:rtl/>
          </w:rPr>
          <w:t>ی</w:t>
        </w:r>
        <w:r w:rsidRPr="000A7730">
          <w:rPr>
            <w:rStyle w:val="Hyperlink"/>
            <w:rFonts w:hint="eastAsia"/>
            <w:rtl/>
          </w:rPr>
          <w:t>ن</w:t>
        </w:r>
        <w:r w:rsidRPr="000A7730">
          <w:rPr>
            <w:rStyle w:val="Hyperlink"/>
            <w:rFonts w:hint="cs"/>
            <w:rtl/>
          </w:rPr>
          <w:t>ی</w:t>
        </w:r>
        <w:r w:rsidRPr="000A7730">
          <w:rPr>
            <w:rStyle w:val="Hyperlink"/>
            <w:rFonts w:hint="eastAsia"/>
            <w:rtl/>
          </w:rPr>
          <w:t>،</w:t>
        </w:r>
        <w:r w:rsidRPr="000A7730">
          <w:rPr>
            <w:rStyle w:val="Hyperlink"/>
            <w:rtl/>
          </w:rPr>
          <w:t xml:space="preserve"> ج7، ص252</w:t>
        </w:r>
        <w:r w:rsidRPr="000A7730">
          <w:rPr>
            <w:rStyle w:val="Hyperlink"/>
          </w:rPr>
          <w:t>.</w:t>
        </w:r>
      </w:hyperlink>
    </w:p>
  </w:footnote>
  <w:footnote w:id="12">
    <w:p w:rsidR="000A7730" w:rsidRPr="000A7730" w:rsidRDefault="000A7730" w:rsidP="000A7730">
      <w:pPr>
        <w:pStyle w:val="FootnoteText"/>
      </w:pPr>
      <w:r w:rsidRPr="000A7730">
        <w:footnoteRef/>
      </w:r>
      <w:r w:rsidRPr="000A7730">
        <w:rPr>
          <w:rtl/>
        </w:rPr>
        <w:t xml:space="preserve"> </w:t>
      </w:r>
      <w:hyperlink r:id="rId6" w:history="1">
        <w:r w:rsidRPr="000A7730">
          <w:rPr>
            <w:rStyle w:val="Hyperlink"/>
            <w:rtl/>
          </w:rPr>
          <w:t>الکاف</w:t>
        </w:r>
        <w:r w:rsidRPr="000A7730">
          <w:rPr>
            <w:rStyle w:val="Hyperlink"/>
            <w:rFonts w:hint="cs"/>
            <w:rtl/>
          </w:rPr>
          <w:t>ی</w:t>
        </w:r>
        <w:r w:rsidRPr="000A7730">
          <w:rPr>
            <w:rStyle w:val="Hyperlink"/>
            <w:rFonts w:hint="eastAsia"/>
            <w:rtl/>
          </w:rPr>
          <w:t>،</w:t>
        </w:r>
        <w:r w:rsidRPr="000A7730">
          <w:rPr>
            <w:rStyle w:val="Hyperlink"/>
            <w:rtl/>
          </w:rPr>
          <w:t xml:space="preserve"> محمد بن </w:t>
        </w:r>
        <w:r w:rsidRPr="000A7730">
          <w:rPr>
            <w:rStyle w:val="Hyperlink"/>
            <w:rFonts w:hint="cs"/>
            <w:rtl/>
          </w:rPr>
          <w:t>ی</w:t>
        </w:r>
        <w:r w:rsidRPr="000A7730">
          <w:rPr>
            <w:rStyle w:val="Hyperlink"/>
            <w:rFonts w:hint="eastAsia"/>
            <w:rtl/>
          </w:rPr>
          <w:t>عقوب</w:t>
        </w:r>
        <w:r w:rsidRPr="000A7730">
          <w:rPr>
            <w:rStyle w:val="Hyperlink"/>
            <w:rtl/>
          </w:rPr>
          <w:t xml:space="preserve"> کل</w:t>
        </w:r>
        <w:r w:rsidRPr="000A7730">
          <w:rPr>
            <w:rStyle w:val="Hyperlink"/>
            <w:rFonts w:hint="cs"/>
            <w:rtl/>
          </w:rPr>
          <w:t>ی</w:t>
        </w:r>
        <w:r w:rsidRPr="000A7730">
          <w:rPr>
            <w:rStyle w:val="Hyperlink"/>
            <w:rFonts w:hint="eastAsia"/>
            <w:rtl/>
          </w:rPr>
          <w:t>ن</w:t>
        </w:r>
        <w:r w:rsidRPr="000A7730">
          <w:rPr>
            <w:rStyle w:val="Hyperlink"/>
            <w:rFonts w:hint="cs"/>
            <w:rtl/>
          </w:rPr>
          <w:t>ی</w:t>
        </w:r>
        <w:r w:rsidRPr="000A7730">
          <w:rPr>
            <w:rStyle w:val="Hyperlink"/>
            <w:rFonts w:hint="eastAsia"/>
            <w:rtl/>
          </w:rPr>
          <w:t>،</w:t>
        </w:r>
        <w:r w:rsidRPr="000A7730">
          <w:rPr>
            <w:rStyle w:val="Hyperlink"/>
            <w:rtl/>
          </w:rPr>
          <w:t xml:space="preserve"> ج7، ص251</w:t>
        </w:r>
        <w:r w:rsidRPr="000A7730">
          <w:rPr>
            <w:rStyle w:val="Hyperlink"/>
          </w:rPr>
          <w:t>.</w:t>
        </w:r>
      </w:hyperlink>
    </w:p>
  </w:footnote>
  <w:footnote w:id="13">
    <w:p w:rsidR="005E642A" w:rsidRPr="005E642A" w:rsidRDefault="005E642A" w:rsidP="005E642A">
      <w:pPr>
        <w:pStyle w:val="FootnoteText"/>
      </w:pPr>
      <w:r w:rsidRPr="005E642A">
        <w:footnoteRef/>
      </w:r>
      <w:r w:rsidRPr="005E642A">
        <w:rPr>
          <w:rtl/>
        </w:rPr>
        <w:t xml:space="preserve"> </w:t>
      </w:r>
      <w:hyperlink r:id="rId7" w:history="1">
        <w:r w:rsidRPr="005E642A">
          <w:rPr>
            <w:rStyle w:val="Hyperlink"/>
            <w:rtl/>
          </w:rPr>
          <w:t>الکاف</w:t>
        </w:r>
        <w:r w:rsidRPr="005E642A">
          <w:rPr>
            <w:rStyle w:val="Hyperlink"/>
            <w:rFonts w:hint="cs"/>
            <w:rtl/>
          </w:rPr>
          <w:t>ی</w:t>
        </w:r>
        <w:r w:rsidRPr="005E642A">
          <w:rPr>
            <w:rStyle w:val="Hyperlink"/>
            <w:rFonts w:hint="eastAsia"/>
            <w:rtl/>
          </w:rPr>
          <w:t>،</w:t>
        </w:r>
        <w:r w:rsidRPr="005E642A">
          <w:rPr>
            <w:rStyle w:val="Hyperlink"/>
            <w:rtl/>
          </w:rPr>
          <w:t xml:space="preserve"> محمد بن </w:t>
        </w:r>
        <w:r w:rsidRPr="005E642A">
          <w:rPr>
            <w:rStyle w:val="Hyperlink"/>
            <w:rFonts w:hint="cs"/>
            <w:rtl/>
          </w:rPr>
          <w:t>ی</w:t>
        </w:r>
        <w:r w:rsidRPr="005E642A">
          <w:rPr>
            <w:rStyle w:val="Hyperlink"/>
            <w:rFonts w:hint="eastAsia"/>
            <w:rtl/>
          </w:rPr>
          <w:t>عقوب</w:t>
        </w:r>
        <w:r w:rsidRPr="005E642A">
          <w:rPr>
            <w:rStyle w:val="Hyperlink"/>
            <w:rtl/>
          </w:rPr>
          <w:t xml:space="preserve"> کل</w:t>
        </w:r>
        <w:r w:rsidRPr="005E642A">
          <w:rPr>
            <w:rStyle w:val="Hyperlink"/>
            <w:rFonts w:hint="cs"/>
            <w:rtl/>
          </w:rPr>
          <w:t>ی</w:t>
        </w:r>
        <w:r w:rsidRPr="005E642A">
          <w:rPr>
            <w:rStyle w:val="Hyperlink"/>
            <w:rFonts w:hint="eastAsia"/>
            <w:rtl/>
          </w:rPr>
          <w:t>ن</w:t>
        </w:r>
        <w:r w:rsidRPr="005E642A">
          <w:rPr>
            <w:rStyle w:val="Hyperlink"/>
            <w:rFonts w:hint="cs"/>
            <w:rtl/>
          </w:rPr>
          <w:t>ی</w:t>
        </w:r>
        <w:r w:rsidRPr="005E642A">
          <w:rPr>
            <w:rStyle w:val="Hyperlink"/>
            <w:rFonts w:hint="eastAsia"/>
            <w:rtl/>
          </w:rPr>
          <w:t>،</w:t>
        </w:r>
        <w:r w:rsidRPr="005E642A">
          <w:rPr>
            <w:rStyle w:val="Hyperlink"/>
            <w:rtl/>
          </w:rPr>
          <w:t xml:space="preserve"> ج8، ص170</w:t>
        </w:r>
        <w:r w:rsidRPr="005E642A">
          <w:rPr>
            <w:rStyle w:val="Hyperlink"/>
          </w:rPr>
          <w:t>.</w:t>
        </w:r>
      </w:hyperlink>
    </w:p>
  </w:footnote>
  <w:footnote w:id="14">
    <w:p w:rsidR="005E642A" w:rsidRDefault="005E642A">
      <w:pPr>
        <w:pStyle w:val="FootnoteText"/>
      </w:pPr>
      <w:r>
        <w:rPr>
          <w:rStyle w:val="FootnoteReference"/>
        </w:rPr>
        <w:footnoteRef/>
      </w:r>
      <w:r>
        <w:rPr>
          <w:rtl/>
        </w:rPr>
        <w:t xml:space="preserve"> </w:t>
      </w:r>
      <w:r>
        <w:rPr>
          <w:rFonts w:hint="cs"/>
          <w:rtl/>
        </w:rPr>
        <w:t xml:space="preserve">سنن ابن ماجه، ج 2، ص: 992 </w:t>
      </w:r>
    </w:p>
  </w:footnote>
  <w:footnote w:id="15">
    <w:p w:rsidR="009552C4" w:rsidRPr="009552C4" w:rsidRDefault="009552C4" w:rsidP="009552C4">
      <w:pPr>
        <w:pStyle w:val="FootnoteText"/>
      </w:pPr>
      <w:r w:rsidRPr="009552C4">
        <w:footnoteRef/>
      </w:r>
      <w:r w:rsidRPr="009552C4">
        <w:rPr>
          <w:rtl/>
        </w:rPr>
        <w:t xml:space="preserve"> </w:t>
      </w:r>
      <w:hyperlink r:id="rId8" w:history="1">
        <w:r w:rsidRPr="009552C4">
          <w:rPr>
            <w:rStyle w:val="Hyperlink"/>
            <w:rtl/>
          </w:rPr>
          <w:t>الکاف</w:t>
        </w:r>
        <w:r w:rsidRPr="009552C4">
          <w:rPr>
            <w:rStyle w:val="Hyperlink"/>
            <w:rFonts w:hint="cs"/>
            <w:rtl/>
          </w:rPr>
          <w:t>ی</w:t>
        </w:r>
        <w:r w:rsidRPr="009552C4">
          <w:rPr>
            <w:rStyle w:val="Hyperlink"/>
            <w:rFonts w:hint="eastAsia"/>
            <w:rtl/>
          </w:rPr>
          <w:t>،</w:t>
        </w:r>
        <w:r w:rsidRPr="009552C4">
          <w:rPr>
            <w:rStyle w:val="Hyperlink"/>
            <w:rtl/>
          </w:rPr>
          <w:t xml:space="preserve"> محمد بن </w:t>
        </w:r>
        <w:r w:rsidRPr="009552C4">
          <w:rPr>
            <w:rStyle w:val="Hyperlink"/>
            <w:rFonts w:hint="cs"/>
            <w:rtl/>
          </w:rPr>
          <w:t>ی</w:t>
        </w:r>
        <w:r w:rsidRPr="009552C4">
          <w:rPr>
            <w:rStyle w:val="Hyperlink"/>
            <w:rFonts w:hint="eastAsia"/>
            <w:rtl/>
          </w:rPr>
          <w:t>عقوب</w:t>
        </w:r>
        <w:r w:rsidRPr="009552C4">
          <w:rPr>
            <w:rStyle w:val="Hyperlink"/>
            <w:rtl/>
          </w:rPr>
          <w:t xml:space="preserve"> کل</w:t>
        </w:r>
        <w:r w:rsidRPr="009552C4">
          <w:rPr>
            <w:rStyle w:val="Hyperlink"/>
            <w:rFonts w:hint="cs"/>
            <w:rtl/>
          </w:rPr>
          <w:t>ی</w:t>
        </w:r>
        <w:r w:rsidRPr="009552C4">
          <w:rPr>
            <w:rStyle w:val="Hyperlink"/>
            <w:rFonts w:hint="eastAsia"/>
            <w:rtl/>
          </w:rPr>
          <w:t>ن</w:t>
        </w:r>
        <w:r w:rsidRPr="009552C4">
          <w:rPr>
            <w:rStyle w:val="Hyperlink"/>
            <w:rFonts w:hint="cs"/>
            <w:rtl/>
          </w:rPr>
          <w:t>ی</w:t>
        </w:r>
        <w:r w:rsidRPr="009552C4">
          <w:rPr>
            <w:rStyle w:val="Hyperlink"/>
            <w:rFonts w:hint="eastAsia"/>
            <w:rtl/>
          </w:rPr>
          <w:t>،</w:t>
        </w:r>
        <w:r w:rsidRPr="009552C4">
          <w:rPr>
            <w:rStyle w:val="Hyperlink"/>
            <w:rtl/>
          </w:rPr>
          <w:t xml:space="preserve"> ج5، ص555</w:t>
        </w:r>
        <w:r w:rsidRPr="009552C4">
          <w:rPr>
            <w:rStyle w:val="Hyperlink"/>
          </w:rPr>
          <w:t>.</w:t>
        </w:r>
      </w:hyperlink>
    </w:p>
  </w:footnote>
  <w:footnote w:id="16">
    <w:p w:rsidR="00682D8C" w:rsidRDefault="00682D8C">
      <w:pPr>
        <w:pStyle w:val="FootnoteText"/>
      </w:pPr>
      <w:r>
        <w:rPr>
          <w:rStyle w:val="FootnoteReference"/>
        </w:rPr>
        <w:footnoteRef/>
      </w:r>
      <w:r>
        <w:rPr>
          <w:rtl/>
        </w:rPr>
        <w:t xml:space="preserve"> </w:t>
      </w:r>
      <w:r>
        <w:rPr>
          <w:rFonts w:hint="cs"/>
          <w:rtl/>
        </w:rPr>
        <w:t xml:space="preserve">مقرّر: جنیه اجتماعی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C4" w:rsidRPr="001D2E9A" w:rsidRDefault="00A534C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043</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16 /9 /1400</w:t>
    </w:r>
  </w:p>
  <w:p w:rsidR="00A534C4" w:rsidRPr="00F16B53" w:rsidRDefault="00A534C4" w:rsidP="00A534C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وجود حق مال</w:t>
    </w:r>
    <w:r>
      <w:rPr>
        <w:rFonts w:hint="cs"/>
        <w:color w:val="000000" w:themeColor="text1"/>
        <w:sz w:val="24"/>
        <w:szCs w:val="24"/>
        <w:rtl/>
      </w:rPr>
      <w:t>ی</w:t>
    </w:r>
    <w:r>
      <w:rPr>
        <w:color w:val="000000" w:themeColor="text1"/>
        <w:sz w:val="24"/>
        <w:szCs w:val="24"/>
        <w:rtl/>
      </w:rPr>
      <w:t xml:space="preserve"> د</w:t>
    </w:r>
    <w:r>
      <w:rPr>
        <w:rFonts w:hint="cs"/>
        <w:color w:val="000000" w:themeColor="text1"/>
        <w:sz w:val="24"/>
        <w:szCs w:val="24"/>
        <w:rtl/>
      </w:rPr>
      <w:t>ی</w:t>
    </w:r>
    <w:r>
      <w:rPr>
        <w:rFonts w:hint="eastAsia"/>
        <w:color w:val="000000" w:themeColor="text1"/>
        <w:sz w:val="24"/>
        <w:szCs w:val="24"/>
        <w:rtl/>
      </w:rPr>
      <w:t>گر</w:t>
    </w:r>
    <w:r>
      <w:rPr>
        <w:rFonts w:hint="cs"/>
        <w:color w:val="000000" w:themeColor="text1"/>
        <w:sz w:val="24"/>
        <w:szCs w:val="24"/>
        <w:rtl/>
      </w:rPr>
      <w:t>ی</w:t>
    </w:r>
    <w:r>
      <w:rPr>
        <w:color w:val="000000" w:themeColor="text1"/>
        <w:sz w:val="24"/>
        <w:szCs w:val="24"/>
        <w:rtl/>
      </w:rPr>
      <w:t xml:space="preserve"> به جز زکات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F2B42"/>
    <w:multiLevelType w:val="hybridMultilevel"/>
    <w:tmpl w:val="58344960"/>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4FF8"/>
    <w:rsid w:val="00055496"/>
    <w:rsid w:val="000653EC"/>
    <w:rsid w:val="00080A41"/>
    <w:rsid w:val="0008299B"/>
    <w:rsid w:val="000913AA"/>
    <w:rsid w:val="00094847"/>
    <w:rsid w:val="00096C63"/>
    <w:rsid w:val="000A1373"/>
    <w:rsid w:val="000A7730"/>
    <w:rsid w:val="000B57CE"/>
    <w:rsid w:val="000B5DB5"/>
    <w:rsid w:val="000C3947"/>
    <w:rsid w:val="000D2A37"/>
    <w:rsid w:val="000D30E9"/>
    <w:rsid w:val="000D6818"/>
    <w:rsid w:val="000E335E"/>
    <w:rsid w:val="000F16CF"/>
    <w:rsid w:val="000F191E"/>
    <w:rsid w:val="000F5BAC"/>
    <w:rsid w:val="001001C0"/>
    <w:rsid w:val="00102585"/>
    <w:rsid w:val="00113DDB"/>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B6949"/>
    <w:rsid w:val="001C10EA"/>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5582"/>
    <w:rsid w:val="002B575F"/>
    <w:rsid w:val="002B729B"/>
    <w:rsid w:val="002C23B5"/>
    <w:rsid w:val="002C53A2"/>
    <w:rsid w:val="002D0040"/>
    <w:rsid w:val="002D2FA8"/>
    <w:rsid w:val="002E220F"/>
    <w:rsid w:val="002F274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1F7"/>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3F06"/>
    <w:rsid w:val="005B7BCA"/>
    <w:rsid w:val="005C0DAE"/>
    <w:rsid w:val="005C188E"/>
    <w:rsid w:val="005D2349"/>
    <w:rsid w:val="005D3F86"/>
    <w:rsid w:val="005E1B60"/>
    <w:rsid w:val="005E5507"/>
    <w:rsid w:val="005E607B"/>
    <w:rsid w:val="005E642A"/>
    <w:rsid w:val="005F0A8D"/>
    <w:rsid w:val="00601229"/>
    <w:rsid w:val="00603B67"/>
    <w:rsid w:val="006162A2"/>
    <w:rsid w:val="006240DA"/>
    <w:rsid w:val="0063256E"/>
    <w:rsid w:val="00633F04"/>
    <w:rsid w:val="00635219"/>
    <w:rsid w:val="00635EC0"/>
    <w:rsid w:val="00640B58"/>
    <w:rsid w:val="00651B02"/>
    <w:rsid w:val="00651B19"/>
    <w:rsid w:val="00660A29"/>
    <w:rsid w:val="00682D8C"/>
    <w:rsid w:val="00695519"/>
    <w:rsid w:val="006A4134"/>
    <w:rsid w:val="006A49FC"/>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5AE0"/>
    <w:rsid w:val="007D6C53"/>
    <w:rsid w:val="007E1564"/>
    <w:rsid w:val="007E1E87"/>
    <w:rsid w:val="007E5B3F"/>
    <w:rsid w:val="007F2257"/>
    <w:rsid w:val="0080091D"/>
    <w:rsid w:val="00804108"/>
    <w:rsid w:val="00804FC4"/>
    <w:rsid w:val="00816367"/>
    <w:rsid w:val="00816A0B"/>
    <w:rsid w:val="00824B22"/>
    <w:rsid w:val="00830A97"/>
    <w:rsid w:val="00830C53"/>
    <w:rsid w:val="00837FAA"/>
    <w:rsid w:val="00841F77"/>
    <w:rsid w:val="0085276D"/>
    <w:rsid w:val="00863390"/>
    <w:rsid w:val="0086385C"/>
    <w:rsid w:val="00871916"/>
    <w:rsid w:val="008837A3"/>
    <w:rsid w:val="00884B17"/>
    <w:rsid w:val="008956DD"/>
    <w:rsid w:val="008A510E"/>
    <w:rsid w:val="008A522A"/>
    <w:rsid w:val="008B4464"/>
    <w:rsid w:val="008B750B"/>
    <w:rsid w:val="008C3162"/>
    <w:rsid w:val="008D1F14"/>
    <w:rsid w:val="008E3924"/>
    <w:rsid w:val="008F13F7"/>
    <w:rsid w:val="008F5B4D"/>
    <w:rsid w:val="008F5EF7"/>
    <w:rsid w:val="00901E7D"/>
    <w:rsid w:val="00907425"/>
    <w:rsid w:val="00923C34"/>
    <w:rsid w:val="00924152"/>
    <w:rsid w:val="0092513D"/>
    <w:rsid w:val="00927A9F"/>
    <w:rsid w:val="00931DE6"/>
    <w:rsid w:val="009335CC"/>
    <w:rsid w:val="00934E6A"/>
    <w:rsid w:val="00935A55"/>
    <w:rsid w:val="00941CEB"/>
    <w:rsid w:val="0094720F"/>
    <w:rsid w:val="00953B28"/>
    <w:rsid w:val="00954322"/>
    <w:rsid w:val="009552C4"/>
    <w:rsid w:val="00957CAA"/>
    <w:rsid w:val="0096778A"/>
    <w:rsid w:val="00973827"/>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4CB4"/>
    <w:rsid w:val="00A457C6"/>
    <w:rsid w:val="00A46AD0"/>
    <w:rsid w:val="00A47063"/>
    <w:rsid w:val="00A473A8"/>
    <w:rsid w:val="00A513F0"/>
    <w:rsid w:val="00A534C4"/>
    <w:rsid w:val="00A61AC8"/>
    <w:rsid w:val="00A6366F"/>
    <w:rsid w:val="00A63FF3"/>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43A"/>
    <w:rsid w:val="00B96F38"/>
    <w:rsid w:val="00BC716B"/>
    <w:rsid w:val="00BD0E74"/>
    <w:rsid w:val="00BD5F8C"/>
    <w:rsid w:val="00BE29DD"/>
    <w:rsid w:val="00C066AF"/>
    <w:rsid w:val="00C10E06"/>
    <w:rsid w:val="00C145B8"/>
    <w:rsid w:val="00C23ADC"/>
    <w:rsid w:val="00C2438F"/>
    <w:rsid w:val="00C31AF0"/>
    <w:rsid w:val="00C32A7E"/>
    <w:rsid w:val="00C34F28"/>
    <w:rsid w:val="00C368DF"/>
    <w:rsid w:val="00C442C5"/>
    <w:rsid w:val="00C57B5C"/>
    <w:rsid w:val="00C57C7C"/>
    <w:rsid w:val="00C61049"/>
    <w:rsid w:val="00C63FFE"/>
    <w:rsid w:val="00C7795C"/>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D94"/>
    <w:rsid w:val="00D525F3"/>
    <w:rsid w:val="00D552B9"/>
    <w:rsid w:val="00D6732E"/>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5AE"/>
    <w:rsid w:val="00E52D07"/>
    <w:rsid w:val="00E5518B"/>
    <w:rsid w:val="00E609FE"/>
    <w:rsid w:val="00E630BE"/>
    <w:rsid w:val="00E75920"/>
    <w:rsid w:val="00E80D96"/>
    <w:rsid w:val="00E871FA"/>
    <w:rsid w:val="00E936A4"/>
    <w:rsid w:val="00E954BB"/>
    <w:rsid w:val="00E96122"/>
    <w:rsid w:val="00EA45E7"/>
    <w:rsid w:val="00EA6542"/>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8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5455486">
      <w:bodyDiv w:val="1"/>
      <w:marLeft w:val="0"/>
      <w:marRight w:val="0"/>
      <w:marTop w:val="0"/>
      <w:marBottom w:val="0"/>
      <w:divBdr>
        <w:top w:val="none" w:sz="0" w:space="0" w:color="auto"/>
        <w:left w:val="none" w:sz="0" w:space="0" w:color="auto"/>
        <w:bottom w:val="none" w:sz="0" w:space="0" w:color="auto"/>
        <w:right w:val="none" w:sz="0" w:space="0" w:color="auto"/>
      </w:divBdr>
    </w:div>
    <w:div w:id="24950735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859408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97932541">
      <w:bodyDiv w:val="1"/>
      <w:marLeft w:val="0"/>
      <w:marRight w:val="0"/>
      <w:marTop w:val="0"/>
      <w:marBottom w:val="0"/>
      <w:divBdr>
        <w:top w:val="none" w:sz="0" w:space="0" w:color="auto"/>
        <w:left w:val="none" w:sz="0" w:space="0" w:color="auto"/>
        <w:bottom w:val="none" w:sz="0" w:space="0" w:color="auto"/>
        <w:right w:val="none" w:sz="0" w:space="0" w:color="auto"/>
      </w:divBdr>
    </w:div>
    <w:div w:id="926815585">
      <w:bodyDiv w:val="1"/>
      <w:marLeft w:val="0"/>
      <w:marRight w:val="0"/>
      <w:marTop w:val="0"/>
      <w:marBottom w:val="0"/>
      <w:divBdr>
        <w:top w:val="none" w:sz="0" w:space="0" w:color="auto"/>
        <w:left w:val="none" w:sz="0" w:space="0" w:color="auto"/>
        <w:bottom w:val="none" w:sz="0" w:space="0" w:color="auto"/>
        <w:right w:val="none" w:sz="0" w:space="0" w:color="auto"/>
      </w:divBdr>
    </w:div>
    <w:div w:id="109532228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4102339">
      <w:bodyDiv w:val="1"/>
      <w:marLeft w:val="0"/>
      <w:marRight w:val="0"/>
      <w:marTop w:val="0"/>
      <w:marBottom w:val="0"/>
      <w:divBdr>
        <w:top w:val="none" w:sz="0" w:space="0" w:color="auto"/>
        <w:left w:val="none" w:sz="0" w:space="0" w:color="auto"/>
        <w:bottom w:val="none" w:sz="0" w:space="0" w:color="auto"/>
        <w:right w:val="none" w:sz="0" w:space="0" w:color="auto"/>
      </w:divBdr>
    </w:div>
    <w:div w:id="1268073774">
      <w:bodyDiv w:val="1"/>
      <w:marLeft w:val="0"/>
      <w:marRight w:val="0"/>
      <w:marTop w:val="0"/>
      <w:marBottom w:val="0"/>
      <w:divBdr>
        <w:top w:val="none" w:sz="0" w:space="0" w:color="auto"/>
        <w:left w:val="none" w:sz="0" w:space="0" w:color="auto"/>
        <w:bottom w:val="none" w:sz="0" w:space="0" w:color="auto"/>
        <w:right w:val="none" w:sz="0" w:space="0" w:color="auto"/>
      </w:divBdr>
    </w:div>
    <w:div w:id="131144801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5038397">
      <w:bodyDiv w:val="1"/>
      <w:marLeft w:val="0"/>
      <w:marRight w:val="0"/>
      <w:marTop w:val="0"/>
      <w:marBottom w:val="0"/>
      <w:divBdr>
        <w:top w:val="none" w:sz="0" w:space="0" w:color="auto"/>
        <w:left w:val="none" w:sz="0" w:space="0" w:color="auto"/>
        <w:bottom w:val="none" w:sz="0" w:space="0" w:color="auto"/>
        <w:right w:val="none" w:sz="0" w:space="0" w:color="auto"/>
      </w:divBdr>
    </w:div>
    <w:div w:id="1711345822">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95158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555/" TargetMode="External"/><Relationship Id="rId3" Type="http://schemas.openxmlformats.org/officeDocument/2006/relationships/hyperlink" Target="http://lib.eshia.ir/11005/7/253/" TargetMode="External"/><Relationship Id="rId7" Type="http://schemas.openxmlformats.org/officeDocument/2006/relationships/hyperlink" Target="http://lib.eshia.ir/11005/8/170/" TargetMode="External"/><Relationship Id="rId2" Type="http://schemas.openxmlformats.org/officeDocument/2006/relationships/hyperlink" Target="http://lib.eshia.ir/11005/7/252/" TargetMode="External"/><Relationship Id="rId1" Type="http://schemas.openxmlformats.org/officeDocument/2006/relationships/hyperlink" Target="http://lib.eshia.ir/10083/10/82/" TargetMode="External"/><Relationship Id="rId6" Type="http://schemas.openxmlformats.org/officeDocument/2006/relationships/hyperlink" Target="http://lib.eshia.ir/11005/7/251/" TargetMode="External"/><Relationship Id="rId5" Type="http://schemas.openxmlformats.org/officeDocument/2006/relationships/hyperlink" Target="http://lib.eshia.ir/11005/7/252/" TargetMode="External"/><Relationship Id="rId4" Type="http://schemas.openxmlformats.org/officeDocument/2006/relationships/hyperlink" Target="http://lib.eshia.ir/10083/10/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8C12-F275-4293-9534-01897892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390</TotalTime>
  <Pages>8</Pages>
  <Words>2427</Words>
  <Characters>13837</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24</cp:revision>
  <cp:lastPrinted>2021-12-12T02:29:00Z</cp:lastPrinted>
  <dcterms:created xsi:type="dcterms:W3CDTF">2021-12-11T00:57:00Z</dcterms:created>
  <dcterms:modified xsi:type="dcterms:W3CDTF">2021-12-12T20:02:00Z</dcterms:modified>
  <cp:contentStatus>ویرایش 2.5</cp:contentStatus>
  <cp:version>2.7</cp:version>
</cp:coreProperties>
</file>