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98" w:rsidRDefault="007B1E98" w:rsidP="007B1E9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B1E98" w:rsidRDefault="007B1E98" w:rsidP="00891E0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32</w:t>
      </w:r>
      <w:r>
        <w:rPr>
          <w:rFonts w:ascii="IRANSans" w:hAnsi="IRANSans" w:cs="IRANSans"/>
          <w:b/>
          <w:bCs/>
          <w:color w:val="0101FF"/>
          <w:sz w:val="24"/>
          <w:szCs w:val="24"/>
          <w:shd w:val="clear" w:color="auto" w:fill="FFFFFF"/>
          <w:rtl/>
        </w:rPr>
        <w:t xml:space="preserve">– </w:t>
      </w:r>
      <w:r w:rsidR="00891E00">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sidR="00891E00">
        <w:rPr>
          <w:rFonts w:ascii="IRANSans" w:hAnsi="IRANSans" w:cs="IRANSans" w:hint="cs"/>
          <w:b/>
          <w:bCs/>
          <w:color w:val="0101FF"/>
          <w:sz w:val="24"/>
          <w:szCs w:val="24"/>
          <w:shd w:val="clear" w:color="auto" w:fill="FFFFFF"/>
          <w:rtl/>
        </w:rPr>
        <w:t>9</w:t>
      </w:r>
      <w:bookmarkStart w:id="0" w:name="_GoBack"/>
      <w:bookmarkEnd w:id="0"/>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717166">
      <w:pPr>
        <w:jc w:val="both"/>
        <w:rPr>
          <w:rStyle w:val="Emphasis"/>
          <w:b/>
          <w:bCs w:val="0"/>
          <w:rtl/>
        </w:rPr>
      </w:pPr>
      <w:r w:rsidRPr="009C66D5">
        <w:rPr>
          <w:rStyle w:val="Emphasis"/>
          <w:rFonts w:hint="cs"/>
          <w:b/>
          <w:bCs w:val="0"/>
          <w:rtl/>
        </w:rPr>
        <w:t>خلاصه مباحث گذشته:</w:t>
      </w:r>
    </w:p>
    <w:p w:rsidR="003A6148" w:rsidRDefault="008F5B4D" w:rsidP="00717166">
      <w:pPr>
        <w:pBdr>
          <w:bottom w:val="double" w:sz="6" w:space="1" w:color="auto"/>
        </w:pBdr>
        <w:jc w:val="both"/>
        <w:rPr>
          <w:rtl/>
        </w:rPr>
      </w:pPr>
      <w:r>
        <w:rPr>
          <w:rFonts w:hint="cs"/>
          <w:rtl/>
        </w:rPr>
        <w:t>متن خلاصه ...</w:t>
      </w:r>
    </w:p>
    <w:p w:rsidR="00247D2F" w:rsidRPr="003A6148" w:rsidRDefault="00247D2F" w:rsidP="00717166">
      <w:pPr>
        <w:pBdr>
          <w:bottom w:val="double" w:sz="6" w:space="1" w:color="auto"/>
        </w:pBdr>
        <w:jc w:val="both"/>
      </w:pPr>
    </w:p>
    <w:p w:rsidR="008F5B4D" w:rsidRDefault="008F5B4D" w:rsidP="00717166">
      <w:pPr>
        <w:jc w:val="both"/>
      </w:pPr>
    </w:p>
    <w:p w:rsidR="00717166" w:rsidRDefault="00717166" w:rsidP="00717166">
      <w:pPr>
        <w:pStyle w:val="Heading2"/>
        <w:jc w:val="both"/>
        <w:rPr>
          <w:rtl/>
        </w:rPr>
      </w:pPr>
      <w:bookmarkStart w:id="1" w:name="_Toc88888561"/>
      <w:r>
        <w:rPr>
          <w:rFonts w:hint="cs"/>
          <w:rtl/>
        </w:rPr>
        <w:t>رابطه روایت مسعده و مرسله ابن ابی عمیر</w:t>
      </w:r>
      <w:bookmarkEnd w:id="1"/>
      <w:r>
        <w:rPr>
          <w:rFonts w:hint="cs"/>
          <w:rtl/>
        </w:rPr>
        <w:t xml:space="preserve"> </w:t>
      </w:r>
    </w:p>
    <w:p w:rsidR="001A1EA5" w:rsidRDefault="00146508" w:rsidP="00717166">
      <w:pPr>
        <w:jc w:val="both"/>
        <w:rPr>
          <w:rtl/>
        </w:rPr>
      </w:pPr>
      <w:r>
        <w:rPr>
          <w:rFonts w:hint="cs"/>
          <w:rtl/>
        </w:rPr>
        <w:t>درباره روایت مسعده بن زیاد در جلسه قبل توضیحی داده شد که برخی از دوستان سوالاتی را مطرح کردند که نشان داد باید بیشتر در این زمینه توضیح داد</w:t>
      </w:r>
      <w:r w:rsidR="00717166">
        <w:rPr>
          <w:rFonts w:hint="cs"/>
          <w:rtl/>
        </w:rPr>
        <w:t>ه شود</w:t>
      </w:r>
      <w:r>
        <w:rPr>
          <w:rFonts w:hint="cs"/>
          <w:rtl/>
        </w:rPr>
        <w:t xml:space="preserve">. </w:t>
      </w:r>
    </w:p>
    <w:p w:rsidR="00146508" w:rsidRDefault="00146508" w:rsidP="00717166">
      <w:pPr>
        <w:jc w:val="both"/>
        <w:rPr>
          <w:rtl/>
        </w:rPr>
      </w:pPr>
      <w:r>
        <w:rPr>
          <w:rFonts w:hint="cs"/>
          <w:rtl/>
        </w:rPr>
        <w:t>مفروض روایت مسعده بن زیاد</w:t>
      </w:r>
      <w:r w:rsidR="00335D23">
        <w:rPr>
          <w:rStyle w:val="FootnoteReference"/>
          <w:rtl/>
        </w:rPr>
        <w:footnoteReference w:id="1"/>
      </w:r>
      <w:r>
        <w:rPr>
          <w:rFonts w:hint="cs"/>
          <w:rtl/>
        </w:rPr>
        <w:t xml:space="preserve"> این است که اگر ثمره ای که شخص قصد خوردن آن را دارد، فضای محفوظی (فناء محاط) آن را احاطه کرده و داخل دیواری است، حق خوردن وجود ندارد. بیان شد: مفهوم آن این است که اکل از ثمره ای که دیوار آن را احاطه نکرده، جایز است. چه بستان دیوار نداشته باشد یا بر فرض وجود دیوار، ثمره بیرون دیوار است. با این فرض </w:t>
      </w:r>
      <w:r w:rsidR="00335D23">
        <w:rPr>
          <w:rFonts w:hint="cs"/>
          <w:rtl/>
        </w:rPr>
        <w:t xml:space="preserve">تحلیل </w:t>
      </w:r>
      <w:r>
        <w:rPr>
          <w:rFonts w:hint="cs"/>
          <w:rtl/>
        </w:rPr>
        <w:t>نسبت این روایت با مرسله ابن ا</w:t>
      </w:r>
      <w:r w:rsidR="00335D23">
        <w:rPr>
          <w:rFonts w:hint="cs"/>
          <w:rtl/>
        </w:rPr>
        <w:t xml:space="preserve">بی عمیر که به نظر ما معتبر است، نیازمند تبیین است. در مرسله ابن ابی عمیر وارد شده بود: </w:t>
      </w:r>
    </w:p>
    <w:p w:rsidR="00335D23" w:rsidRDefault="00335D23" w:rsidP="00717166">
      <w:pPr>
        <w:jc w:val="both"/>
        <w:rPr>
          <w:color w:val="008000"/>
          <w:rtl/>
        </w:rPr>
      </w:pPr>
      <w:r w:rsidRPr="00335D23">
        <w:rPr>
          <w:color w:val="008000"/>
          <w:rtl/>
        </w:rPr>
        <w:t>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p>
    <w:p w:rsidR="00335D23" w:rsidRDefault="00335D23" w:rsidP="00717166">
      <w:pPr>
        <w:jc w:val="both"/>
        <w:rPr>
          <w:rtl/>
        </w:rPr>
      </w:pPr>
      <w:r>
        <w:rPr>
          <w:rFonts w:hint="cs"/>
          <w:rtl/>
        </w:rPr>
        <w:t xml:space="preserve">یکی از شرایط جواز اکل مارّه این است که مرور اتفاقی باشد نه آنکه برای اکل مرور کرده باشد. بیان شده: ظاهر «یمرّ» مرور اتفاقی است نه یمرّ للاکل. </w:t>
      </w:r>
    </w:p>
    <w:p w:rsidR="00335D23" w:rsidRDefault="00335D23" w:rsidP="00717166">
      <w:pPr>
        <w:pStyle w:val="ListParagraph"/>
        <w:numPr>
          <w:ilvl w:val="0"/>
          <w:numId w:val="17"/>
        </w:numPr>
        <w:jc w:val="both"/>
        <w:rPr>
          <w:rtl/>
        </w:rPr>
      </w:pPr>
      <w:r>
        <w:rPr>
          <w:rFonts w:hint="cs"/>
          <w:rtl/>
        </w:rPr>
        <w:t xml:space="preserve">اگر این مبنا انتخاب شود، روایت مسعده بن زیاد ارتباطی با روایت ابن ابی عمیر ندارد و تنافی ندارند. روایت ابن ابی عمیر در مرور اتفاقی، اکل را تجویز کرده است در حالی که در روایت مسعده بن زیاد، </w:t>
      </w:r>
      <w:r w:rsidR="00717166">
        <w:rPr>
          <w:rFonts w:hint="cs"/>
          <w:rtl/>
        </w:rPr>
        <w:t xml:space="preserve">اکل در صورت </w:t>
      </w:r>
      <w:r>
        <w:rPr>
          <w:rFonts w:hint="cs"/>
          <w:rtl/>
        </w:rPr>
        <w:t>دخول در باغ برای خوردن</w:t>
      </w:r>
      <w:r w:rsidR="00717166">
        <w:rPr>
          <w:rFonts w:hint="cs"/>
          <w:rtl/>
        </w:rPr>
        <w:t xml:space="preserve"> را</w:t>
      </w:r>
      <w:r>
        <w:rPr>
          <w:rFonts w:hint="cs"/>
          <w:rtl/>
        </w:rPr>
        <w:t xml:space="preserve"> که مرور اتفاقی نیست، نفی کرده است. بنابراین منع در روایت مسعده بن زیاد با تجویز در مرسله ابن ابی عمیر در دو مورد مختلف هستند و تعارضی ندارند. </w:t>
      </w:r>
    </w:p>
    <w:p w:rsidR="00C77A9F" w:rsidRDefault="00C77A9F" w:rsidP="00717166">
      <w:pPr>
        <w:pStyle w:val="ListParagraph"/>
        <w:numPr>
          <w:ilvl w:val="0"/>
          <w:numId w:val="17"/>
        </w:numPr>
        <w:jc w:val="both"/>
        <w:rPr>
          <w:rtl/>
        </w:rPr>
      </w:pPr>
      <w:r>
        <w:rPr>
          <w:rFonts w:hint="cs"/>
          <w:rtl/>
        </w:rPr>
        <w:lastRenderedPageBreak/>
        <w:t xml:space="preserve">این احتمال نیز وجود دارد که ظاهر ادله، مرور محلّل است و شخص در مرور حق داشته باشد. مراد از محلل بودن مرور، وجود حق در مرور است و حرمت از باب ضرر و مانند آن نافی حقّ مرور نیست. با این فرض، مفروض روایت مسعده وجود دیوار است که فرد روشن آن جایی است که شخص حق داخل شدن در باغ را ندارد. گویا این روایت بیان می کند: اکل مارّه مجوّز دخول در باغ نیست و در جایی که مرور به ثمره جایز است، اکل اشکالی ندارد. مطابق این معنا نیز بین مرسله ابن ابی عمیر و روایت مسعده بن زیاد هیچ تنافی وجود ندارد. زیرا مرسله در جایی که مرور جایز باشد، اکل را تجویز کرده در حالی در روایت مسعده بیان شده: در جایی که دیوار کشیده شده، مرور جایز نیست. پس روایت مسعده، شرط جواز اکل در مرسله ابن ابی عمیر که جواز مرور باشد را نفی می کند. </w:t>
      </w:r>
    </w:p>
    <w:p w:rsidR="00717166" w:rsidRDefault="00C77A9F" w:rsidP="00717166">
      <w:pPr>
        <w:pStyle w:val="ListParagraph"/>
        <w:numPr>
          <w:ilvl w:val="0"/>
          <w:numId w:val="17"/>
        </w:numPr>
        <w:jc w:val="both"/>
      </w:pPr>
      <w:r>
        <w:rPr>
          <w:rFonts w:hint="cs"/>
          <w:rtl/>
        </w:rPr>
        <w:t xml:space="preserve">اگر این دو بیان گفته نشود، بین این دو روایت تنافی بدوی </w:t>
      </w:r>
      <w:r w:rsidR="005A7C57">
        <w:rPr>
          <w:rFonts w:hint="cs"/>
          <w:rtl/>
        </w:rPr>
        <w:t xml:space="preserve">وجود </w:t>
      </w:r>
      <w:r>
        <w:rPr>
          <w:rFonts w:hint="cs"/>
          <w:rtl/>
        </w:rPr>
        <w:t>دارد و «یمرّ» نسبت به مرور اتفاقی و مرور برای اکل و مرور حلال و حرام اطلاق دارد و روایت مسعده مرور به نحو داخل شدن در باغ را مجوّز اکل نمی داند. با این فرض،</w:t>
      </w:r>
      <w:r w:rsidR="00717166">
        <w:rPr>
          <w:rFonts w:hint="cs"/>
          <w:rtl/>
        </w:rPr>
        <w:t xml:space="preserve"> هر چند رابطه بین این دو روایت عموم و خصوص من وجه است، اما</w:t>
      </w:r>
      <w:r>
        <w:rPr>
          <w:rFonts w:hint="cs"/>
          <w:rtl/>
        </w:rPr>
        <w:t xml:space="preserve"> روایت مسعده مرسله ابن ابی عمیر را تخصیص می زند و خروج این فرد نیز به علت فرد خفی بودن آن </w:t>
      </w:r>
      <w:r w:rsidR="000221C2">
        <w:rPr>
          <w:rFonts w:hint="cs"/>
          <w:rtl/>
        </w:rPr>
        <w:t xml:space="preserve">در افراد </w:t>
      </w:r>
      <w:r>
        <w:rPr>
          <w:rFonts w:hint="cs"/>
          <w:rtl/>
        </w:rPr>
        <w:t xml:space="preserve">مرور، اشکالی ندارد. </w:t>
      </w:r>
      <w:r w:rsidR="000221C2">
        <w:rPr>
          <w:rFonts w:hint="cs"/>
          <w:rtl/>
        </w:rPr>
        <w:t>هر چند به نظر ما به دو بیان اول، «یمرّ» ذاتا این افراد را شامل نیست.</w:t>
      </w:r>
      <w:r w:rsidR="005A7C57">
        <w:rPr>
          <w:rFonts w:hint="cs"/>
          <w:rtl/>
        </w:rPr>
        <w:t xml:space="preserve"> اما</w:t>
      </w:r>
      <w:r w:rsidR="000221C2">
        <w:rPr>
          <w:rFonts w:hint="cs"/>
          <w:rtl/>
        </w:rPr>
        <w:t xml:space="preserve"> حتی در صورتی که این دو بیان قبول نشود، فرد ظاهر مرور، مرور اتفاقی است و روایت مسعده مروری را که با عمل حرام تحقق یافته و هم مرور حرام است و هم للاکل است و اتفاقی نیست و آن هم با دخول در باغ غیر، مجوّز اکل نمی داند. </w:t>
      </w:r>
      <w:r w:rsidR="005A7C57">
        <w:rPr>
          <w:rFonts w:hint="cs"/>
          <w:rtl/>
        </w:rPr>
        <w:t xml:space="preserve">در نتیجه، هر چند رابطه بین مرسله ابن ابی عمیر و روایت مسعده، عموم و خصوص من وجه باشد اما تخصیص روایت مسعده باعث خروج فرد ظاهر از آن است در حالی که با تخصیص مرسله ابن ابی عمیر، فرد خفی از تحت آن خارج می شود. </w:t>
      </w:r>
    </w:p>
    <w:p w:rsidR="00717166" w:rsidRDefault="00717166" w:rsidP="00717166">
      <w:pPr>
        <w:pStyle w:val="Heading2"/>
        <w:rPr>
          <w:rtl/>
        </w:rPr>
      </w:pPr>
      <w:bookmarkStart w:id="2" w:name="_Toc88888562"/>
      <w:r>
        <w:rPr>
          <w:rFonts w:hint="cs"/>
          <w:rtl/>
        </w:rPr>
        <w:t>بررسی تعارض روایت مسعده و مرسله یونس</w:t>
      </w:r>
      <w:bookmarkEnd w:id="2"/>
      <w:r>
        <w:rPr>
          <w:rFonts w:hint="cs"/>
          <w:rtl/>
        </w:rPr>
        <w:t xml:space="preserve"> </w:t>
      </w:r>
    </w:p>
    <w:p w:rsidR="00EA0606" w:rsidRDefault="00577B4B" w:rsidP="00717166">
      <w:pPr>
        <w:jc w:val="both"/>
        <w:rPr>
          <w:rtl/>
        </w:rPr>
      </w:pPr>
      <w:r>
        <w:rPr>
          <w:rFonts w:hint="cs"/>
          <w:rtl/>
        </w:rPr>
        <w:t>برای تکمیل بحث باید به این نکته اشاره شود که ممکن است گفته شود، روایت مسعده بن زیاد با مرسله یونس معارض است. در مرسله یونس آمده است:</w:t>
      </w:r>
    </w:p>
    <w:p w:rsidR="00577B4B" w:rsidRPr="00577B4B" w:rsidRDefault="00577B4B" w:rsidP="00717166">
      <w:pPr>
        <w:jc w:val="both"/>
        <w:rPr>
          <w:color w:val="008000"/>
          <w:rtl/>
        </w:rPr>
      </w:pPr>
      <w:r w:rsidRPr="00DD117D">
        <w:rPr>
          <w:color w:val="008000"/>
          <w:rtl/>
        </w:rPr>
        <w:lastRenderedPageBreak/>
        <w:t>عَنْ يُونُسَ عَنْ بَعْضِ رِجَالِهِ 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w:t>
      </w:r>
      <w:r w:rsidRPr="00DD117D">
        <w:rPr>
          <w:rFonts w:hint="cs"/>
          <w:color w:val="008000"/>
          <w:rtl/>
        </w:rPr>
        <w:t xml:space="preserve"> </w:t>
      </w:r>
      <w:r w:rsidRPr="00DD117D">
        <w:rPr>
          <w:color w:val="008000"/>
          <w:rtl/>
        </w:rPr>
        <w:t>وَ لَا يَحْمِلُهُ وَ لَا يُفْسِدُهُ.</w:t>
      </w:r>
      <w:r>
        <w:rPr>
          <w:rStyle w:val="FootnoteReference"/>
          <w:color w:val="008000"/>
          <w:rtl/>
        </w:rPr>
        <w:footnoteReference w:id="2"/>
      </w:r>
    </w:p>
    <w:p w:rsidR="00577B4B" w:rsidRDefault="00577B4B" w:rsidP="00717166">
      <w:pPr>
        <w:jc w:val="both"/>
        <w:rPr>
          <w:rtl/>
        </w:rPr>
      </w:pPr>
      <w:r>
        <w:rPr>
          <w:rFonts w:hint="cs"/>
          <w:rtl/>
        </w:rPr>
        <w:t xml:space="preserve">در این مرسله حتی در صورتی که حائط وجود داشته باشد، اکل تجویز شده است. </w:t>
      </w:r>
    </w:p>
    <w:p w:rsidR="00577B4B" w:rsidRDefault="00577B4B" w:rsidP="00717166">
      <w:pPr>
        <w:jc w:val="both"/>
        <w:rPr>
          <w:rtl/>
        </w:rPr>
      </w:pPr>
      <w:r>
        <w:rPr>
          <w:rFonts w:hint="cs"/>
          <w:rtl/>
        </w:rPr>
        <w:t xml:space="preserve">اما اولا: این روایت مرسله است و از جهت سندی معتبر نیست. </w:t>
      </w:r>
    </w:p>
    <w:p w:rsidR="00577B4B" w:rsidRDefault="00577B4B" w:rsidP="00717166">
      <w:pPr>
        <w:jc w:val="both"/>
        <w:rPr>
          <w:rtl/>
        </w:rPr>
      </w:pPr>
      <w:r>
        <w:rPr>
          <w:rFonts w:hint="cs"/>
          <w:rtl/>
        </w:rPr>
        <w:t>ثانیا: «قد حیط علیه» به معنای حیط علی البستان است. در حالی که در روایت مسعده بیان شده: فناء محاط میوه را احاطه کرده است. پس روایت یونس بیان می کند: بستان چه دیوار داشته باشد و چه دیوار نداشته باشد اکل جایز است. نهایتا این روایت اطلاق دارد و بیان می کند: اکل از میوه های خارج باغ و میوه های داخل باغ، جایز است. اما روایت مسعده بیان می کند: اکل از میوه های داخل باغ جایز نیست. در نتیجه مرسله یونس به واسطه روایت مسعده تخصیص می خورد. به خصوص آنکه در مرسله یونس «یمرّ بال</w:t>
      </w:r>
      <w:r w:rsidR="00717166">
        <w:rPr>
          <w:rFonts w:hint="cs"/>
          <w:rtl/>
        </w:rPr>
        <w:t>بستان» آمده که ظهور در مرور از خارج باغ دارد</w:t>
      </w:r>
      <w:r>
        <w:rPr>
          <w:rFonts w:hint="cs"/>
          <w:rtl/>
        </w:rPr>
        <w:t xml:space="preserve"> و شامل دخول نمی شود. </w:t>
      </w:r>
    </w:p>
    <w:p w:rsidR="00DA472E" w:rsidRDefault="00717166" w:rsidP="00717166">
      <w:pPr>
        <w:jc w:val="both"/>
        <w:rPr>
          <w:rtl/>
        </w:rPr>
      </w:pPr>
      <w:r>
        <w:rPr>
          <w:rFonts w:hint="cs"/>
          <w:rtl/>
        </w:rPr>
        <w:t xml:space="preserve">بله </w:t>
      </w:r>
      <w:r w:rsidR="00DA472E">
        <w:rPr>
          <w:rFonts w:hint="cs"/>
          <w:rtl/>
        </w:rPr>
        <w:t>در روایتی که مربوط به مسائل داود صرمی بود، دخول در بستان محل سوال بود:</w:t>
      </w:r>
    </w:p>
    <w:p w:rsidR="00DA472E" w:rsidRDefault="00DA472E" w:rsidP="00717166">
      <w:pPr>
        <w:jc w:val="both"/>
        <w:rPr>
          <w:color w:val="008000"/>
          <w:rtl/>
        </w:rPr>
      </w:pPr>
      <w:r w:rsidRPr="001A3FB5">
        <w:rPr>
          <w:color w:val="008000"/>
          <w:rtl/>
        </w:rPr>
        <w:t>ع مِنْ مَسَائِلِ دَاوُدَ الصَّرْمِيِّ قَالَ: سَأَلْتُهُ عَنْ رَجُلٍ دَخَلَ بُسْتَاناً أَ يَأْكُلُ مِنَ الثَّمَرَةِ مِنْ غَيْرِ عِلْمِ صَاحِبِ الْبُسْتَانِ قَالَ نَعَمْ.</w:t>
      </w:r>
      <w:r>
        <w:rPr>
          <w:rStyle w:val="FootnoteReference"/>
          <w:color w:val="008000"/>
          <w:rtl/>
        </w:rPr>
        <w:footnoteReference w:id="3"/>
      </w:r>
    </w:p>
    <w:p w:rsidR="00DA472E" w:rsidRDefault="00DA472E" w:rsidP="00717166">
      <w:pPr>
        <w:jc w:val="both"/>
        <w:rPr>
          <w:rtl/>
        </w:rPr>
      </w:pPr>
      <w:r>
        <w:rPr>
          <w:rFonts w:hint="cs"/>
          <w:rtl/>
        </w:rPr>
        <w:t xml:space="preserve">البته با تقریبی که ارائه شد، این روایت ظهور در دخول حلال دارد و با روایت مسعده که </w:t>
      </w:r>
      <w:r w:rsidR="00584B05">
        <w:rPr>
          <w:rFonts w:hint="cs"/>
          <w:rtl/>
        </w:rPr>
        <w:t xml:space="preserve">حکم اکل در فرض </w:t>
      </w:r>
      <w:r>
        <w:rPr>
          <w:rFonts w:hint="cs"/>
          <w:rtl/>
        </w:rPr>
        <w:t xml:space="preserve">دخول حرام را بیان می کرد، تعارض ندارد. </w:t>
      </w:r>
    </w:p>
    <w:p w:rsidR="00DA472E" w:rsidRDefault="00DA472E" w:rsidP="00717166">
      <w:pPr>
        <w:jc w:val="both"/>
        <w:rPr>
          <w:rtl/>
        </w:rPr>
      </w:pPr>
      <w:r>
        <w:rPr>
          <w:rFonts w:hint="cs"/>
          <w:rtl/>
        </w:rPr>
        <w:t xml:space="preserve">به هر حال، </w:t>
      </w:r>
      <w:r w:rsidR="00584B05">
        <w:rPr>
          <w:rFonts w:hint="cs"/>
          <w:rtl/>
        </w:rPr>
        <w:t xml:space="preserve">«یمرّ بالبستان» در روایت یونس شامل صورتی نیست که برای اکل داخل بستان شود. </w:t>
      </w:r>
      <w:r w:rsidR="00281D9D">
        <w:rPr>
          <w:rFonts w:hint="cs"/>
          <w:rtl/>
        </w:rPr>
        <w:t>حداکثر مرسله یونس نسبت به استفاده از میوه هایی که داخل باغ است، اطلاق داشته باشد. اما فرد روشن این روایت به خصوص با تعبیر «یمرّ بالبستان» استفاده از میوه های خارج از بستان است و نفس حائط</w:t>
      </w:r>
      <w:r w:rsidR="00757421">
        <w:rPr>
          <w:rFonts w:hint="cs"/>
          <w:rtl/>
        </w:rPr>
        <w:t xml:space="preserve"> دار</w:t>
      </w:r>
      <w:r w:rsidR="00281D9D">
        <w:rPr>
          <w:rFonts w:hint="cs"/>
          <w:rtl/>
        </w:rPr>
        <w:t xml:space="preserve"> بودن را مانع اکل از میوه های خار</w:t>
      </w:r>
      <w:r w:rsidR="00757421">
        <w:rPr>
          <w:rFonts w:hint="cs"/>
          <w:rtl/>
        </w:rPr>
        <w:t>ج حائط ندانسته است.</w:t>
      </w:r>
      <w:r w:rsidR="00757421">
        <w:rPr>
          <w:rStyle w:val="FootnoteReference"/>
          <w:rtl/>
        </w:rPr>
        <w:footnoteReference w:id="4"/>
      </w:r>
      <w:r w:rsidR="00757421">
        <w:rPr>
          <w:rFonts w:hint="cs"/>
          <w:rtl/>
        </w:rPr>
        <w:t xml:space="preserve"> پس</w:t>
      </w:r>
      <w:r w:rsidR="00D41057">
        <w:rPr>
          <w:rFonts w:hint="cs"/>
          <w:rtl/>
        </w:rPr>
        <w:t xml:space="preserve"> هر چند رابطه بین مرسله یونس و روایت مسعده بن زیاد، عموم و خصوص من وجه است اما</w:t>
      </w:r>
      <w:r w:rsidR="00757421">
        <w:rPr>
          <w:rFonts w:hint="cs"/>
          <w:rtl/>
        </w:rPr>
        <w:t xml:space="preserve"> روایت مسعده بن زیاد </w:t>
      </w:r>
      <w:r w:rsidR="00D41057">
        <w:rPr>
          <w:rFonts w:hint="cs"/>
          <w:rtl/>
        </w:rPr>
        <w:t>مرسله یونس</w:t>
      </w:r>
      <w:r w:rsidR="00757421">
        <w:rPr>
          <w:rFonts w:hint="cs"/>
          <w:rtl/>
        </w:rPr>
        <w:t xml:space="preserve"> را تخصیص می زند زیرا روایت مسعد</w:t>
      </w:r>
      <w:r w:rsidR="00D41057">
        <w:rPr>
          <w:rFonts w:hint="cs"/>
          <w:rtl/>
        </w:rPr>
        <w:t>ه درباره میوه های داخل باغ است در حالی که</w:t>
      </w:r>
      <w:r w:rsidR="00757421">
        <w:rPr>
          <w:rFonts w:hint="cs"/>
          <w:rtl/>
        </w:rPr>
        <w:t xml:space="preserve"> فرد ظاهر مرسله یونس استفاده ما</w:t>
      </w:r>
      <w:r w:rsidR="00D41057">
        <w:rPr>
          <w:rFonts w:hint="cs"/>
          <w:rtl/>
        </w:rPr>
        <w:t xml:space="preserve">رّ از میوه های خارج بستان است. در نتیجه، </w:t>
      </w:r>
      <w:r w:rsidR="00757421">
        <w:rPr>
          <w:rFonts w:hint="cs"/>
          <w:rtl/>
        </w:rPr>
        <w:t>اخراج اکل از میوه های داخل بس</w:t>
      </w:r>
      <w:r w:rsidR="00D41057">
        <w:rPr>
          <w:rFonts w:hint="cs"/>
          <w:rtl/>
        </w:rPr>
        <w:t xml:space="preserve">تان از مرسله، مانعی ندارد در حالی که اخراج میوه های داخل باغ از روایت مسعده، باعث اخراج فرد ظاهر از آن است. </w:t>
      </w:r>
    </w:p>
    <w:p w:rsidR="00717166" w:rsidRDefault="00717166" w:rsidP="00717166">
      <w:pPr>
        <w:pStyle w:val="Heading2"/>
        <w:rPr>
          <w:rtl/>
        </w:rPr>
      </w:pPr>
      <w:bookmarkStart w:id="3" w:name="_Toc88888563"/>
      <w:r>
        <w:rPr>
          <w:rFonts w:hint="cs"/>
          <w:rtl/>
        </w:rPr>
        <w:lastRenderedPageBreak/>
        <w:t>کلام ابن عبد البرّ در التمهید</w:t>
      </w:r>
      <w:bookmarkEnd w:id="3"/>
    </w:p>
    <w:p w:rsidR="00B47F9D" w:rsidRPr="00B47F9D" w:rsidRDefault="00B47F9D" w:rsidP="00717166">
      <w:pPr>
        <w:jc w:val="both"/>
        <w:rPr>
          <w:rtl/>
        </w:rPr>
      </w:pPr>
      <w:r w:rsidRPr="00B47F9D">
        <w:rPr>
          <w:rFonts w:hint="cs"/>
          <w:rtl/>
        </w:rPr>
        <w:t xml:space="preserve">عبارت «قال ابو عمر ...» که در جلسه گذشته نقل شد، از التمهید ابن عبد البرّ بود که ملخّص </w:t>
      </w:r>
      <w:r w:rsidRPr="00D40B9E">
        <w:rPr>
          <w:rFonts w:hint="cs"/>
          <w:color w:val="000000"/>
          <w:rtl/>
        </w:rPr>
        <w:t>عبارت</w:t>
      </w:r>
      <w:r w:rsidR="00D40B9E">
        <w:rPr>
          <w:rStyle w:val="FootnoteReference"/>
          <w:color w:val="000000"/>
          <w:rtl/>
        </w:rPr>
        <w:footnoteReference w:id="5"/>
      </w:r>
      <w:r w:rsidRPr="00B47F9D">
        <w:rPr>
          <w:rFonts w:hint="cs"/>
          <w:rtl/>
        </w:rPr>
        <w:t xml:space="preserve"> آن دیروز نقل شد:</w:t>
      </w:r>
    </w:p>
    <w:p w:rsidR="00B47F9D" w:rsidRPr="00B47F9D" w:rsidRDefault="00B47F9D" w:rsidP="00717166">
      <w:pPr>
        <w:jc w:val="both"/>
        <w:rPr>
          <w:color w:val="000080"/>
          <w:rtl/>
        </w:rPr>
      </w:pPr>
      <w:r w:rsidRPr="00B47F9D">
        <w:rPr>
          <w:color w:val="000080"/>
          <w:rtl/>
        </w:rPr>
        <w:t>قَالَ أَبُو عُمَرَ فِي هَذَا الْحَدِيثِ كَلِمَةٌ مَنْسُوخَةٌ وَهِيَ قَوْلُهُ وَغَرَامَةُ مِثْلَيْهِ لَا أَعْلَمُ أَحَدًا مِنَ الْفُقَهَاءِ قَالَ بِهَا إِلَّا مَا جَاءَ عَنْ عُمَرَ فِي رَقِيقِ حَاطِبِ بْنِ أَبِي بَلْتَعَةَ حِينَ انْتَحَرُوا نَاقَةَ رَجُلٍ مِنْ مُزَيْنَةَ وَرِوَايَةً عَنْ أَحْمَدَ بْنِ حَنْبَلٍ وَمَحْمَلُ هَذَا (عِنْدَنَا) عَلَى الْعُقُوبَةِ وَالتَّشْدِيدِ وَالَّذِي عَلَيْهِ النَّاسُ الْعُقُوبَةُ فِي الْغُرْمِ بِالْمِثْلِ</w:t>
      </w:r>
      <w:r>
        <w:rPr>
          <w:rStyle w:val="FootnoteReference"/>
          <w:color w:val="000080"/>
          <w:rtl/>
        </w:rPr>
        <w:footnoteReference w:id="6"/>
      </w:r>
    </w:p>
    <w:p w:rsidR="004A513F" w:rsidRDefault="004A513F" w:rsidP="00717166">
      <w:pPr>
        <w:jc w:val="both"/>
        <w:rPr>
          <w:rtl/>
        </w:rPr>
      </w:pPr>
      <w:r>
        <w:rPr>
          <w:rFonts w:hint="cs"/>
          <w:rtl/>
        </w:rPr>
        <w:t xml:space="preserve">در المغنی ابن قدامه ملخّص این مطلب نقل شده </w:t>
      </w:r>
      <w:r w:rsidR="00717166">
        <w:rPr>
          <w:rFonts w:hint="cs"/>
          <w:rtl/>
        </w:rPr>
        <w:t>که</w:t>
      </w:r>
      <w:r>
        <w:rPr>
          <w:rFonts w:hint="cs"/>
          <w:rtl/>
        </w:rPr>
        <w:t xml:space="preserve"> در یک چاپ ج 9 ص 120 و چاپ دیگر ج 10 ص 260 آمده است.</w:t>
      </w:r>
    </w:p>
    <w:p w:rsidR="00717166" w:rsidRDefault="00717166" w:rsidP="00717166">
      <w:pPr>
        <w:pStyle w:val="Heading2"/>
        <w:rPr>
          <w:rtl/>
        </w:rPr>
      </w:pPr>
      <w:bookmarkStart w:id="4" w:name="_Toc88888564"/>
      <w:r>
        <w:rPr>
          <w:rFonts w:hint="cs"/>
          <w:rtl/>
        </w:rPr>
        <w:t>توجیهات روایات مثبت حق الماره در کلام عامه</w:t>
      </w:r>
      <w:bookmarkEnd w:id="4"/>
      <w:r>
        <w:rPr>
          <w:rFonts w:hint="cs"/>
          <w:rtl/>
        </w:rPr>
        <w:t xml:space="preserve"> </w:t>
      </w:r>
    </w:p>
    <w:p w:rsidR="005A7C57" w:rsidRDefault="00EA0606" w:rsidP="00717166">
      <w:pPr>
        <w:jc w:val="both"/>
        <w:rPr>
          <w:rtl/>
        </w:rPr>
      </w:pPr>
      <w:r>
        <w:rPr>
          <w:rFonts w:hint="cs"/>
          <w:rtl/>
        </w:rPr>
        <w:t>بیان شد: روایاتی میان عامه وجود دارد که حق</w:t>
      </w:r>
      <w:r w:rsidR="00BD1DE2">
        <w:rPr>
          <w:rFonts w:hint="cs"/>
          <w:rtl/>
        </w:rPr>
        <w:t xml:space="preserve"> الماره را ثابت می کند. حال کسانی از عامه که منکر حق الماره هستند،</w:t>
      </w:r>
      <w:r>
        <w:rPr>
          <w:rFonts w:hint="cs"/>
          <w:rtl/>
        </w:rPr>
        <w:t xml:space="preserve"> چگونه این روایات را توجیه کردند؟</w:t>
      </w:r>
    </w:p>
    <w:p w:rsidR="00717166" w:rsidRDefault="00717166" w:rsidP="00717166">
      <w:pPr>
        <w:pStyle w:val="Heading3"/>
        <w:rPr>
          <w:rtl/>
        </w:rPr>
      </w:pPr>
      <w:bookmarkStart w:id="5" w:name="_Toc88888565"/>
      <w:r>
        <w:rPr>
          <w:rFonts w:hint="cs"/>
          <w:rtl/>
        </w:rPr>
        <w:t>توجیه اول: حمل به صورت ضرورت</w:t>
      </w:r>
      <w:bookmarkEnd w:id="5"/>
    </w:p>
    <w:p w:rsidR="00EA0606" w:rsidRDefault="00EA0606" w:rsidP="00717166">
      <w:pPr>
        <w:jc w:val="both"/>
        <w:rPr>
          <w:rtl/>
        </w:rPr>
      </w:pPr>
      <w:r>
        <w:rPr>
          <w:rFonts w:hint="cs"/>
          <w:rtl/>
        </w:rPr>
        <w:t>یکی از توجیهات، حمل به صورت ضرورت است و بیان شده: روا</w:t>
      </w:r>
      <w:r w:rsidR="00BD1DE2">
        <w:rPr>
          <w:rFonts w:hint="cs"/>
          <w:rtl/>
        </w:rPr>
        <w:t>یت مجوّز اکل، مختص به ضرورت است که</w:t>
      </w:r>
      <w:r>
        <w:rPr>
          <w:rFonts w:hint="cs"/>
          <w:rtl/>
        </w:rPr>
        <w:t xml:space="preserve"> روایت ما</w:t>
      </w:r>
      <w:r w:rsidR="00BD1DE2">
        <w:rPr>
          <w:rFonts w:hint="cs"/>
          <w:rtl/>
        </w:rPr>
        <w:t xml:space="preserve"> در حقیقت،</w:t>
      </w:r>
      <w:r>
        <w:rPr>
          <w:rFonts w:hint="cs"/>
          <w:rtl/>
        </w:rPr>
        <w:t xml:space="preserve"> ردّ این حمل است. </w:t>
      </w:r>
    </w:p>
    <w:p w:rsidR="00717166" w:rsidRDefault="00717166" w:rsidP="00717166">
      <w:pPr>
        <w:pStyle w:val="Heading3"/>
        <w:rPr>
          <w:rtl/>
        </w:rPr>
      </w:pPr>
      <w:bookmarkStart w:id="6" w:name="_Toc88888566"/>
      <w:r>
        <w:rPr>
          <w:rFonts w:hint="cs"/>
          <w:rtl/>
        </w:rPr>
        <w:t>توجیه دوم: حمل به جواز اکل از مال صدیق در صورت وجود اماره بر رضایت</w:t>
      </w:r>
      <w:bookmarkEnd w:id="6"/>
    </w:p>
    <w:p w:rsidR="00BD1DE2" w:rsidRDefault="00BD1DE2" w:rsidP="00717166">
      <w:pPr>
        <w:jc w:val="both"/>
        <w:rPr>
          <w:rtl/>
        </w:rPr>
      </w:pPr>
      <w:r>
        <w:rPr>
          <w:rFonts w:hint="cs"/>
          <w:rtl/>
        </w:rPr>
        <w:t>توجیه دیگر را ابن عبد البر در استذکار</w:t>
      </w:r>
      <w:r w:rsidR="00857C28">
        <w:rPr>
          <w:rStyle w:val="FootnoteReference"/>
          <w:rtl/>
        </w:rPr>
        <w:footnoteReference w:id="7"/>
      </w:r>
      <w:r>
        <w:rPr>
          <w:rFonts w:hint="cs"/>
          <w:rtl/>
        </w:rPr>
        <w:t xml:space="preserve"> گفته که چکیده آن در التمهید</w:t>
      </w:r>
      <w:r w:rsidR="00857C28">
        <w:rPr>
          <w:rStyle w:val="FootnoteReference"/>
          <w:rtl/>
        </w:rPr>
        <w:footnoteReference w:id="8"/>
      </w:r>
      <w:r>
        <w:rPr>
          <w:rFonts w:hint="cs"/>
          <w:rtl/>
        </w:rPr>
        <w:t xml:space="preserve"> نیز آمده است. عبارت استذکار اینگونه است: </w:t>
      </w:r>
    </w:p>
    <w:p w:rsidR="005A7C57" w:rsidRPr="00857C28" w:rsidRDefault="00857C28" w:rsidP="00717166">
      <w:pPr>
        <w:jc w:val="both"/>
        <w:rPr>
          <w:color w:val="000080"/>
          <w:rtl/>
        </w:rPr>
      </w:pPr>
      <w:r w:rsidRPr="00857C28">
        <w:rPr>
          <w:color w:val="000080"/>
          <w:rtl/>
        </w:rPr>
        <w:t>وَأَكْثَرُهُمْ يُجِيزُ أَكْلَ مَالِ الصَّدِيقِ إِذَا كَانَ تَافِهًا لَا يُتَشَاحُّ فِي مَثْلِهِ وَإِنْ كَانَ ذَلِكَ بِغَيْرِ إِذْنِهِ مَا لَمْ يَكُنْ يَجِبُ فِعْلُهُ</w:t>
      </w:r>
    </w:p>
    <w:p w:rsidR="00857C28" w:rsidRDefault="00857C28" w:rsidP="00717166">
      <w:pPr>
        <w:jc w:val="both"/>
        <w:rPr>
          <w:rtl/>
        </w:rPr>
      </w:pPr>
      <w:r>
        <w:rPr>
          <w:rFonts w:hint="cs"/>
          <w:rtl/>
        </w:rPr>
        <w:t xml:space="preserve">در این عبارت نقل شده، که می توان از مال دوست در مواردی که به طور متعارف افراد راضی هستند، خورد. گویا همین تعارف راضی بودن، اماره نوعیه بر رضایت است هر چند رضایت بالفعل احراز نشده اما همین رضایت متعارف کافی است. ایشان در ادامه توضیحاتی داده، سپس بیان می کند: </w:t>
      </w:r>
    </w:p>
    <w:p w:rsidR="00857C28" w:rsidRPr="00857C28" w:rsidRDefault="00857C28" w:rsidP="00717166">
      <w:pPr>
        <w:jc w:val="both"/>
        <w:rPr>
          <w:color w:val="000080"/>
          <w:rtl/>
        </w:rPr>
      </w:pPr>
      <w:r w:rsidRPr="00857C28">
        <w:rPr>
          <w:color w:val="000080"/>
          <w:rtl/>
        </w:rPr>
        <w:lastRenderedPageBreak/>
        <w:t>وَلَيْسَ الثَّمَرُ الْمُعَلَّقُ عِنْدَ أَكْثَرِهِمْ كَذَلِكَ وَالْآثَارُ كَثِيرَةٌ حِسَانٌ مَذْكُورَةٌ وَرَدَتْ فِي ذَلِكَ</w:t>
      </w:r>
    </w:p>
    <w:p w:rsidR="00857C28" w:rsidRDefault="00857C28" w:rsidP="00717166">
      <w:pPr>
        <w:jc w:val="both"/>
        <w:rPr>
          <w:rtl/>
        </w:rPr>
      </w:pPr>
      <w:r>
        <w:rPr>
          <w:rFonts w:hint="cs"/>
          <w:rtl/>
        </w:rPr>
        <w:t xml:space="preserve">ایشان برخی از این روایات را ذکر </w:t>
      </w:r>
      <w:r w:rsidR="00717166">
        <w:rPr>
          <w:rFonts w:hint="cs"/>
          <w:rtl/>
        </w:rPr>
        <w:t>کرده</w:t>
      </w:r>
      <w:r>
        <w:rPr>
          <w:rFonts w:hint="cs"/>
          <w:rtl/>
        </w:rPr>
        <w:t>، سپس می نویسد:</w:t>
      </w:r>
    </w:p>
    <w:p w:rsidR="00857C28" w:rsidRDefault="00857C28" w:rsidP="00717166">
      <w:pPr>
        <w:jc w:val="both"/>
        <w:rPr>
          <w:color w:val="000080"/>
          <w:rtl/>
        </w:rPr>
      </w:pPr>
      <w:r w:rsidRPr="00857C28">
        <w:rPr>
          <w:color w:val="000080"/>
          <w:rtl/>
        </w:rPr>
        <w:t>وَهَذِهِ الْآثَارُ يُحْتَمَلُ أَنْ تَكُونَ فِي مَنِ احْتَاجَ وَجَاعَ أَوْ فِي مَالِ الصَّدِيقِ إِذَا كَانَ تَافِهًا لَا يُتَشَاحُّ</w:t>
      </w:r>
    </w:p>
    <w:p w:rsidR="00857C28" w:rsidRDefault="00857C28" w:rsidP="00717166">
      <w:pPr>
        <w:jc w:val="both"/>
        <w:rPr>
          <w:rtl/>
        </w:rPr>
      </w:pPr>
      <w:r>
        <w:rPr>
          <w:rFonts w:hint="cs"/>
          <w:rtl/>
        </w:rPr>
        <w:t xml:space="preserve">ابن عبد البر </w:t>
      </w:r>
      <w:r w:rsidR="00717166">
        <w:rPr>
          <w:rFonts w:hint="cs"/>
          <w:rtl/>
        </w:rPr>
        <w:t xml:space="preserve">جواز اکل را بر </w:t>
      </w:r>
      <w:r>
        <w:rPr>
          <w:rFonts w:hint="cs"/>
          <w:rtl/>
        </w:rPr>
        <w:t xml:space="preserve">اکل </w:t>
      </w:r>
      <w:r w:rsidR="00717166">
        <w:rPr>
          <w:rFonts w:hint="cs"/>
          <w:rtl/>
        </w:rPr>
        <w:t xml:space="preserve">به </w:t>
      </w:r>
      <w:r>
        <w:rPr>
          <w:rFonts w:hint="cs"/>
          <w:rtl/>
        </w:rPr>
        <w:t xml:space="preserve">میزانی </w:t>
      </w:r>
      <w:r w:rsidR="00717166">
        <w:rPr>
          <w:rFonts w:hint="cs"/>
          <w:rtl/>
        </w:rPr>
        <w:t xml:space="preserve">حمل </w:t>
      </w:r>
      <w:r>
        <w:rPr>
          <w:rFonts w:hint="cs"/>
          <w:rtl/>
        </w:rPr>
        <w:t>کرده که متعارفا رضایت به اکل آن وجود دارد. محقق اردبیلی در مجمع الفائده و البرهان</w:t>
      </w:r>
      <w:r w:rsidR="00E72BE6">
        <w:rPr>
          <w:rStyle w:val="FootnoteReference"/>
          <w:rtl/>
        </w:rPr>
        <w:footnoteReference w:id="9"/>
      </w:r>
      <w:r>
        <w:rPr>
          <w:rFonts w:hint="cs"/>
          <w:rtl/>
        </w:rPr>
        <w:t xml:space="preserve"> ضمن توجیهاتی که بیان کرده، می گوید: ممکن است مراد، اکل از مال افرادی باشند که آیه قرآن</w:t>
      </w:r>
      <w:r>
        <w:rPr>
          <w:rStyle w:val="FootnoteReference"/>
          <w:rtl/>
        </w:rPr>
        <w:footnoteReference w:id="10"/>
      </w:r>
      <w:r>
        <w:rPr>
          <w:rFonts w:hint="cs"/>
          <w:rtl/>
        </w:rPr>
        <w:t xml:space="preserve"> اجازه داده از بیوت آنها خورده شود. اما این توجیهات بسیار بعید است بر خلاف حمل به ضرورت که فی الجمله با اطلاق و تقیید می توان وجهی برای آن ذکر کرد چون در برخی از روایات قیودی مانند «من ذی حاجه» بیان شده است. البته این حمل نیز صحیح نیست زیرا فرد روشن جواز اکل، اختیار است و حمل آن بر ضرورت، حمل به فرد خفیّ است. </w:t>
      </w:r>
    </w:p>
    <w:p w:rsidR="00134D81" w:rsidRDefault="00134D81" w:rsidP="00717166">
      <w:pPr>
        <w:jc w:val="both"/>
        <w:rPr>
          <w:rtl/>
        </w:rPr>
      </w:pPr>
      <w:r>
        <w:rPr>
          <w:rFonts w:hint="cs"/>
          <w:rtl/>
        </w:rPr>
        <w:t xml:space="preserve">مرحوم اردبیلی احتمالاتی را در توجیه بیان کرده که احتمال بسیار بعیدی است که نقل آنها لازم نیست. هر چند روشن نیست خود ایشان این احتمالات را بپذیرد. </w:t>
      </w:r>
    </w:p>
    <w:p w:rsidR="00095FC7" w:rsidRDefault="00095FC7" w:rsidP="00095FC7">
      <w:pPr>
        <w:pStyle w:val="Heading3"/>
        <w:rPr>
          <w:rtl/>
        </w:rPr>
      </w:pPr>
      <w:bookmarkStart w:id="7" w:name="_Toc88888567"/>
      <w:r>
        <w:rPr>
          <w:rFonts w:hint="cs"/>
          <w:rtl/>
        </w:rPr>
        <w:t>توجیه سوم: رفع حرمت تکلیفی برای مضطرّ</w:t>
      </w:r>
      <w:bookmarkEnd w:id="7"/>
    </w:p>
    <w:p w:rsidR="00134D81" w:rsidRDefault="00134D81" w:rsidP="00717166">
      <w:pPr>
        <w:jc w:val="both"/>
        <w:rPr>
          <w:rtl/>
        </w:rPr>
      </w:pPr>
      <w:r>
        <w:rPr>
          <w:rFonts w:hint="cs"/>
          <w:rtl/>
        </w:rPr>
        <w:t>در شرح السنه می نویسد:</w:t>
      </w:r>
    </w:p>
    <w:p w:rsidR="00134D81" w:rsidRDefault="00134D81" w:rsidP="00717166">
      <w:pPr>
        <w:jc w:val="both"/>
        <w:rPr>
          <w:color w:val="000080"/>
          <w:rtl/>
        </w:rPr>
      </w:pPr>
      <w:r w:rsidRPr="00134D81">
        <w:rPr>
          <w:color w:val="000080"/>
          <w:rtl/>
        </w:rPr>
        <w:t>وَقَدْ رَخَّصَ بَعْضُ أَهْلِ الْعِلْمِ لابْنِ السَّبِيلِ فِي أَكْلِ ثِمَارِ الْغَيْرِ، لِمَا رُوِيَ عَنْ نَافِعٍ، عَنِ ابْنِ عُمَرَ، بِإِسْنَادٍ غَرِيبٍ، عَنِ النَّبِيِّ صَلَّى اللهُ عَلَيْهِ وَسَلَّمَ قَالَ: «مَنْ دَخَلَ حَائِطًا، فَلْيَأْكُلْ وَلا يَتَّخِذْ خُبْنَةً» وَعَنْ عَمْرِو بْنِ شُعَيْبٍ، عَنْ أَبِيهِ، عَنْ جَدِّهِ، أَنَّ النَّبِيَّ صَلَّى اللهُ عَلَيْهِ وَسَلَّمَ، سُئِلَ عَنِ الثَّمَرِ الْمُعَلَّقِ، فَقَالَ: «مَنْ</w:t>
      </w:r>
      <w:r w:rsidRPr="00134D81">
        <w:rPr>
          <w:rFonts w:hint="cs"/>
          <w:color w:val="000080"/>
          <w:rtl/>
        </w:rPr>
        <w:t xml:space="preserve"> </w:t>
      </w:r>
      <w:r w:rsidRPr="00134D81">
        <w:rPr>
          <w:color w:val="000080"/>
          <w:rtl/>
        </w:rPr>
        <w:t>أَصَابَ مِنْهُ مِنْ ذِي حَاجَةٍ غَيْرَ مُتَّخِذٍ خُبْنَةً، فَلا شَيْءَ عَلَيْهِ».</w:t>
      </w:r>
      <w:r>
        <w:rPr>
          <w:rFonts w:hint="cs"/>
          <w:color w:val="000080"/>
          <w:rtl/>
        </w:rPr>
        <w:t xml:space="preserve"> </w:t>
      </w:r>
      <w:r w:rsidRPr="00134D81">
        <w:rPr>
          <w:color w:val="000080"/>
          <w:rtl/>
        </w:rPr>
        <w:t xml:space="preserve">وَعِنْدَ أَكْثَرِ أَهْلِ الْعِلْمِ لَا يُبَاحُ إِلا بِإِذْنِ الْمَالِكِ، إِلا لِضَرُورَةِ مَجَاعَةٍ </w:t>
      </w:r>
      <w:r w:rsidRPr="00DF4292">
        <w:rPr>
          <w:b/>
          <w:bCs/>
          <w:color w:val="000080"/>
          <w:u w:val="single"/>
          <w:rtl/>
        </w:rPr>
        <w:t>يَأْكُلُهَا بِالضَّمَانِ</w:t>
      </w:r>
      <w:r w:rsidRPr="00134D81">
        <w:rPr>
          <w:color w:val="000080"/>
          <w:rtl/>
        </w:rPr>
        <w:t xml:space="preserve"> إِذَا لَمْ يَجِدِ الْمَالِكَ.</w:t>
      </w:r>
      <w:r>
        <w:rPr>
          <w:rStyle w:val="FootnoteReference"/>
          <w:color w:val="000080"/>
          <w:rtl/>
        </w:rPr>
        <w:footnoteReference w:id="11"/>
      </w:r>
    </w:p>
    <w:p w:rsidR="00DF4292" w:rsidRDefault="00DF4292" w:rsidP="00717166">
      <w:pPr>
        <w:jc w:val="both"/>
        <w:rPr>
          <w:rtl/>
        </w:rPr>
      </w:pPr>
      <w:r>
        <w:rPr>
          <w:rFonts w:hint="cs"/>
          <w:rtl/>
        </w:rPr>
        <w:t>«</w:t>
      </w:r>
      <w:r w:rsidRPr="00134D81">
        <w:rPr>
          <w:rtl/>
        </w:rPr>
        <w:t>مَنْ</w:t>
      </w:r>
      <w:r w:rsidRPr="00134D81">
        <w:rPr>
          <w:rFonts w:hint="cs"/>
          <w:rtl/>
        </w:rPr>
        <w:t xml:space="preserve"> </w:t>
      </w:r>
      <w:r w:rsidRPr="00134D81">
        <w:rPr>
          <w:rtl/>
        </w:rPr>
        <w:t>أَصَابَ مِنْهُ</w:t>
      </w:r>
      <w:r>
        <w:rPr>
          <w:rFonts w:hint="cs"/>
          <w:rtl/>
        </w:rPr>
        <w:t>» در این عبارت علی القاعده اشتباه است و باید «بفیه» یا «بفمه» باشد چنانچه در سایر نقل های این روایت اینگونه وارد شده است.</w:t>
      </w:r>
    </w:p>
    <w:p w:rsidR="00DF4292" w:rsidRDefault="00DF4292" w:rsidP="00717166">
      <w:pPr>
        <w:jc w:val="both"/>
        <w:rPr>
          <w:color w:val="000000"/>
          <w:rtl/>
        </w:rPr>
      </w:pPr>
      <w:r>
        <w:rPr>
          <w:rFonts w:hint="cs"/>
          <w:color w:val="000000"/>
          <w:rtl/>
        </w:rPr>
        <w:lastRenderedPageBreak/>
        <w:t xml:space="preserve">توجیه بیان شده در این عبارت، رفع حرمت تکلیفی است و اکل را در صورت ضرورت البته به شرط ضمان جایز دانسته است. در حالی که </w:t>
      </w:r>
      <w:r w:rsidR="002E3901">
        <w:rPr>
          <w:rFonts w:hint="cs"/>
          <w:color w:val="000000"/>
          <w:rtl/>
        </w:rPr>
        <w:t xml:space="preserve">اقتضای </w:t>
      </w:r>
      <w:r>
        <w:rPr>
          <w:rFonts w:hint="cs"/>
          <w:color w:val="000000"/>
          <w:rtl/>
        </w:rPr>
        <w:t>اطلاق</w:t>
      </w:r>
      <w:r w:rsidR="002E3901">
        <w:rPr>
          <w:rFonts w:hint="cs"/>
          <w:color w:val="000000"/>
          <w:rtl/>
        </w:rPr>
        <w:t xml:space="preserve"> مقامی </w:t>
      </w:r>
      <w:r>
        <w:rPr>
          <w:rFonts w:hint="cs"/>
          <w:color w:val="000000"/>
          <w:rtl/>
        </w:rPr>
        <w:t>روایات ما مانند روایت مسعده بن زیاد که اکل</w:t>
      </w:r>
      <w:r w:rsidR="002E3901">
        <w:rPr>
          <w:rFonts w:hint="cs"/>
          <w:color w:val="000000"/>
          <w:rtl/>
        </w:rPr>
        <w:t xml:space="preserve"> را</w:t>
      </w:r>
      <w:r>
        <w:rPr>
          <w:rFonts w:hint="cs"/>
          <w:color w:val="000000"/>
          <w:rtl/>
        </w:rPr>
        <w:t xml:space="preserve"> </w:t>
      </w:r>
      <w:r w:rsidR="002E3901">
        <w:rPr>
          <w:rFonts w:hint="cs"/>
          <w:color w:val="000000"/>
          <w:rtl/>
        </w:rPr>
        <w:t>برای اهل</w:t>
      </w:r>
      <w:r>
        <w:rPr>
          <w:rFonts w:hint="cs"/>
          <w:color w:val="000000"/>
          <w:rtl/>
        </w:rPr>
        <w:t xml:space="preserve"> ضرورت تجویز کرده، عدم ضمان است. </w:t>
      </w:r>
      <w:r w:rsidR="002E3901">
        <w:rPr>
          <w:rFonts w:hint="cs"/>
          <w:color w:val="000000"/>
          <w:rtl/>
        </w:rPr>
        <w:t xml:space="preserve">حتی در این روایت تصریح کرده که پیامبر ص به خاطر اهل ضرورت امر به تخریب دیوار می دادند. اگر ظهور لفظی این روایت را در اکل بدون ضمان ندانیم، لا اقل اطلاق مقامی آن نفی ضمان است. </w:t>
      </w:r>
    </w:p>
    <w:p w:rsidR="002E3901" w:rsidRPr="00DF4292" w:rsidRDefault="002E3901" w:rsidP="00717166">
      <w:pPr>
        <w:jc w:val="both"/>
        <w:rPr>
          <w:color w:val="000000"/>
          <w:rtl/>
        </w:rPr>
      </w:pPr>
      <w:r>
        <w:rPr>
          <w:rFonts w:hint="cs"/>
          <w:color w:val="000000"/>
          <w:rtl/>
        </w:rPr>
        <w:t xml:space="preserve">در معالم السنه خطابی، ج 4، ص: 239 درباره وجود ضمان یا عدم ضمان بحث کرده است و دو قول را در آنجا نقل کرده است. شافعی در کتاب الام، ج 2، ص 270 تصریح می کند که در صورت ضرورت نیز ضمان است. </w:t>
      </w:r>
    </w:p>
    <w:p w:rsidR="00134D81" w:rsidRDefault="002E3901" w:rsidP="00717166">
      <w:pPr>
        <w:jc w:val="both"/>
        <w:rPr>
          <w:rtl/>
        </w:rPr>
      </w:pPr>
      <w:r>
        <w:rPr>
          <w:rFonts w:hint="cs"/>
          <w:rtl/>
        </w:rPr>
        <w:t xml:space="preserve">در شرح السنه ص: 220 آمده است: </w:t>
      </w:r>
    </w:p>
    <w:p w:rsidR="002E3901" w:rsidRPr="002E3901" w:rsidRDefault="002E3901" w:rsidP="00717166">
      <w:pPr>
        <w:jc w:val="both"/>
        <w:rPr>
          <w:color w:val="000080"/>
          <w:rtl/>
        </w:rPr>
      </w:pPr>
      <w:r w:rsidRPr="002E3901">
        <w:rPr>
          <w:color w:val="000080"/>
          <w:rtl/>
        </w:rPr>
        <w:t>وقولهُ فِي الثِّمَار: «مَنْ أَكَلَ بِفَمِهِ وَلَمْ يَتَّخِذْ خُبْنَةً فَلَيْسَ عَلَيْهِ شَيْءٌ»، فَالخُبنة: مَا يحملهُ الرجل فِي ثَوْبه، ويرفعهُ إِلَى فَوق، يُقَالَ للرجل إِذا رفع ذيلهُ فِي الْمَشْي: قد رفع خُبنته، قَالَ ابْن الأَعْرَابِيّ: أخبن الرجل إِذا خبأ فِي خُبنة سراويله مِمَّا يَلِي الْبَطن، وأثبن: إِذا خبأ فِي ثبنته مِمَّا يَلِي الظّهْر.</w:t>
      </w:r>
    </w:p>
    <w:p w:rsidR="00134D81" w:rsidRDefault="002E3901" w:rsidP="00717166">
      <w:pPr>
        <w:jc w:val="both"/>
        <w:rPr>
          <w:rtl/>
        </w:rPr>
      </w:pPr>
      <w:r>
        <w:rPr>
          <w:rFonts w:hint="cs"/>
          <w:rtl/>
        </w:rPr>
        <w:t xml:space="preserve">در این عبارت، «خبنه» به صورتی تفسیر شده که میوه را در جلوی لباس قرار داده و لباس را بالا آورده است و «ثبان» را به صورتی تفسیر کرده که میوه را در پشت لباس قرار داده و لباس را به پشت خود بالا آورده است. اما در جای دیگر، «ثبان» به وعاء تفسیر شده است و پشت انداختن به «حال» معنا شده بود. در المنجد، «حال» به خود عبا که بر دوش انداخته می شود، اطلاق می شود. به هر حال، «خبنه» و «ثبانا» خصوصیت ندارد و در این نقل، حمل نهی شده است. </w:t>
      </w:r>
    </w:p>
    <w:p w:rsidR="002E3901" w:rsidRDefault="002E3901" w:rsidP="00717166">
      <w:pPr>
        <w:jc w:val="both"/>
        <w:rPr>
          <w:color w:val="000080"/>
          <w:rtl/>
        </w:rPr>
      </w:pPr>
      <w:r>
        <w:rPr>
          <w:rFonts w:hint="cs"/>
          <w:rtl/>
        </w:rPr>
        <w:t xml:space="preserve">در ادامه می نویسد: </w:t>
      </w:r>
      <w:r w:rsidRPr="002E3901">
        <w:rPr>
          <w:color w:val="000080"/>
          <w:rtl/>
        </w:rPr>
        <w:t>فَفِيهِ إِبَاحَة الْأكل من الثَّمر المعلَّق على مَا ذهب إِلَيْهِ بعض أهل الْعلم، أَو لضَرُورَة تَدْعُو إِلَى الْأكل،</w:t>
      </w:r>
    </w:p>
    <w:p w:rsidR="00095FC7" w:rsidRDefault="00095FC7" w:rsidP="00095FC7">
      <w:pPr>
        <w:pStyle w:val="Heading3"/>
        <w:rPr>
          <w:rtl/>
        </w:rPr>
      </w:pPr>
      <w:bookmarkStart w:id="8" w:name="_Toc88888568"/>
      <w:r>
        <w:rPr>
          <w:rFonts w:hint="cs"/>
          <w:rtl/>
        </w:rPr>
        <w:t>توجیه چهارم: حمل به صورت تعارف اکل</w:t>
      </w:r>
      <w:bookmarkEnd w:id="8"/>
      <w:r>
        <w:rPr>
          <w:rFonts w:hint="cs"/>
          <w:rtl/>
        </w:rPr>
        <w:t xml:space="preserve"> </w:t>
      </w:r>
    </w:p>
    <w:p w:rsidR="002E3901" w:rsidRDefault="002E3901" w:rsidP="00717166">
      <w:pPr>
        <w:jc w:val="both"/>
        <w:rPr>
          <w:rtl/>
        </w:rPr>
      </w:pPr>
      <w:r>
        <w:rPr>
          <w:rFonts w:hint="cs"/>
          <w:rtl/>
        </w:rPr>
        <w:t>در تفسیر قرطبی معنای دیگری بیان شده و بر جایی حمل شده که ب</w:t>
      </w:r>
      <w:r w:rsidR="000F6FCA">
        <w:rPr>
          <w:rFonts w:hint="cs"/>
          <w:rtl/>
        </w:rPr>
        <w:t>ه حسب متعارف اکل جایز است. گویا به این دلیل که عادت بر رضایت وجود دارد، عادت توسط شارع اماره بر رضایت جعل شده است. در تفسیر قرطبی آمده است:</w:t>
      </w:r>
    </w:p>
    <w:p w:rsidR="000F6FCA" w:rsidRDefault="000F6FCA" w:rsidP="00717166">
      <w:pPr>
        <w:jc w:val="both"/>
        <w:rPr>
          <w:color w:val="000080"/>
          <w:rtl/>
        </w:rPr>
      </w:pPr>
      <w:r w:rsidRPr="000F6FCA">
        <w:rPr>
          <w:color w:val="000080"/>
          <w:rtl/>
        </w:rPr>
        <w:t xml:space="preserve">قَالَ أَبُو عُبَيْدٍ: وَإِنَّمَا يُوَجَّهُ هَذَا الْحَدِيثُ أَنَّهُ رُخِّصَ فِيهِ لِلْجَائِعِ المضطر الذي لا شي مَعَهُ يَشْتَرِي بِهِ أَلَّا يَحْمِلَ إِلَّا مَا كَانَ فِي بَطْنِهِ قَدْرَ قُوَّتِهِ. قُلْتُ: لِأَنَّ الْأَصْلَ الْمُتَّفَقَ عَلَيْهِ تَحْرِيمُ مَالِ الْغَيْرِ إِلَّا بِطِيبِ نَفْسٍ مِنْهُ، فَإِنْ كَانَتْ هُنَاكَ عَادَةٌ بِعَمَلِ ذَلِكَ كَمَا كَانَ فِي أَوَّلِ الْإِسْلَامِ، أَوْ كَمَا هُوَ الْآنَ فِي بَعْضِ </w:t>
      </w:r>
      <w:r>
        <w:rPr>
          <w:color w:val="000080"/>
          <w:rtl/>
        </w:rPr>
        <w:t>الْبُلْدَانِ، فَذَلِكَ جَائِزٌ.</w:t>
      </w:r>
      <w:r>
        <w:rPr>
          <w:rStyle w:val="FootnoteReference"/>
          <w:color w:val="000080"/>
          <w:rtl/>
        </w:rPr>
        <w:footnoteReference w:id="12"/>
      </w:r>
    </w:p>
    <w:p w:rsidR="000F6FCA" w:rsidRDefault="000F6FCA" w:rsidP="00095FC7">
      <w:pPr>
        <w:jc w:val="both"/>
        <w:rPr>
          <w:rtl/>
        </w:rPr>
      </w:pPr>
      <w:r>
        <w:rPr>
          <w:rFonts w:hint="cs"/>
          <w:rtl/>
        </w:rPr>
        <w:lastRenderedPageBreak/>
        <w:t xml:space="preserve">برخی بیان کردند که متعارف رضایت مالک است. شاید قرطبی همین مطلب را بیان می کند که شارع، تعارف به رضایت که از نظر عرفی اماره بر رضایت است را اماره بر رضایت قرار داده است. </w:t>
      </w:r>
    </w:p>
    <w:p w:rsidR="000F6FCA" w:rsidRDefault="000F6FCA" w:rsidP="00717166">
      <w:pPr>
        <w:jc w:val="both"/>
        <w:rPr>
          <w:rtl/>
        </w:rPr>
      </w:pPr>
      <w:r>
        <w:rPr>
          <w:rFonts w:hint="cs"/>
          <w:rtl/>
        </w:rPr>
        <w:t xml:space="preserve">قرطبی در ادامه می نویسد: </w:t>
      </w:r>
    </w:p>
    <w:p w:rsidR="000F6FCA" w:rsidRDefault="000F6FCA" w:rsidP="00717166">
      <w:pPr>
        <w:jc w:val="both"/>
        <w:rPr>
          <w:color w:val="000080"/>
          <w:rtl/>
        </w:rPr>
      </w:pPr>
      <w:r w:rsidRPr="000F6FCA">
        <w:rPr>
          <w:color w:val="000080"/>
          <w:rtl/>
        </w:rPr>
        <w:t xml:space="preserve">وَيُحْمَلُ ذَلِكَ عَلَى أَوْقَاتِ الْمَجَاعَةِ وَالضَّرُورَةِ، كَمَا تَقَدَّمَ وَاللَّهُ أَعْلَمُ. وَإِنْ كَانَ </w:t>
      </w:r>
      <w:r w:rsidRPr="000F6FCA">
        <w:rPr>
          <w:rtl/>
        </w:rPr>
        <w:t>الثَّانِي</w:t>
      </w:r>
      <w:r w:rsidRPr="000F6FCA">
        <w:rPr>
          <w:rFonts w:hint="cs"/>
          <w:rtl/>
        </w:rPr>
        <w:t xml:space="preserve"> (جایی که تعارف بر رضایت مالک وجود ندارد)</w:t>
      </w:r>
      <w:r w:rsidRPr="000F6FCA">
        <w:rPr>
          <w:color w:val="000080"/>
          <w:rtl/>
        </w:rPr>
        <w:t xml:space="preserve"> وَهُوَ النَّادِرُ فِي وَقْتٍ مِنَ الْأَوْقَاتِ، فَاخْتَلَفَ الْعُلَمَاءُ فِيهَا عَلَى قَوْلَيْنِ: أَحَدُهُمَا- أَنَّهُ يَأْكُل</w:t>
      </w:r>
      <w:r>
        <w:rPr>
          <w:color w:val="000080"/>
          <w:rtl/>
        </w:rPr>
        <w:t>ُ حَتَّى يَشْبَعَ وَيَتَضَلَّعَ</w:t>
      </w:r>
      <w:r>
        <w:rPr>
          <w:rFonts w:hint="cs"/>
          <w:color w:val="000080"/>
          <w:rtl/>
        </w:rPr>
        <w:t xml:space="preserve">، </w:t>
      </w:r>
      <w:r w:rsidRPr="000F6FCA">
        <w:rPr>
          <w:color w:val="000080"/>
          <w:rtl/>
        </w:rPr>
        <w:t>وَيَتَزَوَّدُ إِذَا خَشِيَ الضَّرُورَةَ فِيمَا بَيْنَ يَدَيْهِ مِنْ مَفَازَةٍ وَقَفْرٍ، وَإِذَا وَجَدَ عَنْهَا غِنًى طَرَحَهَا. قَالَ مَعْنَاهُ مَالِكٌ فِي مُوَطَّئِهِ، وَبِهِ قَالَ الشَّافِعِيُّ وَكَثِيرٌ مِنَ الْعُلَمَاءِ.</w:t>
      </w:r>
    </w:p>
    <w:p w:rsidR="00E8460E" w:rsidRDefault="000F6FCA" w:rsidP="00717166">
      <w:pPr>
        <w:jc w:val="both"/>
        <w:rPr>
          <w:rtl/>
        </w:rPr>
      </w:pPr>
      <w:r>
        <w:rPr>
          <w:rFonts w:hint="cs"/>
          <w:rtl/>
        </w:rPr>
        <w:t>قرطبی در اینجا تصریح کرده که مالک، اکل</w:t>
      </w:r>
      <w:r w:rsidR="00EE4864">
        <w:rPr>
          <w:rFonts w:hint="cs"/>
          <w:rtl/>
        </w:rPr>
        <w:t xml:space="preserve"> را در صورت ضرورت جایز می داند.</w:t>
      </w:r>
    </w:p>
    <w:p w:rsidR="00EE4864" w:rsidRDefault="00EE4864" w:rsidP="00717166">
      <w:pPr>
        <w:jc w:val="both"/>
        <w:rPr>
          <w:rtl/>
        </w:rPr>
      </w:pPr>
      <w:r>
        <w:rPr>
          <w:rFonts w:hint="cs"/>
          <w:rtl/>
        </w:rPr>
        <w:t>طبق این تحلیل، تعارف رضایت مالکان به اکل، از نظر شرعی اماره برای رضایت مالک قرار داده شده است و چون در حمل چنین تعارفی وجود ندارد، اماره ای برای کشف رضایت مالک در حمل نیست.</w:t>
      </w:r>
      <w:r w:rsidR="00C036D8">
        <w:rPr>
          <w:rStyle w:val="FootnoteReference"/>
          <w:rtl/>
        </w:rPr>
        <w:footnoteReference w:id="13"/>
      </w:r>
      <w:r>
        <w:rPr>
          <w:rFonts w:hint="cs"/>
          <w:rtl/>
        </w:rPr>
        <w:t xml:space="preserve"> </w:t>
      </w:r>
    </w:p>
    <w:p w:rsidR="00095FC7" w:rsidRDefault="00C036D8" w:rsidP="00095FC7">
      <w:pPr>
        <w:pStyle w:val="Heading2"/>
        <w:jc w:val="both"/>
        <w:rPr>
          <w:rtl/>
        </w:rPr>
      </w:pPr>
      <w:bookmarkStart w:id="9" w:name="_Toc88888569"/>
      <w:r>
        <w:rPr>
          <w:rFonts w:hint="cs"/>
          <w:rtl/>
        </w:rPr>
        <w:t>شرایط حق الماره</w:t>
      </w:r>
      <w:bookmarkEnd w:id="9"/>
      <w:r>
        <w:rPr>
          <w:rFonts w:hint="cs"/>
          <w:rtl/>
        </w:rPr>
        <w:t xml:space="preserve"> </w:t>
      </w:r>
    </w:p>
    <w:p w:rsidR="00095FC7" w:rsidRDefault="00095FC7" w:rsidP="00095FC7">
      <w:pPr>
        <w:rPr>
          <w:rtl/>
        </w:rPr>
      </w:pPr>
      <w:r>
        <w:rPr>
          <w:rFonts w:hint="cs"/>
          <w:rtl/>
        </w:rPr>
        <w:t>برای جواز اکل مارّه شرایطی بیان شده، که در ادامه بیان و بررسی می شود.</w:t>
      </w:r>
    </w:p>
    <w:p w:rsidR="00095FC7" w:rsidRPr="00095FC7" w:rsidRDefault="00095FC7" w:rsidP="00095FC7">
      <w:pPr>
        <w:pStyle w:val="Heading3"/>
        <w:rPr>
          <w:rtl/>
        </w:rPr>
      </w:pPr>
      <w:bookmarkStart w:id="10" w:name="_Toc88888570"/>
      <w:r>
        <w:rPr>
          <w:rFonts w:hint="cs"/>
          <w:rtl/>
        </w:rPr>
        <w:lastRenderedPageBreak/>
        <w:t>شرط اول: اتفاقی بودن مرور</w:t>
      </w:r>
      <w:bookmarkEnd w:id="10"/>
    </w:p>
    <w:p w:rsidR="00C036D8" w:rsidRDefault="00C036D8" w:rsidP="00717166">
      <w:pPr>
        <w:jc w:val="both"/>
        <w:rPr>
          <w:rtl/>
        </w:rPr>
      </w:pPr>
      <w:r>
        <w:rPr>
          <w:rFonts w:hint="cs"/>
          <w:rtl/>
        </w:rPr>
        <w:t xml:space="preserve">شرط اولی که برای جواز اکل بیان شده، اتفاقی بودن مرور است و گفته شده: «عن الرجل یمرّ بالنخل و السنبل و الثمره» شامل مرورهای غیر اتفاقی نیست. </w:t>
      </w:r>
    </w:p>
    <w:p w:rsidR="00C036D8" w:rsidRPr="00156160" w:rsidRDefault="00156160" w:rsidP="00095FC7">
      <w:pPr>
        <w:jc w:val="both"/>
        <w:rPr>
          <w:rtl/>
        </w:rPr>
      </w:pPr>
      <w:r>
        <w:rPr>
          <w:rFonts w:hint="cs"/>
          <w:rtl/>
        </w:rPr>
        <w:t>این سخن بعید نیست و اطمینان به شمول اطلاق آن نسبت به مرورهای به قصد اکل سخت است و حداقل قدر متیقن آن مرور اتفاقی است. البته</w:t>
      </w:r>
      <w:r w:rsidR="00095FC7">
        <w:rPr>
          <w:rFonts w:hint="cs"/>
          <w:rtl/>
        </w:rPr>
        <w:t xml:space="preserve"> ممکن است برخی از روایات مانند روایت داود صرمی: </w:t>
      </w:r>
      <w:r>
        <w:rPr>
          <w:rFonts w:hint="cs"/>
          <w:rtl/>
        </w:rPr>
        <w:t>«</w:t>
      </w:r>
      <w:r w:rsidRPr="001A3FB5">
        <w:rPr>
          <w:color w:val="008000"/>
          <w:rtl/>
        </w:rPr>
        <w:t>سَأَلْتُهُ عَنْ رَجُلٍ دَخَلَ بُسْتَاناً أَ يَأْكُلُ مِنَ الثَّمَرَةِ مِنْ غَيْرِ عِلْمِ صَاحِبِ الْبُسْتَانِ</w:t>
      </w:r>
      <w:r>
        <w:rPr>
          <w:rFonts w:hint="cs"/>
          <w:color w:val="008000"/>
          <w:rtl/>
        </w:rPr>
        <w:t xml:space="preserve">» </w:t>
      </w:r>
      <w:r w:rsidRPr="00156160">
        <w:rPr>
          <w:rFonts w:hint="cs"/>
          <w:rtl/>
        </w:rPr>
        <w:t xml:space="preserve">اطلاق داشته باشند. اما روایت داود صرمی از جهت سندی معتبر نیست و روشن نیست شامل صورتی شود که شخص برای اکل داخل بستان </w:t>
      </w:r>
      <w:r w:rsidR="00095FC7">
        <w:rPr>
          <w:rFonts w:hint="cs"/>
          <w:rtl/>
        </w:rPr>
        <w:t>شده است</w:t>
      </w:r>
      <w:r w:rsidRPr="00156160">
        <w:rPr>
          <w:rFonts w:hint="cs"/>
          <w:rtl/>
        </w:rPr>
        <w:t xml:space="preserve">. </w:t>
      </w:r>
    </w:p>
    <w:p w:rsidR="00156160" w:rsidRDefault="00156160" w:rsidP="00717166">
      <w:pPr>
        <w:jc w:val="both"/>
        <w:rPr>
          <w:rtl/>
        </w:rPr>
      </w:pPr>
      <w:r w:rsidRPr="00156160">
        <w:rPr>
          <w:rFonts w:hint="cs"/>
          <w:rtl/>
        </w:rPr>
        <w:t>در نتیجه، اختصاص جواز اکل به صورت مرور اتفاقی بعید نیست. البته مرور</w:t>
      </w:r>
      <w:r w:rsidR="00095FC7">
        <w:rPr>
          <w:rFonts w:hint="cs"/>
          <w:rtl/>
        </w:rPr>
        <w:t>،</w:t>
      </w:r>
      <w:r w:rsidRPr="00156160">
        <w:rPr>
          <w:rFonts w:hint="cs"/>
          <w:rtl/>
        </w:rPr>
        <w:t xml:space="preserve"> صوری دارد که بعید نیست نسبت به برخ</w:t>
      </w:r>
      <w:r>
        <w:rPr>
          <w:rFonts w:hint="cs"/>
          <w:rtl/>
        </w:rPr>
        <w:t xml:space="preserve">ی از آنها اطلاق وجود داشته باشد. </w:t>
      </w:r>
    </w:p>
    <w:p w:rsidR="00156160" w:rsidRDefault="00156160" w:rsidP="00717166">
      <w:pPr>
        <w:pStyle w:val="ListParagraph"/>
        <w:numPr>
          <w:ilvl w:val="0"/>
          <w:numId w:val="16"/>
        </w:numPr>
        <w:jc w:val="both"/>
      </w:pPr>
      <w:r>
        <w:rPr>
          <w:rFonts w:hint="cs"/>
          <w:rtl/>
        </w:rPr>
        <w:t>گاهی تمام العله</w:t>
      </w:r>
      <w:r w:rsidR="00095FC7">
        <w:rPr>
          <w:rFonts w:hint="cs"/>
          <w:rtl/>
        </w:rPr>
        <w:t>،</w:t>
      </w:r>
      <w:r>
        <w:rPr>
          <w:rFonts w:hint="cs"/>
          <w:rtl/>
        </w:rPr>
        <w:t xml:space="preserve"> خوردن است و تنها انگیزه برای مرور اکل است. روایات شامل این مرور نمی شود. </w:t>
      </w:r>
    </w:p>
    <w:p w:rsidR="00156160" w:rsidRDefault="00156160" w:rsidP="00717166">
      <w:pPr>
        <w:pStyle w:val="ListParagraph"/>
        <w:numPr>
          <w:ilvl w:val="0"/>
          <w:numId w:val="16"/>
        </w:numPr>
        <w:jc w:val="both"/>
      </w:pPr>
      <w:r>
        <w:rPr>
          <w:rFonts w:hint="cs"/>
          <w:rtl/>
        </w:rPr>
        <w:t>گاهی جزء العله</w:t>
      </w:r>
      <w:r w:rsidR="00095FC7">
        <w:rPr>
          <w:rFonts w:hint="cs"/>
          <w:rtl/>
        </w:rPr>
        <w:t>،</w:t>
      </w:r>
      <w:r>
        <w:rPr>
          <w:rFonts w:hint="cs"/>
          <w:rtl/>
        </w:rPr>
        <w:t xml:space="preserve"> خوردن است مثل آنکه دو راه وجود دارد ولی این راه را به داعی خوردن از میوه انتخاب می کند. </w:t>
      </w:r>
    </w:p>
    <w:p w:rsidR="00156160" w:rsidRDefault="00156160" w:rsidP="00717166">
      <w:pPr>
        <w:pStyle w:val="ListParagraph"/>
        <w:numPr>
          <w:ilvl w:val="0"/>
          <w:numId w:val="16"/>
        </w:numPr>
        <w:jc w:val="both"/>
      </w:pPr>
      <w:r>
        <w:rPr>
          <w:rFonts w:hint="cs"/>
          <w:rtl/>
        </w:rPr>
        <w:t xml:space="preserve">به هر حال مرور به میوه ها صورت می گیرد و منهای اکل داعی مستقلی برای مرور است و اکل نیز داعی مستقل دیگری برای مرور است. پس دو داعی مستقل است هم کاری دارد که باید مرور کند و اکل نیز داعی مستقل برای مرور است. </w:t>
      </w:r>
    </w:p>
    <w:p w:rsidR="00156160" w:rsidRDefault="00156160" w:rsidP="00717166">
      <w:pPr>
        <w:pStyle w:val="ListParagraph"/>
        <w:numPr>
          <w:ilvl w:val="0"/>
          <w:numId w:val="16"/>
        </w:numPr>
        <w:jc w:val="both"/>
      </w:pPr>
      <w:r>
        <w:rPr>
          <w:rFonts w:hint="cs"/>
          <w:rtl/>
        </w:rPr>
        <w:t xml:space="preserve">داعی اکلی داعی مستقل است بر خلاف اکل که داعی تبعی است به این صورت که داعی اصلی را تأکید می کند. </w:t>
      </w:r>
    </w:p>
    <w:p w:rsidR="00DB255A" w:rsidRDefault="00B527B7" w:rsidP="00717166">
      <w:pPr>
        <w:jc w:val="both"/>
        <w:rPr>
          <w:rtl/>
        </w:rPr>
      </w:pPr>
      <w:r>
        <w:rPr>
          <w:rFonts w:hint="cs"/>
          <w:rtl/>
        </w:rPr>
        <w:t xml:space="preserve">به نظر می رسد شمول روایات نسبت به برخی از صور روشن است و شمول آنها نسبت به برخی صور روشن نیست. </w:t>
      </w:r>
    </w:p>
    <w:p w:rsidR="00B527B7" w:rsidRDefault="00B527B7" w:rsidP="00717166">
      <w:pPr>
        <w:jc w:val="both"/>
        <w:rPr>
          <w:rtl/>
        </w:rPr>
      </w:pPr>
      <w:r>
        <w:rPr>
          <w:rFonts w:hint="cs"/>
          <w:rtl/>
        </w:rPr>
        <w:t xml:space="preserve">شبیه این صور در بحث ریا و دواعی مباحه ضمیمه شده است. آیا وجود دواعی مباحه، قصد قربت را منتفی می کند؟ مثلا پدر یا معلّم برای اینکه به بچه ها نماز خواندن را آموزش دهد، نماز می خواند. آیا این داعی مباح که ریا تلقّی نمی شود، مانع تحقق قصد قربت است؟ حکم نماز در این فرض که دو داعی برای عمل وجود دارد داعی الهی و داعی غیر الهی مباح، چیست؟ در بحث ریا باید طبق قاعده مشی کرد ولی در بحث حق الماره باید دید اطلاقات روایات شامل کدام یک از مرورهاست؟ </w:t>
      </w:r>
    </w:p>
    <w:p w:rsidR="00B527B7" w:rsidRDefault="00B527B7" w:rsidP="00D77651">
      <w:pPr>
        <w:jc w:val="both"/>
        <w:rPr>
          <w:rtl/>
        </w:rPr>
      </w:pPr>
      <w:r>
        <w:rPr>
          <w:rFonts w:hint="cs"/>
          <w:rtl/>
        </w:rPr>
        <w:t xml:space="preserve">یکی از قیود، عدم علم یا ظن به کراهت مالک است. همچنین وجود حق در مرور یکی از قیود دیگری است که مطرح شده است. قیود دیگری نیز برای حق الماره بیان شده است. همچنین درباره موضوع آن اختلاف است که آیا خصوص نخل است یا شامل فاکهه و زرع نیز می شود؟ درباره این </w:t>
      </w:r>
      <w:r w:rsidR="00D77651">
        <w:rPr>
          <w:rFonts w:hint="cs"/>
          <w:rtl/>
        </w:rPr>
        <w:t>مطالب</w:t>
      </w:r>
      <w:r>
        <w:rPr>
          <w:rFonts w:hint="cs"/>
          <w:rtl/>
        </w:rPr>
        <w:t xml:space="preserve"> در جلسات آینده بحث خواهیم کرد. </w:t>
      </w:r>
    </w:p>
    <w:p w:rsidR="00C05181" w:rsidRDefault="00C05181" w:rsidP="00717166">
      <w:pPr>
        <w:jc w:val="both"/>
        <w:rPr>
          <w:rtl/>
        </w:rPr>
      </w:pPr>
    </w:p>
    <w:p w:rsidR="00B527B7" w:rsidRPr="00156160" w:rsidRDefault="00B527B7" w:rsidP="00717166">
      <w:pPr>
        <w:jc w:val="both"/>
        <w:rPr>
          <w:rtl/>
        </w:rPr>
      </w:pPr>
    </w:p>
    <w:sectPr w:rsidR="00B527B7" w:rsidRPr="0015616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CA" w:rsidRDefault="005B1BCA" w:rsidP="008B750B">
      <w:pPr>
        <w:spacing w:line="240" w:lineRule="auto"/>
      </w:pPr>
      <w:r>
        <w:separator/>
      </w:r>
    </w:p>
  </w:endnote>
  <w:endnote w:type="continuationSeparator" w:id="0">
    <w:p w:rsidR="005B1BCA" w:rsidRDefault="005B1BC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91E00" w:rsidRPr="00891E0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45FCD" w:rsidP="001B6799">
          <w:pPr>
            <w:pStyle w:val="Footer"/>
            <w:bidi w:val="0"/>
            <w:rPr>
              <w:color w:val="808080" w:themeColor="background1" w:themeShade="80"/>
              <w:rtl/>
            </w:rPr>
          </w:pPr>
          <w:bookmarkStart w:id="18" w:name="BokAdres"/>
          <w:bookmarkEnd w:id="18"/>
          <w:r>
            <w:rPr>
              <w:color w:val="808080" w:themeColor="background1" w:themeShade="80"/>
            </w:rPr>
            <w:t>F1js1_14000901-032_mk3_mfeb.ir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CA" w:rsidRDefault="005B1BCA" w:rsidP="008B750B">
      <w:pPr>
        <w:spacing w:line="240" w:lineRule="auto"/>
      </w:pPr>
      <w:r>
        <w:separator/>
      </w:r>
    </w:p>
  </w:footnote>
  <w:footnote w:type="continuationSeparator" w:id="0">
    <w:p w:rsidR="005B1BCA" w:rsidRDefault="005B1BCA" w:rsidP="008B750B">
      <w:pPr>
        <w:spacing w:line="240" w:lineRule="auto"/>
      </w:pPr>
      <w:r>
        <w:continuationSeparator/>
      </w:r>
    </w:p>
  </w:footnote>
  <w:footnote w:id="1">
    <w:p w:rsidR="00335D23" w:rsidRDefault="00335D23">
      <w:pPr>
        <w:pStyle w:val="FootnoteText"/>
      </w:pPr>
      <w:r>
        <w:rPr>
          <w:rStyle w:val="FootnoteReference"/>
        </w:rPr>
        <w:footnoteRef/>
      </w:r>
      <w:r>
        <w:rPr>
          <w:rtl/>
        </w:rPr>
        <w:t xml:space="preserve"> </w:t>
      </w:r>
      <w:r w:rsidRPr="00BD704B">
        <w:rPr>
          <w:rtl/>
        </w:rPr>
        <w:t>عَنْ مَسْعَدَةَ بْنِ زِيَادٍ قَالَ: حَدَّثَنَا جَعْفَرُ بْنُ مُحَمَّدٍ، وَ سُئِلَ عَمَّا يَأْكُلُ النَّاسُ مِنَ الْفَاكِهَةِ وَ الرُّطَبِ مِمَّا حولهم حَلَالٌ. فَقَالَ: «لَا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Fonts w:hint="cs"/>
          <w:rtl/>
        </w:rPr>
        <w:t>.</w:t>
      </w:r>
    </w:p>
  </w:footnote>
  <w:footnote w:id="2">
    <w:p w:rsidR="00577B4B" w:rsidRPr="00DD117D" w:rsidRDefault="00577B4B" w:rsidP="00577B4B">
      <w:pPr>
        <w:pStyle w:val="FootnoteText"/>
      </w:pPr>
      <w:r w:rsidRPr="00DD117D">
        <w:footnoteRef/>
      </w:r>
      <w:r w:rsidRPr="00DD117D">
        <w:rPr>
          <w:rtl/>
        </w:rPr>
        <w:t xml:space="preserve"> </w:t>
      </w:r>
      <w:hyperlink r:id="rId1"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3">
    <w:p w:rsidR="00DA472E" w:rsidRPr="001A3FB5" w:rsidRDefault="00DA472E" w:rsidP="00DA472E">
      <w:pPr>
        <w:pStyle w:val="FootnoteText"/>
      </w:pPr>
      <w:r w:rsidRPr="001A3FB5">
        <w:footnoteRef/>
      </w:r>
      <w:r w:rsidRPr="001A3FB5">
        <w:rPr>
          <w:rtl/>
        </w:rPr>
        <w:t xml:space="preserve"> </w:t>
      </w:r>
      <w:hyperlink r:id="rId2" w:history="1">
        <w:r w:rsidRPr="001A3FB5">
          <w:rPr>
            <w:rStyle w:val="Hyperlink"/>
            <w:rFonts w:hint="eastAsia"/>
            <w:rtl/>
          </w:rPr>
          <w:t>وسائل</w:t>
        </w:r>
        <w:r w:rsidRPr="001A3FB5">
          <w:rPr>
            <w:rStyle w:val="Hyperlink"/>
            <w:rtl/>
          </w:rPr>
          <w:t xml:space="preserve"> الش</w:t>
        </w:r>
        <w:r w:rsidRPr="001A3FB5">
          <w:rPr>
            <w:rStyle w:val="Hyperlink"/>
            <w:rFonts w:hint="cs"/>
            <w:rtl/>
          </w:rPr>
          <w:t>ی</w:t>
        </w:r>
        <w:r w:rsidRPr="001A3FB5">
          <w:rPr>
            <w:rStyle w:val="Hyperlink"/>
            <w:rFonts w:hint="eastAsia"/>
            <w:rtl/>
          </w:rPr>
          <w:t>عة،</w:t>
        </w:r>
        <w:r w:rsidRPr="001A3FB5">
          <w:rPr>
            <w:rStyle w:val="Hyperlink"/>
            <w:rtl/>
          </w:rPr>
          <w:t xml:space="preserve"> الش</w:t>
        </w:r>
        <w:r w:rsidRPr="001A3FB5">
          <w:rPr>
            <w:rStyle w:val="Hyperlink"/>
            <w:rFonts w:hint="cs"/>
            <w:rtl/>
          </w:rPr>
          <w:t>ی</w:t>
        </w:r>
        <w:r w:rsidRPr="001A3FB5">
          <w:rPr>
            <w:rStyle w:val="Hyperlink"/>
            <w:rFonts w:hint="eastAsia"/>
            <w:rtl/>
          </w:rPr>
          <w:t>خ</w:t>
        </w:r>
        <w:r w:rsidRPr="001A3FB5">
          <w:rPr>
            <w:rStyle w:val="Hyperlink"/>
            <w:rtl/>
          </w:rPr>
          <w:t xml:space="preserve"> الحر العاملي، ج18، ص229، أبواب ب</w:t>
        </w:r>
        <w:r w:rsidRPr="001A3FB5">
          <w:rPr>
            <w:rStyle w:val="Hyperlink"/>
            <w:rFonts w:hint="cs"/>
            <w:rtl/>
          </w:rPr>
          <w:t>ی</w:t>
        </w:r>
        <w:r w:rsidRPr="001A3FB5">
          <w:rPr>
            <w:rStyle w:val="Hyperlink"/>
            <w:rFonts w:hint="eastAsia"/>
            <w:rtl/>
          </w:rPr>
          <w:t>ع</w:t>
        </w:r>
        <w:r w:rsidRPr="001A3FB5">
          <w:rPr>
            <w:rStyle w:val="Hyperlink"/>
            <w:rtl/>
          </w:rPr>
          <w:t xml:space="preserve"> الثمار، باب8، ح11، ط آل البيت.</w:t>
        </w:r>
      </w:hyperlink>
    </w:p>
  </w:footnote>
  <w:footnote w:id="4">
    <w:p w:rsidR="00757421" w:rsidRPr="00757421" w:rsidRDefault="00757421" w:rsidP="00757421">
      <w:pPr>
        <w:pStyle w:val="FootnoteText"/>
      </w:pPr>
      <w:r>
        <w:rPr>
          <w:rStyle w:val="FootnoteReference"/>
        </w:rPr>
        <w:footnoteRef/>
      </w:r>
      <w:r>
        <w:rPr>
          <w:rtl/>
        </w:rPr>
        <w:t xml:space="preserve"> </w:t>
      </w:r>
      <w:r w:rsidRPr="00757421">
        <w:rPr>
          <w:rtl/>
        </w:rPr>
        <w:t>با</w:t>
      </w:r>
      <w:r w:rsidRPr="00757421">
        <w:rPr>
          <w:rFonts w:hint="cs"/>
          <w:rtl/>
        </w:rPr>
        <w:t>ی</w:t>
      </w:r>
      <w:r w:rsidRPr="00757421">
        <w:rPr>
          <w:rFonts w:hint="eastAsia"/>
          <w:rtl/>
        </w:rPr>
        <w:t>د</w:t>
      </w:r>
      <w:r w:rsidRPr="00757421">
        <w:rPr>
          <w:rtl/>
        </w:rPr>
        <w:t xml:space="preserve"> دقت داشت: کلمه حائط دو معنا ندارد. گاه به کل باغ حائط اطلاق شده و گاه به خصوص د</w:t>
      </w:r>
      <w:r w:rsidRPr="00757421">
        <w:rPr>
          <w:rFonts w:hint="cs"/>
          <w:rtl/>
        </w:rPr>
        <w:t>ی</w:t>
      </w:r>
      <w:r w:rsidRPr="00757421">
        <w:rPr>
          <w:rFonts w:hint="eastAsia"/>
          <w:rtl/>
        </w:rPr>
        <w:t>وار</w:t>
      </w:r>
      <w:r w:rsidRPr="00757421">
        <w:rPr>
          <w:rtl/>
        </w:rPr>
        <w:t xml:space="preserve"> حائط اطلاق شده است.</w:t>
      </w:r>
    </w:p>
  </w:footnote>
  <w:footnote w:id="5">
    <w:p w:rsidR="00D40B9E" w:rsidRDefault="00D40B9E">
      <w:pPr>
        <w:pStyle w:val="FootnoteText"/>
      </w:pPr>
      <w:r>
        <w:rPr>
          <w:rStyle w:val="FootnoteReference"/>
        </w:rPr>
        <w:footnoteRef/>
      </w:r>
      <w:r>
        <w:rPr>
          <w:rtl/>
        </w:rPr>
        <w:t xml:space="preserve"> </w:t>
      </w:r>
      <w:r>
        <w:rPr>
          <w:rFonts w:hint="cs"/>
          <w:rtl/>
        </w:rPr>
        <w:t>تفسیر القرطبی، ج 6، ص: 162</w:t>
      </w:r>
    </w:p>
  </w:footnote>
  <w:footnote w:id="6">
    <w:p w:rsidR="00B47F9D" w:rsidRDefault="00B47F9D">
      <w:pPr>
        <w:pStyle w:val="FootnoteText"/>
      </w:pPr>
      <w:r>
        <w:rPr>
          <w:rStyle w:val="FootnoteReference"/>
        </w:rPr>
        <w:footnoteRef/>
      </w:r>
      <w:r>
        <w:rPr>
          <w:rtl/>
        </w:rPr>
        <w:t xml:space="preserve"> </w:t>
      </w:r>
      <w:r>
        <w:rPr>
          <w:rFonts w:hint="cs"/>
          <w:rtl/>
        </w:rPr>
        <w:t xml:space="preserve">التمهید لما فی الموطأ من المعانی و  الاسانید، ج 19، ص: 212 </w:t>
      </w:r>
    </w:p>
  </w:footnote>
  <w:footnote w:id="7">
    <w:p w:rsidR="00857C28" w:rsidRDefault="00857C28">
      <w:pPr>
        <w:pStyle w:val="FootnoteText"/>
      </w:pPr>
      <w:r>
        <w:rPr>
          <w:rStyle w:val="FootnoteReference"/>
        </w:rPr>
        <w:footnoteRef/>
      </w:r>
      <w:r>
        <w:rPr>
          <w:rtl/>
        </w:rPr>
        <w:t xml:space="preserve"> </w:t>
      </w:r>
      <w:r>
        <w:rPr>
          <w:rFonts w:hint="cs"/>
          <w:rtl/>
        </w:rPr>
        <w:t xml:space="preserve">الاستذکار؛ ج 8، ص: 502 </w:t>
      </w:r>
    </w:p>
  </w:footnote>
  <w:footnote w:id="8">
    <w:p w:rsidR="00857C28" w:rsidRDefault="00857C28">
      <w:pPr>
        <w:pStyle w:val="FootnoteText"/>
      </w:pPr>
      <w:r>
        <w:rPr>
          <w:rStyle w:val="FootnoteReference"/>
        </w:rPr>
        <w:footnoteRef/>
      </w:r>
      <w:r>
        <w:rPr>
          <w:rtl/>
        </w:rPr>
        <w:t xml:space="preserve"> </w:t>
      </w:r>
      <w:r>
        <w:rPr>
          <w:rFonts w:hint="cs"/>
          <w:rtl/>
        </w:rPr>
        <w:t>التمهید؛ ج 1، ص: 232</w:t>
      </w:r>
    </w:p>
  </w:footnote>
  <w:footnote w:id="9">
    <w:p w:rsidR="00E72BE6" w:rsidRPr="00E72BE6" w:rsidRDefault="00E72BE6" w:rsidP="00E72BE6">
      <w:pPr>
        <w:pStyle w:val="FootnoteText"/>
      </w:pPr>
      <w:r w:rsidRPr="00E72BE6">
        <w:footnoteRef/>
      </w:r>
      <w:r w:rsidRPr="00E72BE6">
        <w:rPr>
          <w:rtl/>
        </w:rPr>
        <w:t xml:space="preserve"> </w:t>
      </w:r>
      <w:hyperlink r:id="rId3" w:history="1">
        <w:r w:rsidRPr="00E72BE6">
          <w:rPr>
            <w:rStyle w:val="Hyperlink"/>
            <w:rtl/>
          </w:rPr>
          <w:t>مجمع الفائده و البرهان، مقدس اردب</w:t>
        </w:r>
        <w:r w:rsidRPr="00E72BE6">
          <w:rPr>
            <w:rStyle w:val="Hyperlink"/>
            <w:rFonts w:hint="cs"/>
            <w:rtl/>
          </w:rPr>
          <w:t>ی</w:t>
        </w:r>
        <w:r w:rsidRPr="00E72BE6">
          <w:rPr>
            <w:rStyle w:val="Hyperlink"/>
            <w:rFonts w:hint="eastAsia"/>
            <w:rtl/>
          </w:rPr>
          <w:t>ل</w:t>
        </w:r>
        <w:r w:rsidRPr="00E72BE6">
          <w:rPr>
            <w:rStyle w:val="Hyperlink"/>
            <w:rFonts w:hint="cs"/>
            <w:rtl/>
          </w:rPr>
          <w:t>ی</w:t>
        </w:r>
        <w:r w:rsidRPr="00E72BE6">
          <w:rPr>
            <w:rStyle w:val="Hyperlink"/>
            <w:rFonts w:hint="eastAsia"/>
            <w:rtl/>
          </w:rPr>
          <w:t>،</w:t>
        </w:r>
        <w:r w:rsidRPr="00E72BE6">
          <w:rPr>
            <w:rStyle w:val="Hyperlink"/>
            <w:rtl/>
          </w:rPr>
          <w:t xml:space="preserve"> ج8، ص224</w:t>
        </w:r>
        <w:r w:rsidRPr="00E72BE6">
          <w:rPr>
            <w:rStyle w:val="Hyperlink"/>
          </w:rPr>
          <w:t>.</w:t>
        </w:r>
      </w:hyperlink>
      <w:r>
        <w:rPr>
          <w:rFonts w:hint="cs"/>
          <w:rtl/>
        </w:rPr>
        <w:t xml:space="preserve"> </w:t>
      </w:r>
      <w:r w:rsidRPr="00E72BE6">
        <w:rPr>
          <w:rtl/>
        </w:rPr>
        <w:t>مع عدم الصراحة في المرسلة و إمكان حملها على حال الضرورة فقط، أو على من يجوز الأكل من بيوتهم الذي تتضمنهم الآية و استقر عليه الإجماع، أو الأكل اليسير جدا للذوق و الامتحان فقط، أو على الاذن المفهوم بالفحوى.</w:t>
      </w:r>
    </w:p>
  </w:footnote>
  <w:footnote w:id="10">
    <w:p w:rsidR="00857C28" w:rsidRDefault="00857C28" w:rsidP="00E72BE6">
      <w:pPr>
        <w:pStyle w:val="FootnoteText"/>
      </w:pPr>
      <w:r>
        <w:rPr>
          <w:rStyle w:val="FootnoteReference"/>
        </w:rPr>
        <w:footnoteRef/>
      </w:r>
      <w:r>
        <w:rPr>
          <w:rtl/>
        </w:rPr>
        <w:t xml:space="preserve"> </w:t>
      </w:r>
      <w:r>
        <w:rPr>
          <w:rFonts w:hint="cs"/>
          <w:rtl/>
        </w:rPr>
        <w:t xml:space="preserve">نور </w:t>
      </w:r>
      <w:r w:rsidR="00E72BE6">
        <w:rPr>
          <w:rFonts w:hint="cs"/>
          <w:rtl/>
        </w:rPr>
        <w:t xml:space="preserve">: 61  </w:t>
      </w:r>
      <w:r w:rsidRPr="00857C28">
        <w:rPr>
          <w:rtl/>
        </w:rPr>
        <w:t>لَيْسَ عَلَى الْأَعْمَى حَرَجٌ وَ لاَ عَلَى الْأَعْرَجِ حَرَجٌ وَ لاَ عَلَى الْمَرِيضِ حَرَجٌ وَ 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w:t>
      </w:r>
      <w:r w:rsidRPr="00857C28">
        <w:rPr>
          <w:rFonts w:hint="cs"/>
          <w:rtl/>
        </w:rPr>
        <w:t>لِكَ</w:t>
      </w:r>
      <w:r w:rsidRPr="00857C28">
        <w:rPr>
          <w:rtl/>
        </w:rPr>
        <w:t xml:space="preserve"> </w:t>
      </w:r>
      <w:r w:rsidRPr="00857C28">
        <w:rPr>
          <w:rFonts w:hint="cs"/>
          <w:rtl/>
        </w:rPr>
        <w:t>يُبَيِّنُ</w:t>
      </w:r>
      <w:r w:rsidRPr="00857C28">
        <w:rPr>
          <w:rtl/>
        </w:rPr>
        <w:t xml:space="preserve"> </w:t>
      </w:r>
      <w:r w:rsidRPr="00857C28">
        <w:rPr>
          <w:rFonts w:hint="cs"/>
          <w:rtl/>
        </w:rPr>
        <w:t>ا</w:t>
      </w:r>
      <w:r w:rsidRPr="00857C28">
        <w:rPr>
          <w:rtl/>
        </w:rPr>
        <w:t>للَّهُ لَكُمُ الْآيَاتِ لَعَلَّكُمْ تَعْقِلُونَ</w:t>
      </w:r>
    </w:p>
  </w:footnote>
  <w:footnote w:id="11">
    <w:p w:rsidR="00134D81" w:rsidRDefault="00134D81">
      <w:pPr>
        <w:pStyle w:val="FootnoteText"/>
      </w:pPr>
      <w:r>
        <w:rPr>
          <w:rStyle w:val="FootnoteReference"/>
        </w:rPr>
        <w:footnoteRef/>
      </w:r>
      <w:r>
        <w:rPr>
          <w:rtl/>
        </w:rPr>
        <w:t xml:space="preserve"> </w:t>
      </w:r>
      <w:r>
        <w:rPr>
          <w:rFonts w:hint="cs"/>
          <w:rtl/>
        </w:rPr>
        <w:t>شرح السنه</w:t>
      </w:r>
      <w:r w:rsidR="002E3901">
        <w:rPr>
          <w:rFonts w:hint="cs"/>
          <w:rtl/>
        </w:rPr>
        <w:t xml:space="preserve"> بغوی</w:t>
      </w:r>
      <w:r>
        <w:rPr>
          <w:rFonts w:hint="cs"/>
          <w:rtl/>
        </w:rPr>
        <w:t xml:space="preserve">؛ ج 8، ص: 225 </w:t>
      </w:r>
    </w:p>
  </w:footnote>
  <w:footnote w:id="12">
    <w:p w:rsidR="000F6FCA" w:rsidRDefault="000F6FCA">
      <w:pPr>
        <w:pStyle w:val="FootnoteText"/>
      </w:pPr>
      <w:r>
        <w:rPr>
          <w:rStyle w:val="FootnoteReference"/>
        </w:rPr>
        <w:footnoteRef/>
      </w:r>
      <w:r>
        <w:rPr>
          <w:rtl/>
        </w:rPr>
        <w:t xml:space="preserve"> </w:t>
      </w:r>
      <w:r>
        <w:rPr>
          <w:rFonts w:hint="cs"/>
          <w:rtl/>
        </w:rPr>
        <w:t xml:space="preserve">تقسیر القرطبی؛ ج 2، ص: 227 </w:t>
      </w:r>
    </w:p>
  </w:footnote>
  <w:footnote w:id="13">
    <w:p w:rsidR="00C036D8" w:rsidRDefault="00C036D8" w:rsidP="00C036D8">
      <w:pPr>
        <w:pStyle w:val="FootnoteText"/>
        <w:rPr>
          <w:rtl/>
        </w:rPr>
      </w:pPr>
      <w:r>
        <w:rPr>
          <w:rStyle w:val="FootnoteReference"/>
        </w:rPr>
        <w:footnoteRef/>
      </w:r>
      <w:r>
        <w:rPr>
          <w:rtl/>
        </w:rPr>
        <w:t xml:space="preserve"> ش</w:t>
      </w:r>
      <w:r>
        <w:rPr>
          <w:rFonts w:hint="cs"/>
          <w:rtl/>
        </w:rPr>
        <w:t>ی</w:t>
      </w:r>
      <w:r>
        <w:rPr>
          <w:rFonts w:hint="eastAsia"/>
          <w:rtl/>
        </w:rPr>
        <w:t>خ</w:t>
      </w:r>
      <w:r>
        <w:rPr>
          <w:rtl/>
        </w:rPr>
        <w:t xml:space="preserve"> ش</w:t>
      </w:r>
      <w:r>
        <w:rPr>
          <w:rFonts w:hint="cs"/>
          <w:rtl/>
        </w:rPr>
        <w:t>ی</w:t>
      </w:r>
      <w:r>
        <w:rPr>
          <w:rFonts w:hint="eastAsia"/>
          <w:rtl/>
        </w:rPr>
        <w:t>پور</w:t>
      </w:r>
      <w:r>
        <w:rPr>
          <w:rtl/>
        </w:rPr>
        <w:t xml:space="preserve"> هر گاه دعوت م</w:t>
      </w:r>
      <w:r>
        <w:rPr>
          <w:rFonts w:hint="cs"/>
          <w:rtl/>
        </w:rPr>
        <w:t>ی</w:t>
      </w:r>
      <w:r>
        <w:rPr>
          <w:rtl/>
        </w:rPr>
        <w:t xml:space="preserve"> شده، م</w:t>
      </w:r>
      <w:r>
        <w:rPr>
          <w:rFonts w:hint="cs"/>
          <w:rtl/>
        </w:rPr>
        <w:t>ی</w:t>
      </w:r>
      <w:r>
        <w:rPr>
          <w:rtl/>
        </w:rPr>
        <w:t xml:space="preserve"> گفته: اکلا مدعوّم </w:t>
      </w:r>
      <w:r>
        <w:rPr>
          <w:rFonts w:hint="cs"/>
          <w:rtl/>
        </w:rPr>
        <w:t>ی</w:t>
      </w:r>
      <w:r>
        <w:rPr>
          <w:rFonts w:hint="eastAsia"/>
          <w:rtl/>
        </w:rPr>
        <w:t>ا</w:t>
      </w:r>
      <w:r>
        <w:rPr>
          <w:rtl/>
        </w:rPr>
        <w:t xml:space="preserve"> حملا؟ صاحبخانه م</w:t>
      </w:r>
      <w:r>
        <w:rPr>
          <w:rFonts w:hint="cs"/>
          <w:rtl/>
        </w:rPr>
        <w:t>ی</w:t>
      </w:r>
      <w:r>
        <w:rPr>
          <w:rtl/>
        </w:rPr>
        <w:t xml:space="preserve"> گفت: هر جور اخت</w:t>
      </w:r>
      <w:r>
        <w:rPr>
          <w:rFonts w:hint="cs"/>
          <w:rtl/>
        </w:rPr>
        <w:t>ی</w:t>
      </w:r>
      <w:r>
        <w:rPr>
          <w:rFonts w:hint="eastAsia"/>
          <w:rtl/>
        </w:rPr>
        <w:t>ار</w:t>
      </w:r>
      <w:r>
        <w:rPr>
          <w:rtl/>
        </w:rPr>
        <w:t xml:space="preserve"> دار</w:t>
      </w:r>
      <w:r>
        <w:rPr>
          <w:rFonts w:hint="cs"/>
          <w:rtl/>
        </w:rPr>
        <w:t>ی</w:t>
      </w:r>
      <w:r>
        <w:rPr>
          <w:rFonts w:hint="eastAsia"/>
          <w:rtl/>
        </w:rPr>
        <w:t>د</w:t>
      </w:r>
      <w:r>
        <w:rPr>
          <w:rtl/>
        </w:rPr>
        <w:t>.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سه</w:t>
      </w:r>
      <w:r>
        <w:rPr>
          <w:rtl/>
        </w:rPr>
        <w:t xml:space="preserve"> ها</w:t>
      </w:r>
      <w:r>
        <w:rPr>
          <w:rFonts w:hint="cs"/>
          <w:rtl/>
        </w:rPr>
        <w:t>یی</w:t>
      </w:r>
      <w:r>
        <w:rPr>
          <w:rtl/>
        </w:rPr>
        <w:t xml:space="preserve"> همراه م</w:t>
      </w:r>
      <w:r>
        <w:rPr>
          <w:rFonts w:hint="cs"/>
          <w:rtl/>
        </w:rPr>
        <w:t>ی</w:t>
      </w:r>
      <w:r>
        <w:rPr>
          <w:rtl/>
        </w:rPr>
        <w:t xml:space="preserve"> برده و غذا را همراه خود م</w:t>
      </w:r>
      <w:r>
        <w:rPr>
          <w:rFonts w:hint="cs"/>
          <w:rtl/>
        </w:rPr>
        <w:t>ی</w:t>
      </w:r>
      <w:r>
        <w:rPr>
          <w:rtl/>
        </w:rPr>
        <w:t xml:space="preserve"> برده است. پس از مرگ در خانه او خمره ها</w:t>
      </w:r>
      <w:r>
        <w:rPr>
          <w:rFonts w:hint="cs"/>
          <w:rtl/>
        </w:rPr>
        <w:t>یی</w:t>
      </w:r>
      <w:r>
        <w:rPr>
          <w:rtl/>
        </w:rPr>
        <w:t xml:space="preserve"> پر از غذا</w:t>
      </w:r>
      <w:r>
        <w:rPr>
          <w:rFonts w:hint="cs"/>
          <w:rtl/>
        </w:rPr>
        <w:t>ی</w:t>
      </w:r>
      <w:r>
        <w:rPr>
          <w:rtl/>
        </w:rPr>
        <w:t xml:space="preserve"> گند</w:t>
      </w:r>
      <w:r>
        <w:rPr>
          <w:rFonts w:hint="cs"/>
          <w:rtl/>
        </w:rPr>
        <w:t>ی</w:t>
      </w:r>
      <w:r>
        <w:rPr>
          <w:rFonts w:hint="eastAsia"/>
          <w:rtl/>
        </w:rPr>
        <w:t>ده</w:t>
      </w:r>
      <w:r>
        <w:rPr>
          <w:rtl/>
        </w:rPr>
        <w:t xml:space="preserve"> پ</w:t>
      </w:r>
      <w:r>
        <w:rPr>
          <w:rFonts w:hint="cs"/>
          <w:rtl/>
        </w:rPr>
        <w:t>ی</w:t>
      </w:r>
      <w:r>
        <w:rPr>
          <w:rFonts w:hint="eastAsia"/>
          <w:rtl/>
        </w:rPr>
        <w:t>دا</w:t>
      </w:r>
      <w:r>
        <w:rPr>
          <w:rtl/>
        </w:rPr>
        <w:t xml:space="preserve"> کردند. ش</w:t>
      </w:r>
      <w:r>
        <w:rPr>
          <w:rFonts w:hint="cs"/>
          <w:rtl/>
        </w:rPr>
        <w:t>ی</w:t>
      </w:r>
      <w:r>
        <w:rPr>
          <w:rFonts w:hint="eastAsia"/>
          <w:rtl/>
        </w:rPr>
        <w:t>خ</w:t>
      </w:r>
      <w:r>
        <w:rPr>
          <w:rtl/>
        </w:rPr>
        <w:t xml:space="preserve"> ش</w:t>
      </w:r>
      <w:r>
        <w:rPr>
          <w:rFonts w:hint="cs"/>
          <w:rtl/>
        </w:rPr>
        <w:t>ی</w:t>
      </w:r>
      <w:r>
        <w:rPr>
          <w:rFonts w:hint="eastAsia"/>
          <w:rtl/>
        </w:rPr>
        <w:t>پور</w:t>
      </w:r>
      <w:r>
        <w:rPr>
          <w:rtl/>
        </w:rPr>
        <w:t xml:space="preserve"> جزو ملامت</w:t>
      </w:r>
      <w:r>
        <w:rPr>
          <w:rFonts w:hint="cs"/>
          <w:rtl/>
        </w:rPr>
        <w:t>ی</w:t>
      </w:r>
      <w:r>
        <w:rPr>
          <w:rFonts w:hint="eastAsia"/>
          <w:rtl/>
        </w:rPr>
        <w:t>ه</w:t>
      </w:r>
      <w:r>
        <w:rPr>
          <w:rtl/>
        </w:rPr>
        <w:t xml:space="preserve"> بوده و </w:t>
      </w:r>
      <w:r>
        <w:rPr>
          <w:rFonts w:hint="cs"/>
          <w:rtl/>
        </w:rPr>
        <w:t>ی</w:t>
      </w:r>
      <w:r>
        <w:rPr>
          <w:rFonts w:hint="eastAsia"/>
          <w:rtl/>
        </w:rPr>
        <w:t>ک</w:t>
      </w:r>
      <w:r>
        <w:rPr>
          <w:rFonts w:hint="cs"/>
          <w:rtl/>
        </w:rPr>
        <w:t>ی</w:t>
      </w:r>
      <w:r>
        <w:rPr>
          <w:rtl/>
        </w:rPr>
        <w:t xml:space="preserve"> از راه ها</w:t>
      </w:r>
      <w:r>
        <w:rPr>
          <w:rFonts w:hint="cs"/>
          <w:rtl/>
        </w:rPr>
        <w:t>ی</w:t>
      </w:r>
      <w:r>
        <w:rPr>
          <w:rtl/>
        </w:rPr>
        <w:t xml:space="preserve"> تهذ</w:t>
      </w:r>
      <w:r>
        <w:rPr>
          <w:rFonts w:hint="cs"/>
          <w:rtl/>
        </w:rPr>
        <w:t>ی</w:t>
      </w:r>
      <w:r>
        <w:rPr>
          <w:rFonts w:hint="eastAsia"/>
          <w:rtl/>
        </w:rPr>
        <w:t>ب</w:t>
      </w:r>
      <w:r>
        <w:rPr>
          <w:rtl/>
        </w:rPr>
        <w:t xml:space="preserve"> نفس را نگاه حقارت مردم به خود م</w:t>
      </w:r>
      <w:r>
        <w:rPr>
          <w:rFonts w:hint="cs"/>
          <w:rtl/>
        </w:rPr>
        <w:t>ی</w:t>
      </w:r>
      <w:r>
        <w:rPr>
          <w:rtl/>
        </w:rPr>
        <w:t xml:space="preserve"> دانستند و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به گونه ا</w:t>
      </w:r>
      <w:r>
        <w:rPr>
          <w:rFonts w:hint="cs"/>
          <w:rtl/>
        </w:rPr>
        <w:t>ی</w:t>
      </w:r>
      <w:r>
        <w:rPr>
          <w:rtl/>
        </w:rPr>
        <w:t xml:space="preserve"> رفتار م</w:t>
      </w:r>
      <w:r>
        <w:rPr>
          <w:rFonts w:hint="cs"/>
          <w:rtl/>
        </w:rPr>
        <w:t>ی</w:t>
      </w:r>
      <w:r>
        <w:rPr>
          <w:rtl/>
        </w:rPr>
        <w:t xml:space="preserve"> کردند که مردم آنها را حق</w:t>
      </w:r>
      <w:r>
        <w:rPr>
          <w:rFonts w:hint="cs"/>
          <w:rtl/>
        </w:rPr>
        <w:t>ی</w:t>
      </w:r>
      <w:r>
        <w:rPr>
          <w:rFonts w:hint="eastAsia"/>
          <w:rtl/>
        </w:rPr>
        <w:t>ر</w:t>
      </w:r>
      <w:r>
        <w:rPr>
          <w:rtl/>
        </w:rPr>
        <w:t xml:space="preserve"> بشمارند و آنها را ملامت کنند. البته ا</w:t>
      </w:r>
      <w:r>
        <w:rPr>
          <w:rFonts w:hint="cs"/>
          <w:rtl/>
        </w:rPr>
        <w:t>ی</w:t>
      </w:r>
      <w:r>
        <w:rPr>
          <w:rFonts w:hint="eastAsia"/>
          <w:rtl/>
        </w:rPr>
        <w:t>ن</w:t>
      </w:r>
      <w:r>
        <w:rPr>
          <w:rtl/>
        </w:rPr>
        <w:t xml:space="preserve"> نگاه از جهت شر</w:t>
      </w:r>
      <w:r>
        <w:rPr>
          <w:rFonts w:hint="cs"/>
          <w:rtl/>
        </w:rPr>
        <w:t>ی</w:t>
      </w:r>
      <w:r>
        <w:rPr>
          <w:rFonts w:hint="eastAsia"/>
          <w:rtl/>
        </w:rPr>
        <w:t>عت</w:t>
      </w:r>
      <w:r>
        <w:rPr>
          <w:rtl/>
        </w:rPr>
        <w:t xml:space="preserve">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 در روا</w:t>
      </w:r>
      <w:r>
        <w:rPr>
          <w:rFonts w:hint="cs"/>
          <w:rtl/>
        </w:rPr>
        <w:t>ی</w:t>
      </w:r>
      <w:r>
        <w:rPr>
          <w:rFonts w:hint="eastAsia"/>
          <w:rtl/>
        </w:rPr>
        <w:t>ات</w:t>
      </w:r>
      <w:r>
        <w:rPr>
          <w:rtl/>
        </w:rPr>
        <w:t xml:space="preserve"> وجود دارد که مؤمن هر کار</w:t>
      </w:r>
      <w:r>
        <w:rPr>
          <w:rFonts w:hint="cs"/>
          <w:rtl/>
        </w:rPr>
        <w:t>ی</w:t>
      </w:r>
      <w:r>
        <w:rPr>
          <w:rtl/>
        </w:rPr>
        <w:t xml:space="preserve"> م</w:t>
      </w:r>
      <w:r>
        <w:rPr>
          <w:rFonts w:hint="cs"/>
          <w:rtl/>
        </w:rPr>
        <w:t>ی</w:t>
      </w:r>
      <w:r>
        <w:rPr>
          <w:rtl/>
        </w:rPr>
        <w:t xml:space="preserve"> تواند انجام بدهد اما ح</w:t>
      </w:r>
      <w:r>
        <w:rPr>
          <w:rFonts w:hint="eastAsia"/>
          <w:rtl/>
        </w:rPr>
        <w:t>ق</w:t>
      </w:r>
      <w:r>
        <w:rPr>
          <w:rtl/>
        </w:rPr>
        <w:t xml:space="preserve"> ندارد خودش را خوار و ذل</w:t>
      </w:r>
      <w:r>
        <w:rPr>
          <w:rFonts w:hint="cs"/>
          <w:rtl/>
        </w:rPr>
        <w:t>ی</w:t>
      </w:r>
      <w:r>
        <w:rPr>
          <w:rFonts w:hint="eastAsia"/>
          <w:rtl/>
        </w:rPr>
        <w:t>ل</w:t>
      </w:r>
      <w:r>
        <w:rPr>
          <w:rtl/>
        </w:rPr>
        <w:t xml:space="preserve"> کند. گفته شده: ش</w:t>
      </w:r>
      <w:r>
        <w:rPr>
          <w:rFonts w:hint="cs"/>
          <w:rtl/>
        </w:rPr>
        <w:t>ی</w:t>
      </w:r>
      <w:r>
        <w:rPr>
          <w:rFonts w:hint="eastAsia"/>
          <w:rtl/>
        </w:rPr>
        <w:t>خ</w:t>
      </w:r>
      <w:r>
        <w:rPr>
          <w:rtl/>
        </w:rPr>
        <w:t xml:space="preserve"> ش</w:t>
      </w:r>
      <w:r>
        <w:rPr>
          <w:rFonts w:hint="cs"/>
          <w:rtl/>
        </w:rPr>
        <w:t>ی</w:t>
      </w:r>
      <w:r>
        <w:rPr>
          <w:rFonts w:hint="eastAsia"/>
          <w:rtl/>
        </w:rPr>
        <w:t>پور</w:t>
      </w:r>
      <w:r>
        <w:rPr>
          <w:rtl/>
        </w:rPr>
        <w:t xml:space="preserve"> تش</w:t>
      </w:r>
      <w:r>
        <w:rPr>
          <w:rFonts w:hint="cs"/>
          <w:rtl/>
        </w:rPr>
        <w:t>یی</w:t>
      </w:r>
      <w:r>
        <w:rPr>
          <w:rFonts w:hint="eastAsia"/>
          <w:rtl/>
        </w:rPr>
        <w:t>ع</w:t>
      </w:r>
      <w:r>
        <w:rPr>
          <w:rtl/>
        </w:rPr>
        <w:t xml:space="preserve"> جنازه بزرگ</w:t>
      </w:r>
      <w:r>
        <w:rPr>
          <w:rFonts w:hint="cs"/>
          <w:rtl/>
        </w:rPr>
        <w:t>ی</w:t>
      </w:r>
      <w:r>
        <w:rPr>
          <w:rtl/>
        </w:rPr>
        <w:t xml:space="preserve"> داشته است. هر چند مثل کر</w:t>
      </w:r>
      <w:r>
        <w:rPr>
          <w:rFonts w:hint="cs"/>
          <w:rtl/>
        </w:rPr>
        <w:t>ی</w:t>
      </w:r>
      <w:r>
        <w:rPr>
          <w:rFonts w:hint="eastAsia"/>
          <w:rtl/>
        </w:rPr>
        <w:t>م</w:t>
      </w:r>
      <w:r>
        <w:rPr>
          <w:rtl/>
        </w:rPr>
        <w:t xml:space="preserve"> ش</w:t>
      </w:r>
      <w:r>
        <w:rPr>
          <w:rFonts w:hint="cs"/>
          <w:rtl/>
        </w:rPr>
        <w:t>ی</w:t>
      </w:r>
      <w:r>
        <w:rPr>
          <w:rFonts w:hint="eastAsia"/>
          <w:rtl/>
        </w:rPr>
        <w:t>ره</w:t>
      </w:r>
      <w:r>
        <w:rPr>
          <w:rtl/>
        </w:rPr>
        <w:t xml:space="preserve"> ا</w:t>
      </w:r>
      <w:r>
        <w:rPr>
          <w:rFonts w:hint="cs"/>
          <w:rtl/>
        </w:rPr>
        <w:t>ی</w:t>
      </w:r>
      <w:r>
        <w:rPr>
          <w:rtl/>
        </w:rPr>
        <w:t xml:space="preserve"> نوع</w:t>
      </w:r>
      <w:r>
        <w:rPr>
          <w:rFonts w:hint="cs"/>
          <w:rtl/>
        </w:rPr>
        <w:t>ی</w:t>
      </w:r>
      <w:r>
        <w:rPr>
          <w:rtl/>
        </w:rPr>
        <w:t xml:space="preserve"> دلقک محسوب م</w:t>
      </w:r>
      <w:r>
        <w:rPr>
          <w:rFonts w:hint="cs"/>
          <w:rtl/>
        </w:rPr>
        <w:t>ی</w:t>
      </w:r>
      <w:r>
        <w:rPr>
          <w:rtl/>
        </w:rPr>
        <w:t xml:space="preserve"> شده اما اولا حدّ و حدود را رعا</w:t>
      </w:r>
      <w:r>
        <w:rPr>
          <w:rFonts w:hint="cs"/>
          <w:rtl/>
        </w:rPr>
        <w:t>ی</w:t>
      </w:r>
      <w:r>
        <w:rPr>
          <w:rFonts w:hint="eastAsia"/>
          <w:rtl/>
        </w:rPr>
        <w:t>ت</w:t>
      </w:r>
      <w:r>
        <w:rPr>
          <w:rtl/>
        </w:rPr>
        <w:t xml:space="preserve"> م</w:t>
      </w:r>
      <w:r>
        <w:rPr>
          <w:rFonts w:hint="cs"/>
          <w:rtl/>
        </w:rPr>
        <w:t>ی</w:t>
      </w:r>
      <w:r>
        <w:rPr>
          <w:rtl/>
        </w:rPr>
        <w:t xml:space="preserve"> کرده است بر خلاف کر</w:t>
      </w:r>
      <w:r>
        <w:rPr>
          <w:rFonts w:hint="cs"/>
          <w:rtl/>
        </w:rPr>
        <w:t>ی</w:t>
      </w:r>
      <w:r>
        <w:rPr>
          <w:rFonts w:hint="eastAsia"/>
          <w:rtl/>
        </w:rPr>
        <w:t>م</w:t>
      </w:r>
      <w:r>
        <w:rPr>
          <w:rtl/>
        </w:rPr>
        <w:t xml:space="preserve"> ش</w:t>
      </w:r>
      <w:r>
        <w:rPr>
          <w:rFonts w:hint="cs"/>
          <w:rtl/>
        </w:rPr>
        <w:t>ی</w:t>
      </w:r>
      <w:r>
        <w:rPr>
          <w:rFonts w:hint="eastAsia"/>
          <w:rtl/>
        </w:rPr>
        <w:t>ره</w:t>
      </w:r>
      <w:r>
        <w:rPr>
          <w:rtl/>
        </w:rPr>
        <w:t xml:space="preserve"> ا</w:t>
      </w:r>
      <w:r>
        <w:rPr>
          <w:rFonts w:hint="cs"/>
          <w:rtl/>
        </w:rPr>
        <w:t>ی</w:t>
      </w:r>
      <w:r>
        <w:rPr>
          <w:rtl/>
        </w:rPr>
        <w:t xml:space="preserve"> که به همه توه</w:t>
      </w:r>
      <w:r>
        <w:rPr>
          <w:rFonts w:hint="cs"/>
          <w:rtl/>
        </w:rPr>
        <w:t>ی</w:t>
      </w:r>
      <w:r>
        <w:rPr>
          <w:rFonts w:hint="eastAsia"/>
          <w:rtl/>
        </w:rPr>
        <w:t>ن</w:t>
      </w:r>
      <w:r>
        <w:rPr>
          <w:rtl/>
        </w:rPr>
        <w:t xml:space="preserve"> م</w:t>
      </w:r>
      <w:r>
        <w:rPr>
          <w:rFonts w:hint="cs"/>
          <w:rtl/>
        </w:rPr>
        <w:t>ی</w:t>
      </w:r>
      <w:r>
        <w:rPr>
          <w:rtl/>
        </w:rPr>
        <w:t xml:space="preserve"> کرده است ول</w:t>
      </w:r>
      <w:r>
        <w:rPr>
          <w:rFonts w:hint="cs"/>
          <w:rtl/>
        </w:rPr>
        <w:t>ی</w:t>
      </w:r>
      <w:r>
        <w:rPr>
          <w:rtl/>
        </w:rPr>
        <w:t xml:space="preserve"> ش</w:t>
      </w:r>
      <w:r>
        <w:rPr>
          <w:rFonts w:hint="cs"/>
          <w:rtl/>
        </w:rPr>
        <w:t>ی</w:t>
      </w:r>
      <w:r>
        <w:rPr>
          <w:rFonts w:hint="eastAsia"/>
          <w:rtl/>
        </w:rPr>
        <w:t>خ</w:t>
      </w:r>
      <w:r>
        <w:rPr>
          <w:rtl/>
        </w:rPr>
        <w:t xml:space="preserve"> ش</w:t>
      </w:r>
      <w:r>
        <w:rPr>
          <w:rFonts w:hint="cs"/>
          <w:rtl/>
        </w:rPr>
        <w:t>ی</w:t>
      </w:r>
      <w:r>
        <w:rPr>
          <w:rFonts w:hint="eastAsia"/>
          <w:rtl/>
        </w:rPr>
        <w:t>پور</w:t>
      </w:r>
      <w:r>
        <w:rPr>
          <w:rtl/>
        </w:rPr>
        <w:t xml:space="preserve"> به علما احترام م</w:t>
      </w:r>
      <w:r>
        <w:rPr>
          <w:rFonts w:hint="cs"/>
          <w:rtl/>
        </w:rPr>
        <w:t>ی</w:t>
      </w:r>
      <w:r>
        <w:rPr>
          <w:rtl/>
        </w:rPr>
        <w:t xml:space="preserve"> کرده </w:t>
      </w:r>
      <w:r>
        <w:rPr>
          <w:rFonts w:hint="eastAsia"/>
          <w:rtl/>
        </w:rPr>
        <w:t>و</w:t>
      </w:r>
      <w:r>
        <w:rPr>
          <w:rtl/>
        </w:rPr>
        <w:t xml:space="preserve"> طنز و متلک او ب</w:t>
      </w:r>
      <w:r>
        <w:rPr>
          <w:rFonts w:hint="cs"/>
          <w:rtl/>
        </w:rPr>
        <w:t>ی</w:t>
      </w:r>
      <w:r>
        <w:rPr>
          <w:rFonts w:hint="eastAsia"/>
          <w:rtl/>
        </w:rPr>
        <w:t>شتر</w:t>
      </w:r>
      <w:r>
        <w:rPr>
          <w:rtl/>
        </w:rPr>
        <w:t xml:space="preserve"> برا</w:t>
      </w:r>
      <w:r>
        <w:rPr>
          <w:rFonts w:hint="cs"/>
          <w:rtl/>
        </w:rPr>
        <w:t>ی</w:t>
      </w:r>
      <w:r>
        <w:rPr>
          <w:rtl/>
        </w:rPr>
        <w:t xml:space="preserve"> ارباب قدرت بوده است. ثان</w:t>
      </w:r>
      <w:r>
        <w:rPr>
          <w:rFonts w:hint="cs"/>
          <w:rtl/>
        </w:rPr>
        <w:t>ی</w:t>
      </w:r>
      <w:r>
        <w:rPr>
          <w:rFonts w:hint="eastAsia"/>
          <w:rtl/>
        </w:rPr>
        <w:t>ا</w:t>
      </w:r>
      <w:r>
        <w:rPr>
          <w:rtl/>
        </w:rPr>
        <w:t xml:space="preserve"> به فقرا برس بوده است.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تش</w:t>
      </w:r>
      <w:r>
        <w:rPr>
          <w:rFonts w:hint="cs"/>
          <w:rtl/>
        </w:rPr>
        <w:t>یی</w:t>
      </w:r>
      <w:r>
        <w:rPr>
          <w:rFonts w:hint="eastAsia"/>
          <w:rtl/>
        </w:rPr>
        <w:t>ع</w:t>
      </w:r>
      <w:r>
        <w:rPr>
          <w:rtl/>
        </w:rPr>
        <w:t xml:space="preserve"> جنازه معروف</w:t>
      </w:r>
      <w:r>
        <w:rPr>
          <w:rFonts w:hint="cs"/>
          <w:rtl/>
        </w:rPr>
        <w:t>ی</w:t>
      </w:r>
      <w:r>
        <w:rPr>
          <w:rtl/>
        </w:rPr>
        <w:t xml:space="preserve"> در تهران داشته است. ممکن است غذاها</w:t>
      </w:r>
      <w:r>
        <w:rPr>
          <w:rFonts w:hint="cs"/>
          <w:rtl/>
        </w:rPr>
        <w:t>یی</w:t>
      </w:r>
      <w:r>
        <w:rPr>
          <w:rtl/>
        </w:rPr>
        <w:t xml:space="preserve"> را م</w:t>
      </w:r>
      <w:r>
        <w:rPr>
          <w:rFonts w:hint="cs"/>
          <w:rtl/>
        </w:rPr>
        <w:t>ی</w:t>
      </w:r>
      <w:r>
        <w:rPr>
          <w:rtl/>
        </w:rPr>
        <w:t xml:space="preserve"> برده به فقرا م</w:t>
      </w:r>
      <w:r>
        <w:rPr>
          <w:rFonts w:hint="cs"/>
          <w:rtl/>
        </w:rPr>
        <w:t>ی</w:t>
      </w:r>
      <w:r>
        <w:rPr>
          <w:rtl/>
        </w:rPr>
        <w:t xml:space="preserve"> داده و م</w:t>
      </w:r>
      <w:r>
        <w:rPr>
          <w:rFonts w:hint="cs"/>
          <w:rtl/>
        </w:rPr>
        <w:t>ی</w:t>
      </w:r>
      <w:r>
        <w:rPr>
          <w:rFonts w:hint="eastAsia"/>
          <w:rtl/>
        </w:rPr>
        <w:t>زان</w:t>
      </w:r>
      <w:r>
        <w:rPr>
          <w:rtl/>
        </w:rPr>
        <w:t xml:space="preserve"> غذا</w:t>
      </w:r>
      <w:r>
        <w:rPr>
          <w:rFonts w:hint="cs"/>
          <w:rtl/>
        </w:rPr>
        <w:t>ی</w:t>
      </w:r>
      <w:r>
        <w:rPr>
          <w:rtl/>
        </w:rPr>
        <w:t xml:space="preserve"> باق</w:t>
      </w:r>
      <w:r>
        <w:rPr>
          <w:rFonts w:hint="cs"/>
          <w:rtl/>
        </w:rPr>
        <w:t>ی</w:t>
      </w:r>
      <w:r>
        <w:rPr>
          <w:rFonts w:hint="eastAsia"/>
          <w:rtl/>
        </w:rPr>
        <w:t>مانده</w:t>
      </w:r>
      <w:r>
        <w:rPr>
          <w:rtl/>
        </w:rPr>
        <w:t xml:space="preserve"> را خودش نم</w:t>
      </w:r>
      <w:r>
        <w:rPr>
          <w:rFonts w:hint="cs"/>
          <w:rtl/>
        </w:rPr>
        <w:t>ی</w:t>
      </w:r>
      <w:r>
        <w:rPr>
          <w:rtl/>
        </w:rPr>
        <w:t xml:space="preserve"> خورده است. </w:t>
      </w:r>
    </w:p>
    <w:p w:rsidR="00C036D8" w:rsidRDefault="00C036D8" w:rsidP="00C036D8">
      <w:pPr>
        <w:pStyle w:val="FootnoteText"/>
        <w:rPr>
          <w:rtl/>
        </w:rPr>
      </w:pPr>
      <w:r>
        <w:rPr>
          <w:rFonts w:hint="eastAsia"/>
          <w:rtl/>
        </w:rPr>
        <w:t>حک</w:t>
      </w:r>
      <w:r>
        <w:rPr>
          <w:rFonts w:hint="cs"/>
          <w:rtl/>
        </w:rPr>
        <w:t>ی</w:t>
      </w:r>
      <w:r>
        <w:rPr>
          <w:rFonts w:hint="eastAsia"/>
          <w:rtl/>
        </w:rPr>
        <w:t>م</w:t>
      </w:r>
      <w:r>
        <w:rPr>
          <w:rtl/>
        </w:rPr>
        <w:t xml:space="preserve"> سور</w:t>
      </w:r>
      <w:r>
        <w:rPr>
          <w:rFonts w:hint="cs"/>
          <w:rtl/>
        </w:rPr>
        <w:t>ی</w:t>
      </w:r>
      <w:r>
        <w:rPr>
          <w:rtl/>
        </w:rPr>
        <w:t xml:space="preserve"> در تهران شعرها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مدح قضا م</w:t>
      </w:r>
      <w:r>
        <w:rPr>
          <w:rFonts w:hint="cs"/>
          <w:rtl/>
        </w:rPr>
        <w:t>ی</w:t>
      </w:r>
      <w:r>
        <w:rPr>
          <w:rtl/>
        </w:rPr>
        <w:t xml:space="preserve"> گفته است. </w:t>
      </w:r>
      <w:r>
        <w:rPr>
          <w:rFonts w:hint="cs"/>
          <w:rtl/>
        </w:rPr>
        <w:t>ی</w:t>
      </w:r>
      <w:r>
        <w:rPr>
          <w:rFonts w:hint="eastAsia"/>
          <w:rtl/>
        </w:rPr>
        <w:t>ک</w:t>
      </w:r>
      <w:r>
        <w:rPr>
          <w:rFonts w:hint="cs"/>
          <w:rtl/>
        </w:rPr>
        <w:t>ی</w:t>
      </w:r>
      <w:r>
        <w:rPr>
          <w:rtl/>
        </w:rPr>
        <w:t xml:space="preserve"> از شعرها</w:t>
      </w:r>
      <w:r>
        <w:rPr>
          <w:rFonts w:hint="cs"/>
          <w:rtl/>
        </w:rPr>
        <w:t>ی</w:t>
      </w:r>
      <w:r>
        <w:rPr>
          <w:rtl/>
        </w:rPr>
        <w:t xml:space="preserve"> او ا</w:t>
      </w:r>
      <w:r>
        <w:rPr>
          <w:rFonts w:hint="cs"/>
          <w:rtl/>
        </w:rPr>
        <w:t>ی</w:t>
      </w:r>
      <w:r>
        <w:rPr>
          <w:rFonts w:hint="eastAsia"/>
          <w:rtl/>
        </w:rPr>
        <w:t>ن</w:t>
      </w:r>
      <w:r>
        <w:rPr>
          <w:rtl/>
        </w:rPr>
        <w:t xml:space="preserve"> است:</w:t>
      </w:r>
    </w:p>
    <w:p w:rsidR="00C036D8" w:rsidRDefault="00C036D8" w:rsidP="00C036D8">
      <w:pPr>
        <w:pStyle w:val="FootnoteText"/>
        <w:rPr>
          <w:rtl/>
        </w:rPr>
      </w:pPr>
      <w:r>
        <w:rPr>
          <w:rFonts w:hint="eastAsia"/>
          <w:rtl/>
        </w:rPr>
        <w:t>ا</w:t>
      </w:r>
      <w:r>
        <w:rPr>
          <w:rFonts w:hint="cs"/>
          <w:rtl/>
        </w:rPr>
        <w:t>ی</w:t>
      </w:r>
      <w:r>
        <w:rPr>
          <w:rFonts w:hint="eastAsia"/>
          <w:rtl/>
        </w:rPr>
        <w:t>ن</w:t>
      </w:r>
      <w:r>
        <w:rPr>
          <w:rtl/>
        </w:rPr>
        <w:t xml:space="preserve"> گنبد بزرگ که در مسجد شه است     سرپوش</w:t>
      </w:r>
      <w:r>
        <w:rPr>
          <w:rFonts w:hint="cs"/>
          <w:rtl/>
        </w:rPr>
        <w:t>ی</w:t>
      </w:r>
      <w:r>
        <w:rPr>
          <w:rtl/>
        </w:rPr>
        <w:t xml:space="preserve"> کوچک</w:t>
      </w:r>
      <w:r>
        <w:rPr>
          <w:rFonts w:hint="cs"/>
          <w:rtl/>
        </w:rPr>
        <w:t>ی</w:t>
      </w:r>
      <w:r>
        <w:rPr>
          <w:rtl/>
        </w:rPr>
        <w:t xml:space="preserve"> است زقاب غذا</w:t>
      </w:r>
      <w:r>
        <w:rPr>
          <w:rFonts w:hint="cs"/>
          <w:rtl/>
        </w:rPr>
        <w:t>ی</w:t>
      </w:r>
      <w:r>
        <w:rPr>
          <w:rtl/>
        </w:rPr>
        <w:t xml:space="preserve"> م</w:t>
      </w:r>
      <w:r>
        <w:rPr>
          <w:rFonts w:hint="cs"/>
          <w:rtl/>
        </w:rPr>
        <w:t>ا</w:t>
      </w:r>
    </w:p>
    <w:p w:rsidR="00C036D8" w:rsidRDefault="00C036D8" w:rsidP="00C036D8">
      <w:pPr>
        <w:pStyle w:val="FootnoteText"/>
        <w:rPr>
          <w:rtl/>
        </w:rPr>
      </w:pPr>
      <w:r>
        <w:rPr>
          <w:rFonts w:hint="eastAsia"/>
          <w:rtl/>
        </w:rPr>
        <w:t>م</w:t>
      </w:r>
      <w:r>
        <w:rPr>
          <w:rFonts w:hint="cs"/>
          <w:rtl/>
        </w:rPr>
        <w:t>ی</w:t>
      </w:r>
      <w:r>
        <w:rPr>
          <w:rtl/>
        </w:rPr>
        <w:t xml:space="preserve"> گو</w:t>
      </w:r>
      <w:r>
        <w:rPr>
          <w:rFonts w:hint="cs"/>
          <w:rtl/>
        </w:rPr>
        <w:t>ی</w:t>
      </w:r>
      <w:r>
        <w:rPr>
          <w:rFonts w:hint="eastAsia"/>
          <w:rtl/>
        </w:rPr>
        <w:t>د</w:t>
      </w:r>
      <w:r>
        <w:rPr>
          <w:rtl/>
        </w:rPr>
        <w:t>: گنبد مسجد شاه درپوش غذا</w:t>
      </w:r>
      <w:r>
        <w:rPr>
          <w:rFonts w:hint="cs"/>
          <w:rtl/>
        </w:rPr>
        <w:t>ی</w:t>
      </w:r>
      <w:r>
        <w:rPr>
          <w:rtl/>
        </w:rPr>
        <w:t xml:space="preserve"> ماست. شه</w:t>
      </w:r>
      <w:r>
        <w:rPr>
          <w:rFonts w:hint="cs"/>
          <w:rtl/>
        </w:rPr>
        <w:t>ی</w:t>
      </w:r>
      <w:r>
        <w:rPr>
          <w:rFonts w:hint="eastAsia"/>
          <w:rtl/>
        </w:rPr>
        <w:t>د</w:t>
      </w:r>
      <w:r>
        <w:rPr>
          <w:rtl/>
        </w:rPr>
        <w:t xml:space="preserve"> مطهر</w:t>
      </w:r>
      <w:r>
        <w:rPr>
          <w:rFonts w:hint="cs"/>
          <w:rtl/>
        </w:rPr>
        <w:t>ی</w:t>
      </w:r>
      <w:r>
        <w:rPr>
          <w:rtl/>
        </w:rPr>
        <w:t xml:space="preserve"> ا</w:t>
      </w:r>
      <w:r>
        <w:rPr>
          <w:rFonts w:hint="cs"/>
          <w:rtl/>
        </w:rPr>
        <w:t>ی</w:t>
      </w:r>
      <w:r>
        <w:rPr>
          <w:rFonts w:hint="eastAsia"/>
          <w:rtl/>
        </w:rPr>
        <w:t>ن</w:t>
      </w:r>
      <w:r>
        <w:rPr>
          <w:rtl/>
        </w:rPr>
        <w:t xml:space="preserve"> شعر را آورده و ب</w:t>
      </w:r>
      <w:r>
        <w:rPr>
          <w:rFonts w:hint="cs"/>
          <w:rtl/>
        </w:rPr>
        <w:t>ی</w:t>
      </w:r>
      <w:r>
        <w:rPr>
          <w:rFonts w:hint="eastAsia"/>
          <w:rtl/>
        </w:rPr>
        <w:t>ان</w:t>
      </w:r>
      <w:r>
        <w:rPr>
          <w:rtl/>
        </w:rPr>
        <w:t xml:space="preserve"> م</w:t>
      </w:r>
      <w:r>
        <w:rPr>
          <w:rFonts w:hint="cs"/>
          <w:rtl/>
        </w:rPr>
        <w:t>ی</w:t>
      </w:r>
      <w:r>
        <w:rPr>
          <w:rtl/>
        </w:rPr>
        <w:t xml:space="preserve"> کند: زبان شعر، زبان خاص</w:t>
      </w:r>
      <w:r>
        <w:rPr>
          <w:rFonts w:hint="cs"/>
          <w:rtl/>
        </w:rPr>
        <w:t>ی</w:t>
      </w:r>
      <w:r>
        <w:rPr>
          <w:rtl/>
        </w:rPr>
        <w:t xml:space="preserve"> است هر چند حک</w:t>
      </w:r>
      <w:r>
        <w:rPr>
          <w:rFonts w:hint="cs"/>
          <w:rtl/>
        </w:rPr>
        <w:t>ی</w:t>
      </w:r>
      <w:r>
        <w:rPr>
          <w:rFonts w:hint="eastAsia"/>
          <w:rtl/>
        </w:rPr>
        <w:t>م</w:t>
      </w:r>
      <w:r>
        <w:rPr>
          <w:rtl/>
        </w:rPr>
        <w:t xml:space="preserve"> سور</w:t>
      </w:r>
      <w:r>
        <w:rPr>
          <w:rFonts w:hint="cs"/>
          <w:rtl/>
        </w:rPr>
        <w:t>ی</w:t>
      </w:r>
      <w:r>
        <w:rPr>
          <w:rtl/>
        </w:rPr>
        <w:t xml:space="preserve"> جزء زهّاد تهران بوده اما شعرها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درباره سور م</w:t>
      </w:r>
      <w:r>
        <w:rPr>
          <w:rFonts w:hint="cs"/>
          <w:rtl/>
        </w:rPr>
        <w:t>ی</w:t>
      </w:r>
      <w:r>
        <w:rPr>
          <w:rtl/>
        </w:rPr>
        <w:t xml:space="preserve"> گفته است. </w:t>
      </w:r>
    </w:p>
    <w:p w:rsidR="00C036D8" w:rsidRDefault="00C036D8" w:rsidP="00C036D8">
      <w:pPr>
        <w:pStyle w:val="FootnoteText"/>
        <w:rPr>
          <w:rtl/>
        </w:rPr>
      </w:pPr>
      <w:r>
        <w:rPr>
          <w:rFonts w:hint="eastAsia"/>
          <w:rtl/>
        </w:rPr>
        <w:t>حک</w:t>
      </w:r>
      <w:r>
        <w:rPr>
          <w:rFonts w:hint="cs"/>
          <w:rtl/>
        </w:rPr>
        <w:t>ی</w:t>
      </w:r>
      <w:r>
        <w:rPr>
          <w:rFonts w:hint="eastAsia"/>
          <w:rtl/>
        </w:rPr>
        <w:t>م</w:t>
      </w:r>
      <w:r>
        <w:rPr>
          <w:rtl/>
        </w:rPr>
        <w:t xml:space="preserve"> سور</w:t>
      </w:r>
      <w:r>
        <w:rPr>
          <w:rFonts w:hint="cs"/>
          <w:rtl/>
        </w:rPr>
        <w:t>ی</w:t>
      </w:r>
      <w:r>
        <w:rPr>
          <w:rtl/>
        </w:rPr>
        <w:t xml:space="preserve"> به حک</w:t>
      </w:r>
      <w:r>
        <w:rPr>
          <w:rFonts w:hint="cs"/>
          <w:rtl/>
        </w:rPr>
        <w:t>ی</w:t>
      </w:r>
      <w:r>
        <w:rPr>
          <w:rFonts w:hint="eastAsia"/>
          <w:rtl/>
        </w:rPr>
        <w:t>م</w:t>
      </w:r>
      <w:r>
        <w:rPr>
          <w:rtl/>
        </w:rPr>
        <w:t xml:space="preserve"> اله</w:t>
      </w:r>
      <w:r>
        <w:rPr>
          <w:rFonts w:hint="cs"/>
          <w:rtl/>
        </w:rPr>
        <w:t>ی</w:t>
      </w:r>
      <w:r>
        <w:rPr>
          <w:rtl/>
        </w:rPr>
        <w:t xml:space="preserve"> سر سور متلک م</w:t>
      </w:r>
      <w:r>
        <w:rPr>
          <w:rFonts w:hint="cs"/>
          <w:rtl/>
        </w:rPr>
        <w:t>ی</w:t>
      </w:r>
      <w:r>
        <w:rPr>
          <w:rtl/>
        </w:rPr>
        <w:t xml:space="preserve"> گفته است:</w:t>
      </w:r>
    </w:p>
    <w:p w:rsidR="00C036D8" w:rsidRDefault="00C036D8" w:rsidP="00C036D8">
      <w:pPr>
        <w:pStyle w:val="FootnoteText"/>
      </w:pPr>
      <w:r>
        <w:rPr>
          <w:rFonts w:hint="eastAsia"/>
          <w:rtl/>
        </w:rPr>
        <w:t>هر</w:t>
      </w:r>
      <w:r>
        <w:rPr>
          <w:rtl/>
        </w:rPr>
        <w:t xml:space="preserve"> شب حک</w:t>
      </w:r>
      <w:r>
        <w:rPr>
          <w:rFonts w:hint="cs"/>
          <w:rtl/>
        </w:rPr>
        <w:t>ی</w:t>
      </w:r>
      <w:r>
        <w:rPr>
          <w:rFonts w:hint="eastAsia"/>
          <w:rtl/>
        </w:rPr>
        <w:t>م</w:t>
      </w:r>
      <w:r>
        <w:rPr>
          <w:rtl/>
        </w:rPr>
        <w:t xml:space="preserve"> اله</w:t>
      </w:r>
      <w:r>
        <w:rPr>
          <w:rFonts w:hint="cs"/>
          <w:rtl/>
        </w:rPr>
        <w:t>ی</w:t>
      </w:r>
      <w:r>
        <w:rPr>
          <w:rtl/>
        </w:rPr>
        <w:t xml:space="preserve"> در سور و من گرسنه         عقل است مات و ح</w:t>
      </w:r>
      <w:r>
        <w:rPr>
          <w:rFonts w:hint="cs"/>
          <w:rtl/>
        </w:rPr>
        <w:t>ی</w:t>
      </w:r>
      <w:r>
        <w:rPr>
          <w:rFonts w:hint="eastAsia"/>
          <w:rtl/>
        </w:rPr>
        <w:t>ران</w:t>
      </w:r>
      <w:r>
        <w:rPr>
          <w:rtl/>
        </w:rPr>
        <w:t xml:space="preserve"> از حکمت اله</w:t>
      </w:r>
      <w:r>
        <w:rPr>
          <w:rFonts w:hint="cs"/>
          <w:rtl/>
        </w:rPr>
        <w:t>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345FCD">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345FC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345FCD">
      <w:rPr>
        <w:b/>
        <w:bCs/>
        <w:color w:val="632423" w:themeColor="accent2" w:themeShade="80"/>
        <w:sz w:val="20"/>
        <w:szCs w:val="24"/>
        <w:rtl/>
      </w:rPr>
      <w:t>س</w:t>
    </w:r>
    <w:r w:rsidR="00345FCD">
      <w:rPr>
        <w:rFonts w:hint="cs"/>
        <w:b/>
        <w:bCs/>
        <w:color w:val="632423" w:themeColor="accent2" w:themeShade="80"/>
        <w:sz w:val="20"/>
        <w:szCs w:val="24"/>
        <w:rtl/>
      </w:rPr>
      <w:t>ی</w:t>
    </w:r>
    <w:r w:rsidR="00345FCD">
      <w:rPr>
        <w:rFonts w:hint="eastAsia"/>
        <w:b/>
        <w:bCs/>
        <w:color w:val="632423" w:themeColor="accent2" w:themeShade="80"/>
        <w:sz w:val="20"/>
        <w:szCs w:val="24"/>
        <w:rtl/>
      </w:rPr>
      <w:t>د</w:t>
    </w:r>
    <w:r w:rsidR="00345FCD">
      <w:rPr>
        <w:b/>
        <w:bCs/>
        <w:color w:val="632423" w:themeColor="accent2" w:themeShade="80"/>
        <w:sz w:val="20"/>
        <w:szCs w:val="24"/>
        <w:rtl/>
      </w:rPr>
      <w:t xml:space="preserve"> محمد جواد شب</w:t>
    </w:r>
    <w:r w:rsidR="00345FCD">
      <w:rPr>
        <w:rFonts w:hint="cs"/>
        <w:b/>
        <w:bCs/>
        <w:color w:val="632423" w:themeColor="accent2" w:themeShade="80"/>
        <w:sz w:val="20"/>
        <w:szCs w:val="24"/>
        <w:rtl/>
      </w:rPr>
      <w:t>ی</w:t>
    </w:r>
    <w:r w:rsidR="00345FCD">
      <w:rPr>
        <w:rFonts w:hint="eastAsia"/>
        <w:b/>
        <w:bCs/>
        <w:color w:val="632423" w:themeColor="accent2" w:themeShade="80"/>
        <w:sz w:val="20"/>
        <w:szCs w:val="24"/>
        <w:rtl/>
      </w:rPr>
      <w:t>ر</w:t>
    </w:r>
    <w:r w:rsidR="00345FC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345FCD">
      <w:rPr>
        <w:sz w:val="24"/>
        <w:szCs w:val="24"/>
        <w:rtl/>
      </w:rPr>
      <w:t>1 /9 /1400</w:t>
    </w:r>
  </w:p>
  <w:p w:rsidR="00FA3B17" w:rsidRPr="00F16B53" w:rsidRDefault="00935A55" w:rsidP="0014650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345FCD">
      <w:rPr>
        <w:color w:val="000000" w:themeColor="text1"/>
        <w:sz w:val="24"/>
        <w:szCs w:val="24"/>
        <w:rtl/>
      </w:rPr>
      <w:t>وجود حق د</w:t>
    </w:r>
    <w:r w:rsidR="00345FCD">
      <w:rPr>
        <w:rFonts w:hint="cs"/>
        <w:color w:val="000000" w:themeColor="text1"/>
        <w:sz w:val="24"/>
        <w:szCs w:val="24"/>
        <w:rtl/>
      </w:rPr>
      <w:t>ی</w:t>
    </w:r>
    <w:r w:rsidR="00345FCD">
      <w:rPr>
        <w:rFonts w:hint="eastAsia"/>
        <w:color w:val="000000" w:themeColor="text1"/>
        <w:sz w:val="24"/>
        <w:szCs w:val="24"/>
        <w:rtl/>
      </w:rPr>
      <w:t>گر</w:t>
    </w:r>
    <w:r w:rsidR="00345FCD">
      <w:rPr>
        <w:rFonts w:hint="cs"/>
        <w:color w:val="000000" w:themeColor="text1"/>
        <w:sz w:val="24"/>
        <w:szCs w:val="24"/>
        <w:rtl/>
      </w:rPr>
      <w:t>ی</w:t>
    </w:r>
    <w:r w:rsidR="00345FCD">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46508">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345FCD">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E5277"/>
    <w:multiLevelType w:val="hybridMultilevel"/>
    <w:tmpl w:val="5AC6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B16C7"/>
    <w:multiLevelType w:val="hybridMultilevel"/>
    <w:tmpl w:val="A1F25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1C2"/>
    <w:rsid w:val="00025777"/>
    <w:rsid w:val="00025B70"/>
    <w:rsid w:val="000353D7"/>
    <w:rsid w:val="00055496"/>
    <w:rsid w:val="00080A41"/>
    <w:rsid w:val="0008299B"/>
    <w:rsid w:val="000913AA"/>
    <w:rsid w:val="00094847"/>
    <w:rsid w:val="00095FC7"/>
    <w:rsid w:val="00096C63"/>
    <w:rsid w:val="000B5DB5"/>
    <w:rsid w:val="000C3947"/>
    <w:rsid w:val="000D2A37"/>
    <w:rsid w:val="000D30E9"/>
    <w:rsid w:val="000D6818"/>
    <w:rsid w:val="000E335E"/>
    <w:rsid w:val="000F16CF"/>
    <w:rsid w:val="000F5BAC"/>
    <w:rsid w:val="000F6FCA"/>
    <w:rsid w:val="00102585"/>
    <w:rsid w:val="00114AB7"/>
    <w:rsid w:val="00116B2B"/>
    <w:rsid w:val="00124E3D"/>
    <w:rsid w:val="00127E95"/>
    <w:rsid w:val="00130659"/>
    <w:rsid w:val="001347C7"/>
    <w:rsid w:val="00134D81"/>
    <w:rsid w:val="001356B0"/>
    <w:rsid w:val="00146508"/>
    <w:rsid w:val="00151937"/>
    <w:rsid w:val="0015616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D9D"/>
    <w:rsid w:val="00281E00"/>
    <w:rsid w:val="00294A52"/>
    <w:rsid w:val="002B575F"/>
    <w:rsid w:val="002B729B"/>
    <w:rsid w:val="002C23B5"/>
    <w:rsid w:val="002C53A2"/>
    <w:rsid w:val="002D0040"/>
    <w:rsid w:val="002D2FA8"/>
    <w:rsid w:val="002E220F"/>
    <w:rsid w:val="002E3901"/>
    <w:rsid w:val="00307311"/>
    <w:rsid w:val="0032100F"/>
    <w:rsid w:val="0033402C"/>
    <w:rsid w:val="00335D23"/>
    <w:rsid w:val="00340521"/>
    <w:rsid w:val="00345C73"/>
    <w:rsid w:val="00345FCD"/>
    <w:rsid w:val="00354A99"/>
    <w:rsid w:val="00360311"/>
    <w:rsid w:val="00361922"/>
    <w:rsid w:val="0037339B"/>
    <w:rsid w:val="003743A1"/>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513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7B4B"/>
    <w:rsid w:val="00580C24"/>
    <w:rsid w:val="00584B05"/>
    <w:rsid w:val="005968EF"/>
    <w:rsid w:val="00596C1E"/>
    <w:rsid w:val="005A2E26"/>
    <w:rsid w:val="005A7C57"/>
    <w:rsid w:val="005B1BCA"/>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B1D"/>
    <w:rsid w:val="00717166"/>
    <w:rsid w:val="0072290D"/>
    <w:rsid w:val="00723D6D"/>
    <w:rsid w:val="00724537"/>
    <w:rsid w:val="00731724"/>
    <w:rsid w:val="0073474B"/>
    <w:rsid w:val="00735511"/>
    <w:rsid w:val="00737208"/>
    <w:rsid w:val="00744DE6"/>
    <w:rsid w:val="00757421"/>
    <w:rsid w:val="00762452"/>
    <w:rsid w:val="007639E0"/>
    <w:rsid w:val="00775507"/>
    <w:rsid w:val="00783473"/>
    <w:rsid w:val="0078594B"/>
    <w:rsid w:val="00795E02"/>
    <w:rsid w:val="007979D0"/>
    <w:rsid w:val="007A4E18"/>
    <w:rsid w:val="007A7B8C"/>
    <w:rsid w:val="007B1E98"/>
    <w:rsid w:val="007C6D9E"/>
    <w:rsid w:val="007D1C43"/>
    <w:rsid w:val="007D6C53"/>
    <w:rsid w:val="007E04BB"/>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7C28"/>
    <w:rsid w:val="00863390"/>
    <w:rsid w:val="0086385C"/>
    <w:rsid w:val="00871916"/>
    <w:rsid w:val="00891E00"/>
    <w:rsid w:val="008956DD"/>
    <w:rsid w:val="008A510E"/>
    <w:rsid w:val="008A522A"/>
    <w:rsid w:val="008B4464"/>
    <w:rsid w:val="008B750B"/>
    <w:rsid w:val="008C3162"/>
    <w:rsid w:val="008D1F14"/>
    <w:rsid w:val="008E3924"/>
    <w:rsid w:val="008F13F7"/>
    <w:rsid w:val="008F5B4D"/>
    <w:rsid w:val="00904531"/>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0018"/>
    <w:rsid w:val="00AF3925"/>
    <w:rsid w:val="00B1296B"/>
    <w:rsid w:val="00B2292F"/>
    <w:rsid w:val="00B43169"/>
    <w:rsid w:val="00B47F9D"/>
    <w:rsid w:val="00B501A8"/>
    <w:rsid w:val="00B527B7"/>
    <w:rsid w:val="00B55AE4"/>
    <w:rsid w:val="00B70B46"/>
    <w:rsid w:val="00B739B0"/>
    <w:rsid w:val="00B814A3"/>
    <w:rsid w:val="00B96F38"/>
    <w:rsid w:val="00BC716B"/>
    <w:rsid w:val="00BD0E74"/>
    <w:rsid w:val="00BD1DE2"/>
    <w:rsid w:val="00BD5F8C"/>
    <w:rsid w:val="00BE29DD"/>
    <w:rsid w:val="00C036D8"/>
    <w:rsid w:val="00C05181"/>
    <w:rsid w:val="00C066AF"/>
    <w:rsid w:val="00C10E06"/>
    <w:rsid w:val="00C145B8"/>
    <w:rsid w:val="00C2438F"/>
    <w:rsid w:val="00C31AF0"/>
    <w:rsid w:val="00C32A7E"/>
    <w:rsid w:val="00C34F28"/>
    <w:rsid w:val="00C368DF"/>
    <w:rsid w:val="00C442C5"/>
    <w:rsid w:val="00C57B5C"/>
    <w:rsid w:val="00C57C7C"/>
    <w:rsid w:val="00C61049"/>
    <w:rsid w:val="00C63FFE"/>
    <w:rsid w:val="00C77A9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B9E"/>
    <w:rsid w:val="00D41057"/>
    <w:rsid w:val="00D552B9"/>
    <w:rsid w:val="00D735B2"/>
    <w:rsid w:val="00D74021"/>
    <w:rsid w:val="00D76D01"/>
    <w:rsid w:val="00D77651"/>
    <w:rsid w:val="00D922A9"/>
    <w:rsid w:val="00D9394A"/>
    <w:rsid w:val="00DA472E"/>
    <w:rsid w:val="00DB0CBB"/>
    <w:rsid w:val="00DB255A"/>
    <w:rsid w:val="00DB67CC"/>
    <w:rsid w:val="00DC3783"/>
    <w:rsid w:val="00DE1070"/>
    <w:rsid w:val="00DF4292"/>
    <w:rsid w:val="00E00219"/>
    <w:rsid w:val="00E0316B"/>
    <w:rsid w:val="00E25E10"/>
    <w:rsid w:val="00E50B41"/>
    <w:rsid w:val="00E5219B"/>
    <w:rsid w:val="00E52D07"/>
    <w:rsid w:val="00E5518B"/>
    <w:rsid w:val="00E609FE"/>
    <w:rsid w:val="00E630BE"/>
    <w:rsid w:val="00E72BE6"/>
    <w:rsid w:val="00E75920"/>
    <w:rsid w:val="00E80D96"/>
    <w:rsid w:val="00E8460E"/>
    <w:rsid w:val="00E871FA"/>
    <w:rsid w:val="00E936A4"/>
    <w:rsid w:val="00E954BB"/>
    <w:rsid w:val="00EA0606"/>
    <w:rsid w:val="00EA45E7"/>
    <w:rsid w:val="00EB78E3"/>
    <w:rsid w:val="00EB7BE3"/>
    <w:rsid w:val="00EC1C4B"/>
    <w:rsid w:val="00EC735A"/>
    <w:rsid w:val="00ED5F38"/>
    <w:rsid w:val="00EE486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160"/>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57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810417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47/8/224/" TargetMode="External"/><Relationship Id="rId2" Type="http://schemas.openxmlformats.org/officeDocument/2006/relationships/hyperlink" Target="http://lib.eshia.ir/11025/18/229/&#1575;&#1604;&#1589;&#1585;&#1605;&#1740;%20" TargetMode="External"/><Relationship Id="rId1" Type="http://schemas.openxmlformats.org/officeDocument/2006/relationships/hyperlink" Target="http://lib.eshia.ir/10083/6/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1E58-C896-4C97-9549-618DE86B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1012</TotalTime>
  <Pages>9</Pages>
  <Words>2141</Words>
  <Characters>12204</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31</cp:revision>
  <cp:lastPrinted>2021-11-27T03:26:00Z</cp:lastPrinted>
  <dcterms:created xsi:type="dcterms:W3CDTF">2021-11-26T07:58:00Z</dcterms:created>
  <dcterms:modified xsi:type="dcterms:W3CDTF">2021-11-30T05:50:00Z</dcterms:modified>
  <cp:contentStatus>ویرایش 2.5</cp:contentStatus>
  <cp:version>2.7</cp:version>
</cp:coreProperties>
</file>