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48" w:rsidRDefault="00E34E48" w:rsidP="00E34E4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E34E48" w:rsidRDefault="00E34E48" w:rsidP="00E34E4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/08/ 1400 حق الماره  /وجود حق مالی دیگر به جز زکات /زکات</w:t>
      </w:r>
    </w:p>
    <w:bookmarkEnd w:id="0"/>
    <w:p w:rsidR="008F5B4D" w:rsidRPr="009C66D5" w:rsidRDefault="008F5B4D" w:rsidP="00363F76">
      <w:pPr>
        <w:jc w:val="both"/>
        <w:rPr>
          <w:rStyle w:val="Emphasis"/>
          <w:b/>
          <w:bCs w:val="0"/>
          <w:rtl/>
        </w:rPr>
      </w:pPr>
      <w:r w:rsidRPr="009C66D5">
        <w:rPr>
          <w:rStyle w:val="Emphasis"/>
          <w:rFonts w:hint="cs"/>
          <w:b/>
          <w:bCs w:val="0"/>
          <w:rtl/>
        </w:rPr>
        <w:t>خلاصه مباحث گذشته:</w:t>
      </w:r>
    </w:p>
    <w:p w:rsidR="003A6148" w:rsidRDefault="008F5B4D" w:rsidP="00363F76">
      <w:pPr>
        <w:pBdr>
          <w:bottom w:val="double" w:sz="6" w:space="1" w:color="auto"/>
        </w:pBdr>
        <w:jc w:val="both"/>
        <w:rPr>
          <w:rtl/>
        </w:rPr>
      </w:pPr>
      <w:r>
        <w:rPr>
          <w:rFonts w:hint="cs"/>
          <w:rtl/>
        </w:rPr>
        <w:t>متن خلاصه ...</w:t>
      </w:r>
    </w:p>
    <w:p w:rsidR="00247D2F" w:rsidRPr="003A6148" w:rsidRDefault="00247D2F" w:rsidP="00363F76">
      <w:pPr>
        <w:pBdr>
          <w:bottom w:val="double" w:sz="6" w:space="1" w:color="auto"/>
        </w:pBdr>
        <w:jc w:val="both"/>
      </w:pPr>
    </w:p>
    <w:p w:rsidR="008F5B4D" w:rsidRDefault="008F5B4D" w:rsidP="00363F76">
      <w:pPr>
        <w:jc w:val="both"/>
      </w:pPr>
    </w:p>
    <w:p w:rsidR="001A1EA5" w:rsidRDefault="000632B6" w:rsidP="000632B6">
      <w:pPr>
        <w:pStyle w:val="Heading2"/>
        <w:rPr>
          <w:rtl/>
        </w:rPr>
      </w:pPr>
      <w:bookmarkStart w:id="1" w:name="_Toc88887568"/>
      <w:r>
        <w:rPr>
          <w:rFonts w:hint="cs"/>
          <w:rtl/>
        </w:rPr>
        <w:t>لزوم دقت در اقوال عامه حول حق الماره</w:t>
      </w:r>
      <w:bookmarkEnd w:id="1"/>
      <w:r>
        <w:rPr>
          <w:rFonts w:hint="cs"/>
          <w:rtl/>
        </w:rPr>
        <w:t xml:space="preserve"> </w:t>
      </w:r>
    </w:p>
    <w:p w:rsidR="000632B6" w:rsidRDefault="001B5FB1" w:rsidP="00363F76">
      <w:pPr>
        <w:jc w:val="both"/>
        <w:rPr>
          <w:rtl/>
        </w:rPr>
      </w:pPr>
      <w:r>
        <w:rPr>
          <w:rFonts w:hint="cs"/>
          <w:rtl/>
        </w:rPr>
        <w:t>در نقل اقوال عامه، سه قول ذکر شد: ثبوت حق الماره، نفی حق الماره، تفصیل بین وجود حائط و نبود حائط که از ابن عباس نقل شده است. به نظر می ر</w:t>
      </w:r>
      <w:r w:rsidR="00191B2B">
        <w:rPr>
          <w:rFonts w:hint="cs"/>
          <w:rtl/>
        </w:rPr>
        <w:t xml:space="preserve">سد، این نقلیات نیازمند دقت است. </w:t>
      </w:r>
      <w:r>
        <w:rPr>
          <w:rFonts w:hint="cs"/>
          <w:rtl/>
        </w:rPr>
        <w:t xml:space="preserve">باید در قول قائلین به ثبوت حق الماره تأمل کرد که آیا مراد آنها خصوص مارّ است یا اطلاق دارد و </w:t>
      </w:r>
      <w:r w:rsidR="000632B6">
        <w:rPr>
          <w:rFonts w:hint="cs"/>
          <w:rtl/>
        </w:rPr>
        <w:t xml:space="preserve">حتی </w:t>
      </w:r>
      <w:r>
        <w:rPr>
          <w:rFonts w:hint="cs"/>
          <w:rtl/>
        </w:rPr>
        <w:t>در صورت مارّ نبودن، دخول بستان</w:t>
      </w:r>
      <w:r w:rsidR="000632B6">
        <w:rPr>
          <w:rFonts w:hint="cs"/>
          <w:rtl/>
        </w:rPr>
        <w:t xml:space="preserve"> به نظر آنان</w:t>
      </w:r>
      <w:r>
        <w:rPr>
          <w:rFonts w:hint="cs"/>
          <w:rtl/>
        </w:rPr>
        <w:t xml:space="preserve"> جایز است؟ </w:t>
      </w:r>
    </w:p>
    <w:p w:rsidR="008E0605" w:rsidRDefault="008E0605" w:rsidP="00363F76">
      <w:pPr>
        <w:jc w:val="both"/>
        <w:rPr>
          <w:rtl/>
        </w:rPr>
      </w:pPr>
      <w:r>
        <w:rPr>
          <w:rFonts w:hint="cs"/>
          <w:rtl/>
        </w:rPr>
        <w:t>مثلا مراد از این عبارات که در مصنّف ابن ابی شیبه وارد شده، چیست؟</w:t>
      </w:r>
    </w:p>
    <w:p w:rsidR="008E0605" w:rsidRDefault="008E0605" w:rsidP="00363F76">
      <w:pPr>
        <w:jc w:val="both"/>
        <w:rPr>
          <w:color w:val="000080"/>
          <w:rtl/>
        </w:rPr>
      </w:pPr>
      <w:r>
        <w:rPr>
          <w:rFonts w:hint="cs"/>
          <w:rtl/>
        </w:rPr>
        <w:t xml:space="preserve"> </w:t>
      </w:r>
      <w:r w:rsidRPr="008E0605">
        <w:rPr>
          <w:color w:val="000080"/>
          <w:rtl/>
        </w:rPr>
        <w:t>قَالَ عُمَرُ: «</w:t>
      </w:r>
      <w:r w:rsidRPr="008E0605">
        <w:rPr>
          <w:rFonts w:hint="cs"/>
          <w:color w:val="000080"/>
          <w:rtl/>
        </w:rPr>
        <w:t>إِذَا</w:t>
      </w:r>
      <w:r w:rsidRPr="008E0605">
        <w:rPr>
          <w:color w:val="000080"/>
          <w:rtl/>
        </w:rPr>
        <w:t xml:space="preserve"> </w:t>
      </w:r>
      <w:r w:rsidRPr="008E0605">
        <w:rPr>
          <w:rFonts w:hint="cs"/>
          <w:color w:val="000080"/>
          <w:rtl/>
        </w:rPr>
        <w:t>مَرَرْتَ</w:t>
      </w:r>
      <w:r w:rsidRPr="008E0605">
        <w:rPr>
          <w:color w:val="000080"/>
          <w:rtl/>
        </w:rPr>
        <w:t xml:space="preserve"> </w:t>
      </w:r>
      <w:r w:rsidRPr="008E0605">
        <w:rPr>
          <w:rFonts w:hint="cs"/>
          <w:color w:val="000080"/>
          <w:rtl/>
        </w:rPr>
        <w:t>بِبُسْتَانٍ</w:t>
      </w:r>
      <w:r w:rsidRPr="008E0605">
        <w:rPr>
          <w:color w:val="000080"/>
          <w:rtl/>
        </w:rPr>
        <w:t xml:space="preserve"> </w:t>
      </w:r>
      <w:r w:rsidRPr="008E0605">
        <w:rPr>
          <w:rFonts w:hint="cs"/>
          <w:color w:val="000080"/>
          <w:rtl/>
        </w:rPr>
        <w:t>فَكُلْ</w:t>
      </w:r>
      <w:r w:rsidRPr="008E0605">
        <w:rPr>
          <w:color w:val="000080"/>
          <w:rtl/>
        </w:rPr>
        <w:t xml:space="preserve"> </w:t>
      </w:r>
      <w:r w:rsidRPr="008E0605">
        <w:rPr>
          <w:rFonts w:hint="cs"/>
          <w:color w:val="000080"/>
          <w:rtl/>
        </w:rPr>
        <w:t>وَلَا</w:t>
      </w:r>
      <w:r w:rsidRPr="008E0605">
        <w:rPr>
          <w:color w:val="000080"/>
          <w:rtl/>
        </w:rPr>
        <w:t xml:space="preserve"> </w:t>
      </w:r>
      <w:r w:rsidRPr="008E0605">
        <w:rPr>
          <w:rFonts w:hint="cs"/>
          <w:color w:val="000080"/>
          <w:rtl/>
        </w:rPr>
        <w:t>تَتَّخِذْ</w:t>
      </w:r>
      <w:r w:rsidRPr="008E0605">
        <w:rPr>
          <w:color w:val="000080"/>
          <w:rtl/>
        </w:rPr>
        <w:t xml:space="preserve"> </w:t>
      </w:r>
      <w:r w:rsidRPr="008E0605">
        <w:rPr>
          <w:rFonts w:hint="cs"/>
          <w:color w:val="000080"/>
          <w:rtl/>
        </w:rPr>
        <w:t>خُبْنَةً»</w:t>
      </w:r>
      <w:r>
        <w:rPr>
          <w:rStyle w:val="FootnoteReference"/>
          <w:color w:val="000080"/>
          <w:rtl/>
        </w:rPr>
        <w:footnoteReference w:id="1"/>
      </w:r>
      <w:r>
        <w:rPr>
          <w:rFonts w:hint="cs"/>
          <w:color w:val="000080"/>
          <w:rtl/>
        </w:rPr>
        <w:t xml:space="preserve"> </w:t>
      </w:r>
    </w:p>
    <w:p w:rsidR="001B5FB1" w:rsidRDefault="008E0605" w:rsidP="00363F76">
      <w:pPr>
        <w:jc w:val="both"/>
        <w:rPr>
          <w:color w:val="000080"/>
          <w:rtl/>
        </w:rPr>
      </w:pPr>
      <w:r w:rsidRPr="008E0605">
        <w:rPr>
          <w:color w:val="000080"/>
          <w:rtl/>
        </w:rPr>
        <w:t>عَنْ أَبِي وَائِلٍ، قَالَ: «</w:t>
      </w:r>
      <w:r w:rsidRPr="008E0605">
        <w:rPr>
          <w:rFonts w:hint="cs"/>
          <w:color w:val="000080"/>
          <w:rtl/>
        </w:rPr>
        <w:t>كُنَّا</w:t>
      </w:r>
      <w:r w:rsidRPr="008E0605">
        <w:rPr>
          <w:color w:val="000080"/>
          <w:rtl/>
        </w:rPr>
        <w:t xml:space="preserve"> </w:t>
      </w:r>
      <w:r w:rsidRPr="008E0605">
        <w:rPr>
          <w:rFonts w:hint="cs"/>
          <w:color w:val="000080"/>
          <w:rtl/>
        </w:rPr>
        <w:t>نَغْزُو</w:t>
      </w:r>
      <w:r w:rsidRPr="008E0605">
        <w:rPr>
          <w:color w:val="000080"/>
          <w:rtl/>
        </w:rPr>
        <w:t xml:space="preserve"> </w:t>
      </w:r>
      <w:r w:rsidRPr="008E0605">
        <w:rPr>
          <w:rFonts w:hint="cs"/>
          <w:color w:val="000080"/>
          <w:rtl/>
        </w:rPr>
        <w:t>فَنُصِيبُ</w:t>
      </w:r>
      <w:r w:rsidRPr="008E0605">
        <w:rPr>
          <w:color w:val="000080"/>
          <w:rtl/>
        </w:rPr>
        <w:t xml:space="preserve"> </w:t>
      </w:r>
      <w:r w:rsidRPr="008E0605">
        <w:rPr>
          <w:rFonts w:hint="cs"/>
          <w:color w:val="000080"/>
          <w:rtl/>
        </w:rPr>
        <w:t>مِنَ</w:t>
      </w:r>
      <w:r w:rsidRPr="008E0605">
        <w:rPr>
          <w:color w:val="000080"/>
          <w:rtl/>
        </w:rPr>
        <w:t xml:space="preserve"> </w:t>
      </w:r>
      <w:r w:rsidRPr="008E0605">
        <w:rPr>
          <w:rFonts w:hint="cs"/>
          <w:color w:val="000080"/>
          <w:rtl/>
        </w:rPr>
        <w:t>الثِّمَارِ،</w:t>
      </w:r>
      <w:r w:rsidRPr="008E0605">
        <w:rPr>
          <w:color w:val="000080"/>
          <w:rtl/>
        </w:rPr>
        <w:t xml:space="preserve"> </w:t>
      </w:r>
      <w:r w:rsidRPr="008E0605">
        <w:rPr>
          <w:rFonts w:hint="cs"/>
          <w:color w:val="000080"/>
          <w:rtl/>
        </w:rPr>
        <w:t>وَلَا</w:t>
      </w:r>
      <w:r w:rsidRPr="008E0605">
        <w:rPr>
          <w:color w:val="000080"/>
          <w:rtl/>
        </w:rPr>
        <w:t xml:space="preserve"> </w:t>
      </w:r>
      <w:r w:rsidRPr="008E0605">
        <w:rPr>
          <w:rFonts w:hint="cs"/>
          <w:color w:val="000080"/>
          <w:rtl/>
        </w:rPr>
        <w:t>نَرَى</w:t>
      </w:r>
      <w:r w:rsidRPr="008E0605">
        <w:rPr>
          <w:color w:val="000080"/>
          <w:rtl/>
        </w:rPr>
        <w:t xml:space="preserve"> </w:t>
      </w:r>
      <w:r w:rsidRPr="008E0605">
        <w:rPr>
          <w:rFonts w:hint="cs"/>
          <w:color w:val="000080"/>
          <w:rtl/>
        </w:rPr>
        <w:t>بِذَلِكَ</w:t>
      </w:r>
      <w:r w:rsidRPr="008E0605">
        <w:rPr>
          <w:color w:val="000080"/>
          <w:rtl/>
        </w:rPr>
        <w:t xml:space="preserve"> </w:t>
      </w:r>
      <w:r w:rsidRPr="008E0605">
        <w:rPr>
          <w:rFonts w:hint="cs"/>
          <w:color w:val="000080"/>
          <w:rtl/>
        </w:rPr>
        <w:t>بَأْسًا»</w:t>
      </w:r>
    </w:p>
    <w:p w:rsidR="008E0605" w:rsidRDefault="008E0605" w:rsidP="00363F76">
      <w:pPr>
        <w:jc w:val="both"/>
        <w:rPr>
          <w:rtl/>
        </w:rPr>
      </w:pPr>
      <w:r>
        <w:rPr>
          <w:rFonts w:hint="cs"/>
          <w:rtl/>
        </w:rPr>
        <w:t xml:space="preserve">آیا مراد </w:t>
      </w:r>
      <w:r w:rsidR="004106C2">
        <w:rPr>
          <w:rFonts w:hint="cs"/>
          <w:rtl/>
        </w:rPr>
        <w:t>اکل از خارج حائط است یا شامل داخل شدن در باغ نیز می شود؟</w:t>
      </w:r>
    </w:p>
    <w:p w:rsidR="004106C2" w:rsidRPr="004106C2" w:rsidRDefault="004106C2" w:rsidP="00363F76">
      <w:pPr>
        <w:jc w:val="both"/>
        <w:rPr>
          <w:color w:val="000080"/>
          <w:rtl/>
        </w:rPr>
      </w:pPr>
      <w:r w:rsidRPr="004106C2">
        <w:rPr>
          <w:color w:val="000080"/>
          <w:rtl/>
        </w:rPr>
        <w:t xml:space="preserve">عَنْ أَبِي زَيْنَبَ، قَالَ: سَافَرْتُ فِي جَيْشٍ مَعَ أَبِي بَكْرَةَ، وَأَبِي بَرْزَةَ وَعَبْدِ الرَّحْمَنِ بْنِ سَمُرَةَ «فَكُنَّا </w:t>
      </w:r>
      <w:r w:rsidRPr="004106C2">
        <w:rPr>
          <w:rFonts w:hint="cs"/>
          <w:color w:val="000080"/>
          <w:rtl/>
        </w:rPr>
        <w:t>نَأْكُلُ</w:t>
      </w:r>
      <w:r w:rsidRPr="004106C2">
        <w:rPr>
          <w:color w:val="000080"/>
          <w:rtl/>
        </w:rPr>
        <w:t xml:space="preserve"> </w:t>
      </w:r>
      <w:r w:rsidRPr="004106C2">
        <w:rPr>
          <w:rFonts w:hint="cs"/>
          <w:color w:val="000080"/>
          <w:rtl/>
        </w:rPr>
        <w:t>مِنَ</w:t>
      </w:r>
      <w:r w:rsidRPr="004106C2">
        <w:rPr>
          <w:color w:val="000080"/>
          <w:rtl/>
        </w:rPr>
        <w:t xml:space="preserve"> </w:t>
      </w:r>
      <w:r w:rsidRPr="004106C2">
        <w:rPr>
          <w:rFonts w:hint="cs"/>
          <w:color w:val="000080"/>
          <w:rtl/>
        </w:rPr>
        <w:t>الثِّمَارِ»</w:t>
      </w:r>
    </w:p>
    <w:p w:rsidR="004106C2" w:rsidRDefault="000632B6" w:rsidP="00363F76">
      <w:pPr>
        <w:jc w:val="both"/>
        <w:rPr>
          <w:rtl/>
        </w:rPr>
      </w:pPr>
      <w:r>
        <w:rPr>
          <w:rFonts w:hint="cs"/>
          <w:rtl/>
        </w:rPr>
        <w:t>مراد از «فکنا نأکل من الثمار» که</w:t>
      </w:r>
      <w:r w:rsidR="004106C2">
        <w:rPr>
          <w:rFonts w:hint="cs"/>
          <w:rtl/>
        </w:rPr>
        <w:t xml:space="preserve"> در مصنف ابن ابی شیبه وارد شده، چیست؟ آیا از میوه های بیرون باغ می خوردند یا وارد باغ می شدند؟</w:t>
      </w:r>
    </w:p>
    <w:p w:rsidR="004106C2" w:rsidRDefault="004106C2" w:rsidP="00363F76">
      <w:pPr>
        <w:jc w:val="both"/>
        <w:rPr>
          <w:color w:val="000080"/>
          <w:rtl/>
        </w:rPr>
      </w:pPr>
      <w:r w:rsidRPr="004106C2">
        <w:rPr>
          <w:color w:val="000080"/>
          <w:rtl/>
        </w:rPr>
        <w:t>عَنْ أَبِي سَعِيدٍ، قَالَ: «</w:t>
      </w:r>
      <w:r w:rsidRPr="004106C2">
        <w:rPr>
          <w:rFonts w:hint="cs"/>
          <w:color w:val="000080"/>
          <w:rtl/>
        </w:rPr>
        <w:t>إِذَا</w:t>
      </w:r>
      <w:r w:rsidRPr="004106C2">
        <w:rPr>
          <w:color w:val="000080"/>
          <w:rtl/>
        </w:rPr>
        <w:t xml:space="preserve"> </w:t>
      </w:r>
      <w:r w:rsidRPr="004106C2">
        <w:rPr>
          <w:rFonts w:hint="cs"/>
          <w:color w:val="000080"/>
          <w:rtl/>
        </w:rPr>
        <w:t>مَرَرْتَ</w:t>
      </w:r>
      <w:r w:rsidRPr="004106C2">
        <w:rPr>
          <w:color w:val="000080"/>
          <w:rtl/>
        </w:rPr>
        <w:t xml:space="preserve"> </w:t>
      </w:r>
      <w:r w:rsidRPr="004106C2">
        <w:rPr>
          <w:rFonts w:hint="cs"/>
          <w:color w:val="000080"/>
          <w:rtl/>
        </w:rPr>
        <w:t>بِبُسْتَانٍ</w:t>
      </w:r>
      <w:r w:rsidRPr="004106C2">
        <w:rPr>
          <w:color w:val="000080"/>
          <w:rtl/>
        </w:rPr>
        <w:t xml:space="preserve"> </w:t>
      </w:r>
      <w:r w:rsidRPr="004106C2">
        <w:rPr>
          <w:rFonts w:hint="cs"/>
          <w:color w:val="000080"/>
          <w:rtl/>
        </w:rPr>
        <w:t>فَنَادِ</w:t>
      </w:r>
      <w:r w:rsidRPr="004106C2">
        <w:rPr>
          <w:color w:val="000080"/>
          <w:rtl/>
        </w:rPr>
        <w:t xml:space="preserve"> </w:t>
      </w:r>
      <w:r w:rsidRPr="004106C2">
        <w:rPr>
          <w:rFonts w:hint="cs"/>
          <w:color w:val="000080"/>
          <w:rtl/>
        </w:rPr>
        <w:t>صَاحِبَهُ،</w:t>
      </w:r>
      <w:r w:rsidRPr="004106C2">
        <w:rPr>
          <w:color w:val="000080"/>
          <w:rtl/>
        </w:rPr>
        <w:t xml:space="preserve"> </w:t>
      </w:r>
      <w:r w:rsidRPr="004106C2">
        <w:rPr>
          <w:rFonts w:hint="cs"/>
          <w:color w:val="000080"/>
          <w:rtl/>
        </w:rPr>
        <w:t>فَإِنْ</w:t>
      </w:r>
      <w:r w:rsidRPr="004106C2">
        <w:rPr>
          <w:color w:val="000080"/>
          <w:rtl/>
        </w:rPr>
        <w:t xml:space="preserve"> </w:t>
      </w:r>
      <w:r w:rsidRPr="004106C2">
        <w:rPr>
          <w:rFonts w:hint="cs"/>
          <w:color w:val="000080"/>
          <w:rtl/>
        </w:rPr>
        <w:t>أَجَابَكَ</w:t>
      </w:r>
      <w:r w:rsidRPr="004106C2">
        <w:rPr>
          <w:color w:val="000080"/>
          <w:rtl/>
        </w:rPr>
        <w:t xml:space="preserve"> </w:t>
      </w:r>
      <w:r w:rsidRPr="004106C2">
        <w:rPr>
          <w:rFonts w:hint="cs"/>
          <w:color w:val="000080"/>
          <w:rtl/>
        </w:rPr>
        <w:t>فَاسْتَطْعِمْهُ،</w:t>
      </w:r>
      <w:r w:rsidRPr="004106C2">
        <w:rPr>
          <w:color w:val="000080"/>
          <w:rtl/>
        </w:rPr>
        <w:t xml:space="preserve"> </w:t>
      </w:r>
      <w:r w:rsidRPr="004106C2">
        <w:rPr>
          <w:rFonts w:hint="cs"/>
          <w:color w:val="000080"/>
          <w:rtl/>
        </w:rPr>
        <w:t>وَإِنْ</w:t>
      </w:r>
      <w:r w:rsidRPr="004106C2">
        <w:rPr>
          <w:color w:val="000080"/>
          <w:rtl/>
        </w:rPr>
        <w:t xml:space="preserve"> </w:t>
      </w:r>
      <w:r w:rsidRPr="004106C2">
        <w:rPr>
          <w:rFonts w:hint="cs"/>
          <w:color w:val="000080"/>
          <w:rtl/>
        </w:rPr>
        <w:t>لَمْ</w:t>
      </w:r>
      <w:r w:rsidRPr="004106C2">
        <w:rPr>
          <w:color w:val="000080"/>
          <w:rtl/>
        </w:rPr>
        <w:t xml:space="preserve"> </w:t>
      </w:r>
      <w:r w:rsidRPr="004106C2">
        <w:rPr>
          <w:rFonts w:hint="cs"/>
          <w:color w:val="000080"/>
          <w:rtl/>
        </w:rPr>
        <w:t>يُجِبْكَ</w:t>
      </w:r>
      <w:r w:rsidRPr="004106C2">
        <w:rPr>
          <w:color w:val="000080"/>
          <w:rtl/>
        </w:rPr>
        <w:t xml:space="preserve"> </w:t>
      </w:r>
      <w:r w:rsidRPr="004106C2">
        <w:rPr>
          <w:rFonts w:hint="cs"/>
          <w:color w:val="000080"/>
          <w:rtl/>
        </w:rPr>
        <w:t>فَكُلْ،</w:t>
      </w:r>
      <w:r w:rsidRPr="004106C2">
        <w:rPr>
          <w:color w:val="000080"/>
          <w:rtl/>
        </w:rPr>
        <w:t xml:space="preserve"> </w:t>
      </w:r>
      <w:r w:rsidRPr="004106C2">
        <w:rPr>
          <w:rFonts w:hint="cs"/>
          <w:color w:val="000080"/>
          <w:rtl/>
        </w:rPr>
        <w:t>وَلَا</w:t>
      </w:r>
      <w:r w:rsidRPr="004106C2">
        <w:rPr>
          <w:color w:val="000080"/>
          <w:rtl/>
        </w:rPr>
        <w:t xml:space="preserve"> </w:t>
      </w:r>
      <w:r w:rsidRPr="004106C2">
        <w:rPr>
          <w:rFonts w:hint="cs"/>
          <w:color w:val="000080"/>
          <w:rtl/>
        </w:rPr>
        <w:t>تُفْسِدْ»</w:t>
      </w:r>
    </w:p>
    <w:p w:rsidR="004106C2" w:rsidRDefault="004106C2" w:rsidP="00363F76">
      <w:pPr>
        <w:jc w:val="both"/>
        <w:rPr>
          <w:rtl/>
        </w:rPr>
      </w:pPr>
      <w:r>
        <w:rPr>
          <w:rFonts w:hint="cs"/>
          <w:rtl/>
        </w:rPr>
        <w:t xml:space="preserve">شاید ظاهر این عبارت این باشد که اگر صاحب باغ نبود، داخل باغ شدن اشکالی ندارد. </w:t>
      </w:r>
    </w:p>
    <w:p w:rsidR="004106C2" w:rsidRDefault="004106C2" w:rsidP="00363F76">
      <w:pPr>
        <w:jc w:val="both"/>
        <w:rPr>
          <w:color w:val="000080"/>
          <w:rtl/>
        </w:rPr>
      </w:pPr>
      <w:r w:rsidRPr="004106C2">
        <w:rPr>
          <w:color w:val="000080"/>
          <w:rtl/>
        </w:rPr>
        <w:t xml:space="preserve">عَنْ إِبْرَاهِيمَ، قَالَ: «كُنْتُ أُسَافِرُ مَعَهُ فَكَانَ </w:t>
      </w:r>
      <w:r w:rsidRPr="004106C2">
        <w:rPr>
          <w:rFonts w:hint="cs"/>
          <w:color w:val="000080"/>
          <w:rtl/>
        </w:rPr>
        <w:t>يَأْكُلُ</w:t>
      </w:r>
      <w:r w:rsidRPr="004106C2">
        <w:rPr>
          <w:color w:val="000080"/>
          <w:rtl/>
        </w:rPr>
        <w:t xml:space="preserve"> </w:t>
      </w:r>
      <w:r w:rsidRPr="004106C2">
        <w:rPr>
          <w:rFonts w:hint="cs"/>
          <w:color w:val="000080"/>
          <w:rtl/>
        </w:rPr>
        <w:t>مِنَ</w:t>
      </w:r>
      <w:r w:rsidRPr="004106C2">
        <w:rPr>
          <w:color w:val="000080"/>
          <w:rtl/>
        </w:rPr>
        <w:t xml:space="preserve"> </w:t>
      </w:r>
      <w:r w:rsidRPr="004106C2">
        <w:rPr>
          <w:rFonts w:hint="cs"/>
          <w:color w:val="000080"/>
          <w:rtl/>
        </w:rPr>
        <w:t>الثِّمَارِ»</w:t>
      </w:r>
    </w:p>
    <w:p w:rsidR="004106C2" w:rsidRDefault="004106C2" w:rsidP="00363F76">
      <w:pPr>
        <w:jc w:val="both"/>
        <w:rPr>
          <w:rtl/>
        </w:rPr>
      </w:pPr>
      <w:r>
        <w:rPr>
          <w:rFonts w:hint="cs"/>
          <w:rtl/>
        </w:rPr>
        <w:t>«یأکل من الثمار» به معنای داخل باغ شدن است یا خوردن از میوه های خارج از باغ است؟</w:t>
      </w:r>
    </w:p>
    <w:p w:rsidR="004106C2" w:rsidRDefault="004106C2" w:rsidP="000632B6">
      <w:pPr>
        <w:jc w:val="both"/>
        <w:rPr>
          <w:rtl/>
        </w:rPr>
      </w:pPr>
      <w:r>
        <w:rPr>
          <w:rFonts w:hint="cs"/>
          <w:rtl/>
        </w:rPr>
        <w:lastRenderedPageBreak/>
        <w:t xml:space="preserve">این ابهامات باعث می شود نتوان اقوال عامه را به درستی تبیین کرد. این احتمال وجود دارد که این کلمات ناظر به حق الماره </w:t>
      </w:r>
      <w:r w:rsidR="000632B6">
        <w:rPr>
          <w:rFonts w:hint="cs"/>
          <w:rtl/>
        </w:rPr>
        <w:t>نباشد</w:t>
      </w:r>
      <w:r>
        <w:rPr>
          <w:rFonts w:hint="cs"/>
          <w:rtl/>
        </w:rPr>
        <w:t xml:space="preserve"> و شاید در نظر آنها مسافر حق دارد داخل باغ شود.</w:t>
      </w:r>
    </w:p>
    <w:p w:rsidR="00191B2B" w:rsidRDefault="004106C2" w:rsidP="000632B6">
      <w:pPr>
        <w:jc w:val="both"/>
        <w:rPr>
          <w:rtl/>
        </w:rPr>
      </w:pPr>
      <w:r>
        <w:rPr>
          <w:rFonts w:hint="cs"/>
          <w:rtl/>
        </w:rPr>
        <w:t xml:space="preserve">به هر حال، به نظر می رسد در حق الماره که در روایات ما وارد شده، دخول در باغ </w:t>
      </w:r>
      <w:r w:rsidR="000632B6">
        <w:rPr>
          <w:rFonts w:hint="cs"/>
          <w:rtl/>
        </w:rPr>
        <w:t>جایز نیست.</w:t>
      </w:r>
      <w:r>
        <w:rPr>
          <w:rFonts w:hint="cs"/>
          <w:rtl/>
        </w:rPr>
        <w:t xml:space="preserve"> حتی فقها فتوا دادند که اکل در صورتی جایز است که مرور اتفاقی باشد و به قصد ثمره نیامده باشد. دخول در باغ نیز روشن است مرور اتفاقی نیست و به قصد خوردن از ثمار داخل شده است. </w:t>
      </w:r>
    </w:p>
    <w:p w:rsidR="000632B6" w:rsidRDefault="000632B6" w:rsidP="000632B6">
      <w:pPr>
        <w:pStyle w:val="Heading3"/>
        <w:rPr>
          <w:rtl/>
        </w:rPr>
      </w:pPr>
      <w:bookmarkStart w:id="2" w:name="_Toc88887569"/>
      <w:r>
        <w:rPr>
          <w:rFonts w:hint="cs"/>
          <w:rtl/>
        </w:rPr>
        <w:t>رابطه فتوای ابن عباس و فتوای مجوزین</w:t>
      </w:r>
      <w:bookmarkEnd w:id="2"/>
      <w:r>
        <w:rPr>
          <w:rFonts w:hint="cs"/>
          <w:rtl/>
        </w:rPr>
        <w:t xml:space="preserve"> </w:t>
      </w:r>
    </w:p>
    <w:p w:rsidR="00191B2B" w:rsidRDefault="00191B2B" w:rsidP="00363F76">
      <w:pPr>
        <w:jc w:val="both"/>
        <w:rPr>
          <w:rtl/>
        </w:rPr>
      </w:pPr>
      <w:r>
        <w:rPr>
          <w:rFonts w:hint="cs"/>
          <w:rtl/>
        </w:rPr>
        <w:t>ما فتوای ابن عباس را به عنوان مقابل سایر فتاوا قرار دادیم اما به علت ابهام فتوای مجوّزین معلوم نیست فتوای ابن عباس مخالف قول مجوزین باشد. ابن عباس می گوید:</w:t>
      </w:r>
    </w:p>
    <w:p w:rsidR="00191B2B" w:rsidRDefault="00191B2B" w:rsidP="00363F76">
      <w:pPr>
        <w:jc w:val="both"/>
        <w:rPr>
          <w:color w:val="000080"/>
          <w:rtl/>
        </w:rPr>
      </w:pPr>
      <w:r w:rsidRPr="00191B2B">
        <w:rPr>
          <w:color w:val="000080"/>
          <w:rtl/>
        </w:rPr>
        <w:t>ابْنِ عَبَّاسٍ، قَالَ: «</w:t>
      </w:r>
      <w:r w:rsidRPr="00191B2B">
        <w:rPr>
          <w:rFonts w:hint="cs"/>
          <w:color w:val="000080"/>
          <w:rtl/>
        </w:rPr>
        <w:t>إِذَا</w:t>
      </w:r>
      <w:r w:rsidRPr="00191B2B">
        <w:rPr>
          <w:color w:val="000080"/>
          <w:rtl/>
        </w:rPr>
        <w:t xml:space="preserve"> </w:t>
      </w:r>
      <w:r w:rsidRPr="00191B2B">
        <w:rPr>
          <w:rFonts w:hint="cs"/>
          <w:color w:val="000080"/>
          <w:rtl/>
        </w:rPr>
        <w:t>مَرَرْتَ</w:t>
      </w:r>
      <w:r w:rsidRPr="00191B2B">
        <w:rPr>
          <w:color w:val="000080"/>
          <w:rtl/>
        </w:rPr>
        <w:t xml:space="preserve"> </w:t>
      </w:r>
      <w:r w:rsidRPr="00191B2B">
        <w:rPr>
          <w:rFonts w:hint="cs"/>
          <w:color w:val="000080"/>
          <w:rtl/>
        </w:rPr>
        <w:t>بِنَخْلٍ،</w:t>
      </w:r>
      <w:r w:rsidRPr="00191B2B">
        <w:rPr>
          <w:color w:val="000080"/>
          <w:rtl/>
        </w:rPr>
        <w:t xml:space="preserve"> </w:t>
      </w:r>
      <w:r w:rsidRPr="00191B2B">
        <w:rPr>
          <w:rFonts w:hint="cs"/>
          <w:color w:val="000080"/>
          <w:rtl/>
        </w:rPr>
        <w:t>أَوْ</w:t>
      </w:r>
      <w:r w:rsidRPr="00191B2B">
        <w:rPr>
          <w:color w:val="000080"/>
          <w:rtl/>
        </w:rPr>
        <w:t xml:space="preserve"> </w:t>
      </w:r>
      <w:r w:rsidRPr="00191B2B">
        <w:rPr>
          <w:rFonts w:hint="cs"/>
          <w:color w:val="000080"/>
          <w:rtl/>
        </w:rPr>
        <w:t>نَحْوِهِ</w:t>
      </w:r>
      <w:r w:rsidRPr="00191B2B">
        <w:rPr>
          <w:color w:val="000080"/>
          <w:rtl/>
        </w:rPr>
        <w:t xml:space="preserve"> </w:t>
      </w:r>
      <w:r w:rsidRPr="00191B2B">
        <w:rPr>
          <w:rFonts w:hint="cs"/>
          <w:color w:val="000080"/>
          <w:rtl/>
        </w:rPr>
        <w:t>وَقَدْ</w:t>
      </w:r>
      <w:r w:rsidRPr="00191B2B">
        <w:rPr>
          <w:color w:val="000080"/>
          <w:rtl/>
        </w:rPr>
        <w:t xml:space="preserve"> </w:t>
      </w:r>
      <w:r w:rsidRPr="00191B2B">
        <w:rPr>
          <w:rFonts w:hint="cs"/>
          <w:color w:val="000080"/>
          <w:rtl/>
        </w:rPr>
        <w:t>أُحِيطَ</w:t>
      </w:r>
      <w:r w:rsidRPr="00191B2B">
        <w:rPr>
          <w:color w:val="000080"/>
          <w:rtl/>
        </w:rPr>
        <w:t xml:space="preserve"> </w:t>
      </w:r>
      <w:r w:rsidRPr="00191B2B">
        <w:rPr>
          <w:rFonts w:hint="cs"/>
          <w:color w:val="000080"/>
          <w:rtl/>
        </w:rPr>
        <w:t>عَلَيْهِ</w:t>
      </w:r>
      <w:r w:rsidRPr="00191B2B">
        <w:rPr>
          <w:color w:val="000080"/>
          <w:rtl/>
        </w:rPr>
        <w:t xml:space="preserve"> </w:t>
      </w:r>
      <w:r w:rsidRPr="00191B2B">
        <w:rPr>
          <w:rFonts w:hint="cs"/>
          <w:color w:val="000080"/>
          <w:rtl/>
        </w:rPr>
        <w:t>حَائِطٌ،</w:t>
      </w:r>
      <w:r w:rsidRPr="00191B2B">
        <w:rPr>
          <w:color w:val="000080"/>
          <w:rtl/>
        </w:rPr>
        <w:t xml:space="preserve"> </w:t>
      </w:r>
      <w:r w:rsidRPr="00191B2B">
        <w:rPr>
          <w:rFonts w:hint="cs"/>
          <w:color w:val="000080"/>
          <w:rtl/>
        </w:rPr>
        <w:t>فَلَا</w:t>
      </w:r>
      <w:r w:rsidRPr="00191B2B">
        <w:rPr>
          <w:color w:val="000080"/>
          <w:rtl/>
        </w:rPr>
        <w:t xml:space="preserve"> </w:t>
      </w:r>
      <w:r w:rsidRPr="00191B2B">
        <w:rPr>
          <w:rFonts w:hint="cs"/>
          <w:color w:val="000080"/>
          <w:rtl/>
        </w:rPr>
        <w:t>تَدْخُلْهُ</w:t>
      </w:r>
      <w:r w:rsidRPr="00191B2B">
        <w:rPr>
          <w:color w:val="000080"/>
          <w:rtl/>
        </w:rPr>
        <w:t xml:space="preserve"> </w:t>
      </w:r>
      <w:r w:rsidRPr="00191B2B">
        <w:rPr>
          <w:rFonts w:hint="cs"/>
          <w:color w:val="000080"/>
          <w:rtl/>
        </w:rPr>
        <w:t>إِلَّا</w:t>
      </w:r>
      <w:r w:rsidRPr="00191B2B">
        <w:rPr>
          <w:color w:val="000080"/>
          <w:rtl/>
        </w:rPr>
        <w:t xml:space="preserve"> </w:t>
      </w:r>
      <w:r w:rsidRPr="00191B2B">
        <w:rPr>
          <w:rFonts w:hint="cs"/>
          <w:color w:val="000080"/>
          <w:rtl/>
        </w:rPr>
        <w:t>بِإِذْنِ</w:t>
      </w:r>
      <w:r w:rsidRPr="00191B2B">
        <w:rPr>
          <w:color w:val="000080"/>
          <w:rtl/>
        </w:rPr>
        <w:t xml:space="preserve"> </w:t>
      </w:r>
      <w:r w:rsidRPr="00191B2B">
        <w:rPr>
          <w:rFonts w:hint="cs"/>
          <w:color w:val="000080"/>
          <w:rtl/>
        </w:rPr>
        <w:t>صَاحِبِهِ،</w:t>
      </w:r>
      <w:r w:rsidRPr="00191B2B">
        <w:rPr>
          <w:color w:val="000080"/>
          <w:rtl/>
        </w:rPr>
        <w:t xml:space="preserve"> </w:t>
      </w:r>
      <w:r w:rsidRPr="00191B2B">
        <w:rPr>
          <w:rFonts w:hint="cs"/>
          <w:color w:val="000080"/>
          <w:rtl/>
        </w:rPr>
        <w:t>وَإِذَا</w:t>
      </w:r>
      <w:r w:rsidRPr="00191B2B">
        <w:rPr>
          <w:color w:val="000080"/>
          <w:rtl/>
        </w:rPr>
        <w:t xml:space="preserve"> </w:t>
      </w:r>
      <w:r w:rsidRPr="00191B2B">
        <w:rPr>
          <w:rFonts w:hint="cs"/>
          <w:color w:val="000080"/>
          <w:rtl/>
        </w:rPr>
        <w:t>مَرَرْتَ</w:t>
      </w:r>
      <w:r w:rsidRPr="00191B2B">
        <w:rPr>
          <w:color w:val="000080"/>
          <w:rtl/>
        </w:rPr>
        <w:t xml:space="preserve"> </w:t>
      </w:r>
      <w:r w:rsidRPr="00191B2B">
        <w:rPr>
          <w:rFonts w:hint="cs"/>
          <w:color w:val="000080"/>
          <w:rtl/>
        </w:rPr>
        <w:t>بِ</w:t>
      </w:r>
      <w:r w:rsidRPr="00191B2B">
        <w:rPr>
          <w:color w:val="000080"/>
          <w:rtl/>
        </w:rPr>
        <w:t>هِ فِي فَضَاءِ الْأَرْضِ فَكُلْ، وَلَا تَحْمِلْ»</w:t>
      </w:r>
      <w:r>
        <w:rPr>
          <w:rStyle w:val="FootnoteReference"/>
          <w:color w:val="000080"/>
          <w:rtl/>
        </w:rPr>
        <w:footnoteReference w:id="2"/>
      </w:r>
    </w:p>
    <w:p w:rsidR="00191B2B" w:rsidRDefault="00191B2B" w:rsidP="00363F76">
      <w:pPr>
        <w:jc w:val="both"/>
        <w:rPr>
          <w:rtl/>
        </w:rPr>
      </w:pPr>
      <w:r>
        <w:rPr>
          <w:rFonts w:hint="cs"/>
          <w:rtl/>
        </w:rPr>
        <w:t xml:space="preserve">اگر مجوّزین، دخول در حائط را نیز تجویز می کنند، قول ابن عباس مخالف با آنهاست. اما اگر مجوّزین تنها خوردن از خارج باغ را تجویز می کنند، منافاتی با کلام ابن عباس ندارد. </w:t>
      </w:r>
    </w:p>
    <w:p w:rsidR="00191B2B" w:rsidRDefault="00191B2B" w:rsidP="00363F76">
      <w:pPr>
        <w:jc w:val="both"/>
        <w:rPr>
          <w:rtl/>
        </w:rPr>
      </w:pPr>
      <w:r>
        <w:rPr>
          <w:rFonts w:hint="cs"/>
          <w:rtl/>
        </w:rPr>
        <w:t>شبیه فتوای ابن عباس از احمد بن حنبل نیز نقل شده است. در کتاب الورع احمد بن حنبل این عبارت آمده است:</w:t>
      </w:r>
    </w:p>
    <w:p w:rsidR="00191B2B" w:rsidRDefault="00191B2B" w:rsidP="00363F76">
      <w:pPr>
        <w:jc w:val="both"/>
        <w:rPr>
          <w:color w:val="000080"/>
          <w:rtl/>
        </w:rPr>
      </w:pPr>
      <w:r w:rsidRPr="00191B2B">
        <w:rPr>
          <w:color w:val="000080"/>
          <w:rtl/>
        </w:rPr>
        <w:t>إِذَا كَانَ عَلَيْهِ حَائِطٌ لَمْ يَدْخُلْ وَإِذَا كَانَ غَيْرَ مُحَوَّطٍ أَكَلَ وَلَمْ يَحْمِلْ مَعَهُ شَيْئًا</w:t>
      </w:r>
      <w:r>
        <w:rPr>
          <w:rStyle w:val="FootnoteReference"/>
          <w:color w:val="000080"/>
          <w:rtl/>
        </w:rPr>
        <w:footnoteReference w:id="3"/>
      </w:r>
    </w:p>
    <w:p w:rsidR="009F2E20" w:rsidRDefault="009F2E20" w:rsidP="00363F76">
      <w:pPr>
        <w:jc w:val="both"/>
        <w:rPr>
          <w:rtl/>
        </w:rPr>
      </w:pPr>
      <w:r>
        <w:rPr>
          <w:rFonts w:hint="cs"/>
          <w:rtl/>
        </w:rPr>
        <w:t>باید فتوای عامه را با دقت دیگری ملاحظه کرد و در فتاوا</w:t>
      </w:r>
      <w:r w:rsidR="009A01C5">
        <w:rPr>
          <w:rFonts w:hint="cs"/>
          <w:rtl/>
        </w:rPr>
        <w:t xml:space="preserve">ی مطلق ابهامی وجود دارد و ممکن است حتی دخول در باغ را نیز تجویز کنند. </w:t>
      </w:r>
    </w:p>
    <w:p w:rsidR="000632B6" w:rsidRDefault="000632B6" w:rsidP="000632B6">
      <w:pPr>
        <w:jc w:val="both"/>
        <w:rPr>
          <w:rtl/>
        </w:rPr>
      </w:pPr>
      <w:r>
        <w:rPr>
          <w:rFonts w:hint="cs"/>
          <w:rtl/>
        </w:rPr>
        <w:t>شافعی در کتاب الام تنها بحث ضرورت را مطرح کرده است:</w:t>
      </w:r>
    </w:p>
    <w:p w:rsidR="000632B6" w:rsidRPr="000205A1" w:rsidRDefault="000632B6" w:rsidP="000632B6">
      <w:pPr>
        <w:jc w:val="both"/>
        <w:rPr>
          <w:color w:val="000080"/>
          <w:rtl/>
        </w:rPr>
      </w:pPr>
      <w:r w:rsidRPr="000205A1">
        <w:rPr>
          <w:color w:val="000080"/>
          <w:rtl/>
        </w:rPr>
        <w:t xml:space="preserve">مَنْ مَرَّ بِحَائِطٍ، فَلَهُ أَنْ يَأْكُلَ، وَلَا يَتَّخِذَ خُبْنَةً، وَرُوِيَ فِيهِ حَدِيثٌ، لَوْ كَانَ يَثْبُتُ مِثْلُهُ عِنْدَنَا، لَمْ نُخَالِفْهُ. وَالْكِتَابُ وَالْحَدِيثُ الثَّابِتُ، أَنَّهُ لَا يَجُوزُ أَكْلُ مَالِ أَحَدٍ إلَّا بِإِذْنِهِ. وَلَوْ اُضْطُرَّ رَجُلٌ فَخَافَ الْمَوْتَ ثُمَّ مَرَّ بِطَعَامٍ لِرَجُلٍ، لَمْ أَرَ بَأْسًا أَنْ يَأْكُلَ مِنْهُ، مَا يَرُدُّ مِنْ جُوعِهِ، </w:t>
      </w:r>
      <w:r w:rsidRPr="000205A1">
        <w:rPr>
          <w:color w:val="000080"/>
          <w:rtl/>
        </w:rPr>
        <w:lastRenderedPageBreak/>
        <w:t>وَيَغْرَمُ لَهُ ثَمَنَهُ، وَلَمْ أَرَ لِلرَّجُلِ أَنْ يَمْنَعَهُ فِي تِلْكَ الْحَالِ، فَضْلًا مِنْ طَعَامٍ عِنْدَهُ، وَخِفْت أَنْ يَضِيقَ ذَلِكَ عَلَيْهِ، وَيَكُونَ أَعَانَ عَلَى قَتْلِهِ، إذَا خَافَ عَلَيْهِ بِالْمَنْعِ الْقَتْلَ.</w:t>
      </w:r>
      <w:r>
        <w:rPr>
          <w:rStyle w:val="FootnoteReference"/>
          <w:color w:val="000080"/>
          <w:rtl/>
        </w:rPr>
        <w:footnoteReference w:id="4"/>
      </w:r>
    </w:p>
    <w:p w:rsidR="000632B6" w:rsidRDefault="000632B6" w:rsidP="000632B6">
      <w:pPr>
        <w:jc w:val="both"/>
        <w:rPr>
          <w:rtl/>
        </w:rPr>
      </w:pPr>
      <w:r>
        <w:rPr>
          <w:rFonts w:hint="cs"/>
          <w:rtl/>
        </w:rPr>
        <w:t>در آینده درباره لزوم غرامت یا عدم آن بحث خواهیم کرد.</w:t>
      </w:r>
    </w:p>
    <w:p w:rsidR="000632B6" w:rsidRDefault="000632B6" w:rsidP="000632B6">
      <w:pPr>
        <w:pStyle w:val="Heading2"/>
        <w:rPr>
          <w:rtl/>
        </w:rPr>
      </w:pPr>
      <w:bookmarkStart w:id="3" w:name="_Toc88887570"/>
      <w:r>
        <w:rPr>
          <w:rFonts w:hint="cs"/>
          <w:rtl/>
        </w:rPr>
        <w:t>دلالت روایت مسعده بر ثبوت حق الماره</w:t>
      </w:r>
      <w:bookmarkEnd w:id="3"/>
      <w:r>
        <w:rPr>
          <w:rFonts w:hint="cs"/>
          <w:rtl/>
        </w:rPr>
        <w:t xml:space="preserve"> </w:t>
      </w:r>
    </w:p>
    <w:p w:rsidR="00AE6EE0" w:rsidRDefault="009F2E20" w:rsidP="000632B6">
      <w:pPr>
        <w:jc w:val="both"/>
        <w:rPr>
          <w:color w:val="008000"/>
          <w:rtl/>
        </w:rPr>
      </w:pPr>
      <w:r>
        <w:rPr>
          <w:rFonts w:hint="cs"/>
          <w:rtl/>
        </w:rPr>
        <w:t xml:space="preserve">به نظر می رسد با توجه به نکاتی که بیان شد، روایت مسعده بن زیاد از روایات دالّ بر حق الماره است. چه سوال سائل «مما حولهم» باشد یا «مما هو لهم حلال» باشد و مراد از «مما هو لهم حلال» هر چه باشد؟ </w:t>
      </w:r>
      <w:r w:rsidR="00AE6EE0">
        <w:rPr>
          <w:rFonts w:hint="cs"/>
          <w:rtl/>
        </w:rPr>
        <w:t>امام علیه السلام در پاسخ فرمود:</w:t>
      </w:r>
      <w:r w:rsidR="006E1DB9">
        <w:rPr>
          <w:rFonts w:hint="cs"/>
          <w:rtl/>
        </w:rPr>
        <w:t xml:space="preserve"> </w:t>
      </w:r>
      <w:r w:rsidR="006E1DB9" w:rsidRPr="004A7FFE">
        <w:rPr>
          <w:color w:val="008000"/>
          <w:rtl/>
        </w:rPr>
        <w:t>«لَا يَأْكُلْ أَحَدٌ إِلَّا مِنْ ضَرُورَةٍ، وَ لَا يُفْسِدْ إِذَا كَانَ عَلَيْهَا فِنَاءٌ مُحَاطٌ.</w:t>
      </w:r>
      <w:r w:rsidR="006E1DB9">
        <w:rPr>
          <w:rFonts w:hint="cs"/>
          <w:color w:val="008000"/>
          <w:rtl/>
        </w:rPr>
        <w:t>..</w:t>
      </w:r>
      <w:r w:rsidR="006E1DB9">
        <w:rPr>
          <w:rStyle w:val="FootnoteReference"/>
          <w:color w:val="008000"/>
          <w:rtl/>
        </w:rPr>
        <w:footnoteReference w:id="5"/>
      </w:r>
    </w:p>
    <w:p w:rsidR="00696FC7" w:rsidRDefault="00696FC7" w:rsidP="000632B6">
      <w:pPr>
        <w:jc w:val="both"/>
        <w:rPr>
          <w:rtl/>
        </w:rPr>
      </w:pPr>
      <w:r>
        <w:rPr>
          <w:rFonts w:hint="cs"/>
          <w:rtl/>
        </w:rPr>
        <w:t xml:space="preserve">«فناء محاط» را اینگونه معنا می کردیم که قرینه بر کراهت صاحب است. شاید معنای روشن تر همان مطلبی است که از ابن عباس نقل شده و ناظر به آنهاست. به این معنا که روایت بیان می کند: اگر فناء محاط باشد داخل نشو و گرنه در صورتی که نخواهد داخل فناء محاط شود، می تواند از ثمره خارج از فناء محاط </w:t>
      </w:r>
      <w:r w:rsidR="000632B6">
        <w:rPr>
          <w:rFonts w:hint="cs"/>
          <w:rtl/>
        </w:rPr>
        <w:t>بخورد. پس</w:t>
      </w:r>
      <w:r>
        <w:rPr>
          <w:rFonts w:hint="cs"/>
          <w:rtl/>
        </w:rPr>
        <w:t xml:space="preserve"> مفهوم روایت این است که می تواند از ثمره باغی که  فناء محاط ندارد یا در صورت وجود فناء محاط</w:t>
      </w:r>
      <w:r w:rsidR="000632B6">
        <w:rPr>
          <w:rFonts w:hint="cs"/>
          <w:rtl/>
        </w:rPr>
        <w:t>، میوه های خارج از باغ نیز دارد، بخورد.</w:t>
      </w:r>
      <w:r>
        <w:rPr>
          <w:rFonts w:hint="cs"/>
          <w:rtl/>
        </w:rPr>
        <w:t xml:space="preserve"> داخل شدن در فناء محاط نیز تنها مختص به اهل ضرورت است:</w:t>
      </w:r>
    </w:p>
    <w:p w:rsidR="00696FC7" w:rsidRDefault="00696FC7" w:rsidP="00363F76">
      <w:pPr>
        <w:jc w:val="both"/>
        <w:rPr>
          <w:color w:val="008000"/>
          <w:rtl/>
        </w:rPr>
      </w:pPr>
      <w:r w:rsidRPr="004A7FFE">
        <w:rPr>
          <w:color w:val="008000"/>
          <w:rtl/>
        </w:rPr>
        <w:t>وَ مِنْ أَجْلِ أَهْلِ الضَّرُورَةِ نَهَى رَسُولُ اللَّهِ صَلَّى اللَّهُ عَلَيْهِ وَ آلِهِ أَنْ يُبْنَى عَلَى حَدَائِقِ النَّخْلِ وَ الثِّمَارِ بِنَاءٌ لِكَيْ يَأْكُلَ مِنْهَا كُلُّ أَحَد</w:t>
      </w:r>
    </w:p>
    <w:p w:rsidR="00696FC7" w:rsidRDefault="00696FC7" w:rsidP="00363F76">
      <w:pPr>
        <w:jc w:val="both"/>
        <w:rPr>
          <w:rtl/>
        </w:rPr>
      </w:pPr>
      <w:r>
        <w:rPr>
          <w:rFonts w:hint="cs"/>
          <w:rtl/>
        </w:rPr>
        <w:t xml:space="preserve">نهی پیامبر ص از دیوار گذاشتن به خاطر اهل ضرورت است و اهل ضرورت مجاز به داخل شدن هستند و مالک حق ندارد اهل ضرورت را منع کند و می توانند داخل باغ شوند و از میوه ها استفاده کنند. </w:t>
      </w:r>
    </w:p>
    <w:p w:rsidR="00BD0A24" w:rsidRDefault="00BD0A24" w:rsidP="00363F76">
      <w:pPr>
        <w:jc w:val="both"/>
        <w:rPr>
          <w:rtl/>
        </w:rPr>
      </w:pPr>
      <w:r>
        <w:rPr>
          <w:rFonts w:hint="cs"/>
          <w:rtl/>
        </w:rPr>
        <w:t>در جلسات قبل مفصّل درباره صحت</w:t>
      </w:r>
      <w:r w:rsidR="000632B6">
        <w:rPr>
          <w:rFonts w:hint="cs"/>
          <w:rtl/>
        </w:rPr>
        <w:t xml:space="preserve"> نسخه</w:t>
      </w:r>
      <w:r>
        <w:rPr>
          <w:rFonts w:hint="cs"/>
          <w:rtl/>
        </w:rPr>
        <w:t xml:space="preserve"> «مما هو لهم» یا «مما هو لهم حلال» بحث کردیم اما به نظر می رسد این مباحث لازم نیست و متن روایت مثبت حق الماره است و باید این روایت را جزء روایات مثبت قرار دهیم نه روایات مانعه. </w:t>
      </w:r>
    </w:p>
    <w:p w:rsidR="009F2E20" w:rsidRDefault="00696FC7" w:rsidP="00363F76">
      <w:pPr>
        <w:jc w:val="both"/>
        <w:rPr>
          <w:rtl/>
        </w:rPr>
      </w:pPr>
      <w:r>
        <w:rPr>
          <w:rFonts w:hint="cs"/>
          <w:rtl/>
        </w:rPr>
        <w:t xml:space="preserve"> </w:t>
      </w:r>
      <w:r w:rsidR="009A01C5">
        <w:rPr>
          <w:rFonts w:hint="cs"/>
          <w:rtl/>
        </w:rPr>
        <w:t>سوال: «لا یأکل» در روایت مسعده در فرض وجود فناء محاط، اطلاق دارد و شامل اکل از شاخه هایی که از دیوار بیرون زده نیز می شود.</w:t>
      </w:r>
    </w:p>
    <w:p w:rsidR="00D57D02" w:rsidRDefault="009A01C5" w:rsidP="000632B6">
      <w:pPr>
        <w:jc w:val="both"/>
        <w:rPr>
          <w:rtl/>
        </w:rPr>
      </w:pPr>
      <w:r>
        <w:rPr>
          <w:rFonts w:hint="cs"/>
          <w:rtl/>
        </w:rPr>
        <w:t xml:space="preserve">پاسخ: معلوم نیست «لا یأکل» ناظر به این باشد. به خصوص با توجه به ادامه روایت که پیامبر ص برای جلوگیری از دخول مردم در باغ، از دیوار گذاشتن نهی کرده است. پس «لا یأکل» به معنای دخول در باغ و اکل است و اطلاق ندارد. معنای این </w:t>
      </w:r>
      <w:r>
        <w:rPr>
          <w:rFonts w:hint="cs"/>
          <w:rtl/>
        </w:rPr>
        <w:lastRenderedPageBreak/>
        <w:t xml:space="preserve">روایت این است که دیوار نباید مانع اکل </w:t>
      </w:r>
      <w:r w:rsidR="000632B6">
        <w:rPr>
          <w:rFonts w:hint="cs"/>
          <w:rtl/>
        </w:rPr>
        <w:t xml:space="preserve">اهل </w:t>
      </w:r>
      <w:r>
        <w:rPr>
          <w:rFonts w:hint="cs"/>
          <w:rtl/>
        </w:rPr>
        <w:t xml:space="preserve">ضرورت باشد و برای غیر اهل ضرورت، فناء محاط مانع است. مانع بودن دیوار نسبت به دخول در باغ است و گرنه دیوار مانع اکل از شاخه هایی که از دیوار بیرون زده، نیست. </w:t>
      </w:r>
      <w:r w:rsidR="00D57D02">
        <w:rPr>
          <w:rFonts w:hint="cs"/>
          <w:rtl/>
        </w:rPr>
        <w:t>در نتیجه این روایت ناظر به اکلی است که ب</w:t>
      </w:r>
      <w:r w:rsidR="000205A1">
        <w:rPr>
          <w:rFonts w:hint="cs"/>
          <w:rtl/>
        </w:rPr>
        <w:t>ا دخول در باغ تحقق پیدا کند.</w:t>
      </w:r>
      <w:r w:rsidR="008B1F7A">
        <w:rPr>
          <w:rFonts w:hint="cs"/>
          <w:rtl/>
        </w:rPr>
        <w:t xml:space="preserve"> </w:t>
      </w:r>
    </w:p>
    <w:p w:rsidR="008B1F7A" w:rsidRDefault="008B1F7A" w:rsidP="000632B6">
      <w:pPr>
        <w:jc w:val="both"/>
        <w:rPr>
          <w:rtl/>
        </w:rPr>
      </w:pPr>
      <w:r>
        <w:rPr>
          <w:rFonts w:hint="cs"/>
          <w:rtl/>
        </w:rPr>
        <w:t xml:space="preserve">در فرض اضطرار، صاحب باغ به هیچ وجه و لو با دیوار حق منع ندارد و اگر دیوار وجود دارد، باید در باغ را باز کند. روایت مسعده ناظر به این است که اگر دیوار مانع اکل میوه است، نمی توان از میوه خورد و </w:t>
      </w:r>
      <w:r w:rsidR="00401BBF">
        <w:rPr>
          <w:rFonts w:hint="cs"/>
          <w:rtl/>
        </w:rPr>
        <w:t xml:space="preserve">اطلاق ندارد زیرا ضمیر «علیها» در «علیها فناء محاط» به ثمار بازگشت دارد و مراد این است که اگر ثمار فناء محاط داشته باشد، اکل جایز نیست که مفهوم آن این است که </w:t>
      </w:r>
      <w:r w:rsidR="000632B6">
        <w:rPr>
          <w:rFonts w:hint="cs"/>
          <w:rtl/>
        </w:rPr>
        <w:t>اگر برای</w:t>
      </w:r>
      <w:r w:rsidR="00401BBF">
        <w:rPr>
          <w:rFonts w:hint="cs"/>
          <w:rtl/>
        </w:rPr>
        <w:t xml:space="preserve"> این ثمار فناء محاط وجود نداشته باشد اعم از آنکه فناء محاط وجود نداشته باشد یا ثمار خارج از فناء محاط باشد، اکل جایز است. </w:t>
      </w:r>
    </w:p>
    <w:p w:rsidR="00C11B16" w:rsidRDefault="00401BBF" w:rsidP="00363F76">
      <w:pPr>
        <w:jc w:val="both"/>
        <w:rPr>
          <w:rtl/>
        </w:rPr>
      </w:pPr>
      <w:r>
        <w:rPr>
          <w:rFonts w:hint="cs"/>
          <w:rtl/>
        </w:rPr>
        <w:t xml:space="preserve">با این بحث روشن شد، مباحث مرتبط با «مما هو لهم حلال» یا «مما حولهم» </w:t>
      </w:r>
      <w:r w:rsidR="00C11B16">
        <w:rPr>
          <w:rFonts w:hint="cs"/>
          <w:rtl/>
        </w:rPr>
        <w:t xml:space="preserve">و معنای این سوال، </w:t>
      </w:r>
      <w:r>
        <w:rPr>
          <w:rFonts w:hint="cs"/>
          <w:rtl/>
        </w:rPr>
        <w:t xml:space="preserve">دور شدن از بحث است و باید با توجه به پاسخ امام علیه السلام، این عبارت را معنا کرد. </w:t>
      </w:r>
      <w:r w:rsidR="00C11B16">
        <w:rPr>
          <w:rFonts w:hint="cs"/>
          <w:rtl/>
        </w:rPr>
        <w:t>فقهای ما این قید را مطرح کردند که مرور باید اتفاقی باشد و به قصد خوردن میوه، مرور کرده باشد. شاید این قید از روایت مسعده برداشت شود به این صورت که وجود دیوار باعث می شود که مرور شما به میوه های داخل باغ، اتفاقی نباشد. هر چند این برداشت نیز نیازمند بحث است اما روشن تر از معنایی</w:t>
      </w:r>
      <w:r w:rsidR="000632B6">
        <w:rPr>
          <w:rFonts w:hint="cs"/>
          <w:rtl/>
        </w:rPr>
        <w:t xml:space="preserve"> است</w:t>
      </w:r>
      <w:r w:rsidR="00C11B16">
        <w:rPr>
          <w:rFonts w:hint="cs"/>
          <w:rtl/>
        </w:rPr>
        <w:t xml:space="preserve"> که در گذشته بیان شد که به واسطه وجود دیوار، ظن به کراهت وجود دارد.</w:t>
      </w:r>
    </w:p>
    <w:p w:rsidR="000632B6" w:rsidRDefault="000632B6" w:rsidP="000632B6">
      <w:pPr>
        <w:pStyle w:val="Heading2"/>
        <w:rPr>
          <w:rtl/>
        </w:rPr>
      </w:pPr>
      <w:bookmarkStart w:id="4" w:name="_Toc88887571"/>
      <w:r>
        <w:rPr>
          <w:rFonts w:hint="cs"/>
          <w:rtl/>
        </w:rPr>
        <w:t>نبود فتوا درباره حق الماره از حکام و قضات زمان علی بن یقطین</w:t>
      </w:r>
      <w:bookmarkEnd w:id="4"/>
    </w:p>
    <w:p w:rsidR="00C11B16" w:rsidRDefault="007B09F5" w:rsidP="00363F76">
      <w:pPr>
        <w:jc w:val="both"/>
        <w:rPr>
          <w:rtl/>
        </w:rPr>
      </w:pPr>
      <w:r>
        <w:rPr>
          <w:rFonts w:hint="cs"/>
          <w:rtl/>
        </w:rPr>
        <w:t xml:space="preserve">بنده فتوای فقهای عامه را </w:t>
      </w:r>
      <w:r w:rsidR="000632B6">
        <w:rPr>
          <w:rFonts w:hint="cs"/>
          <w:rtl/>
        </w:rPr>
        <w:t>مجدّد بررسی کرد</w:t>
      </w:r>
      <w:r>
        <w:rPr>
          <w:rFonts w:hint="cs"/>
          <w:rtl/>
        </w:rPr>
        <w:t xml:space="preserve">م تا فتوای قضات و حکام عامه در این مسأله روشن شود. محل تعارض روایات عمدتا زمان علی بن یقطین است و فتوای اصلی مطرح در زمان علی بن یقطین، فتوای ابو حنیفه و شاگردان او قاضی ابویوسف و محمد بن حس شیبانی است که در فتاوای این افراد، طرح بحث حق الماره مشاهده نشد. </w:t>
      </w:r>
      <w:r w:rsidR="00552D04">
        <w:rPr>
          <w:rFonts w:hint="cs"/>
          <w:rtl/>
        </w:rPr>
        <w:t>اقوال نقل شده به این صورت است:</w:t>
      </w:r>
    </w:p>
    <w:p w:rsidR="00552D04" w:rsidRDefault="000632B6" w:rsidP="00363F76">
      <w:pPr>
        <w:jc w:val="both"/>
        <w:rPr>
          <w:rtl/>
        </w:rPr>
      </w:pPr>
      <w:r>
        <w:rPr>
          <w:rFonts w:hint="cs"/>
          <w:rtl/>
        </w:rPr>
        <w:t>از مالک نقل شده</w:t>
      </w:r>
      <w:r w:rsidR="00552D04">
        <w:rPr>
          <w:rFonts w:hint="cs"/>
          <w:rtl/>
        </w:rPr>
        <w:t xml:space="preserve"> که حق الماره اختصاص به صورت اضطرار دارد.</w:t>
      </w:r>
    </w:p>
    <w:p w:rsidR="0091120A" w:rsidRDefault="00552D04" w:rsidP="000632B6">
      <w:pPr>
        <w:jc w:val="both"/>
        <w:rPr>
          <w:color w:val="000080"/>
          <w:rtl/>
        </w:rPr>
      </w:pPr>
      <w:r>
        <w:rPr>
          <w:rFonts w:hint="cs"/>
          <w:rtl/>
        </w:rPr>
        <w:t>از احمد بن حنبل مختلف نقل شده است. در برخی از نقل ها، قائل به ثبوت است و در برخی نقل ها، حق الماره</w:t>
      </w:r>
      <w:r w:rsidR="000632B6">
        <w:rPr>
          <w:rFonts w:hint="cs"/>
          <w:rtl/>
        </w:rPr>
        <w:t xml:space="preserve"> را به فرض اضطرار</w:t>
      </w:r>
      <w:r>
        <w:rPr>
          <w:rFonts w:hint="cs"/>
          <w:rtl/>
        </w:rPr>
        <w:t xml:space="preserve"> اختصاص </w:t>
      </w:r>
      <w:r w:rsidR="000632B6">
        <w:rPr>
          <w:rFonts w:hint="cs"/>
          <w:rtl/>
        </w:rPr>
        <w:t>داده است</w:t>
      </w:r>
      <w:r>
        <w:rPr>
          <w:rFonts w:hint="cs"/>
          <w:rtl/>
        </w:rPr>
        <w:t xml:space="preserve">. اما حنبلی ها بعدا حق الماره را به صورت مطلق قائل هستند. بیهقی شافعی در کتب مختلف خود اصرار دارد که روایات مثبت حق الماره مختص به ظرف ضرورت است. ابن قیّم </w:t>
      </w:r>
      <w:r w:rsidR="0091120A">
        <w:rPr>
          <w:rFonts w:hint="cs"/>
          <w:rtl/>
        </w:rPr>
        <w:t xml:space="preserve">جوزی روایات مثبت حق الماره را مطلق می داند و روایات مقیّد را از نظر سندی معتبر نمی داند. ایشان در تهذیب سنن ابی داود </w:t>
      </w:r>
      <w:r w:rsidR="008B14D8">
        <w:rPr>
          <w:rFonts w:hint="cs"/>
          <w:rtl/>
        </w:rPr>
        <w:t>ل</w:t>
      </w:r>
      <w:r w:rsidR="0091120A">
        <w:rPr>
          <w:rFonts w:hint="cs"/>
          <w:rtl/>
        </w:rPr>
        <w:t>ابن قیم؛ ج 2، ص: 40 در پاسخ به تمسک به روایت مقیّد می نویسد:</w:t>
      </w:r>
      <w:r w:rsidR="008B14D8">
        <w:rPr>
          <w:rFonts w:hint="cs"/>
          <w:rtl/>
        </w:rPr>
        <w:t xml:space="preserve"> </w:t>
      </w:r>
      <w:r w:rsidR="0091120A" w:rsidRPr="0091120A">
        <w:rPr>
          <w:rFonts w:hint="cs"/>
          <w:color w:val="000080"/>
          <w:rtl/>
        </w:rPr>
        <w:t>هذا من المراسیل التی لا یحتج بها فضلا عن ان یعارض بها المسندات الصحیحه ...</w:t>
      </w:r>
    </w:p>
    <w:p w:rsidR="008B14D8" w:rsidRDefault="008B14D8" w:rsidP="00363F76">
      <w:pPr>
        <w:jc w:val="both"/>
        <w:rPr>
          <w:rtl/>
        </w:rPr>
      </w:pPr>
      <w:r>
        <w:rPr>
          <w:rFonts w:hint="cs"/>
          <w:rtl/>
        </w:rPr>
        <w:lastRenderedPageBreak/>
        <w:t xml:space="preserve">ایشان بیان می کند: حق الماره مربوط به ظرف اضطرار نیست. </w:t>
      </w:r>
    </w:p>
    <w:p w:rsidR="008B14D8" w:rsidRDefault="008B14D8" w:rsidP="003D54C9">
      <w:pPr>
        <w:jc w:val="both"/>
        <w:rPr>
          <w:rtl/>
        </w:rPr>
      </w:pPr>
      <w:r>
        <w:rPr>
          <w:rFonts w:hint="cs"/>
          <w:rtl/>
        </w:rPr>
        <w:t>ظاهرا قولی که استقرّ علیه الحنبلیه، ثبوت حق الماره است اما اقوال احمد بن حنبل در این زمینه مختلف است. ابن قدامه در المغنی درباره احمد بن حنبل بیان کرده که فتاوای او یک دست و روشن نیست. اما با</w:t>
      </w:r>
      <w:r w:rsidR="00D12E9C">
        <w:t xml:space="preserve"> </w:t>
      </w:r>
      <w:r w:rsidR="00D12E9C">
        <w:rPr>
          <w:rFonts w:hint="cs"/>
          <w:rtl/>
        </w:rPr>
        <w:t xml:space="preserve"> نگاه به</w:t>
      </w:r>
      <w:r>
        <w:rPr>
          <w:rFonts w:hint="cs"/>
          <w:rtl/>
        </w:rPr>
        <w:t xml:space="preserve"> مجموع اقوال احمد بن حنبل، بعید نیست او </w:t>
      </w:r>
      <w:r w:rsidR="003D54C9">
        <w:rPr>
          <w:rFonts w:hint="cs"/>
          <w:rtl/>
        </w:rPr>
        <w:t xml:space="preserve">را </w:t>
      </w:r>
      <w:r>
        <w:rPr>
          <w:rFonts w:hint="cs"/>
          <w:rtl/>
        </w:rPr>
        <w:t xml:space="preserve">قائل به ثبوت حق الماره </w:t>
      </w:r>
      <w:r w:rsidR="003D54C9">
        <w:rPr>
          <w:rFonts w:hint="cs"/>
          <w:rtl/>
        </w:rPr>
        <w:t>بدانیم</w:t>
      </w:r>
      <w:r>
        <w:rPr>
          <w:rFonts w:hint="cs"/>
          <w:rtl/>
        </w:rPr>
        <w:t xml:space="preserve">. </w:t>
      </w:r>
    </w:p>
    <w:p w:rsidR="008B14D8" w:rsidRDefault="00CA5A96" w:rsidP="00363F76">
      <w:pPr>
        <w:jc w:val="both"/>
        <w:rPr>
          <w:rtl/>
        </w:rPr>
      </w:pPr>
      <w:r>
        <w:rPr>
          <w:rFonts w:hint="cs"/>
          <w:rtl/>
        </w:rPr>
        <w:t xml:space="preserve">آیا عدم وجود فتوا از قاضی ابو یوسف و </w:t>
      </w:r>
      <w:r w:rsidR="00D12E9C">
        <w:rPr>
          <w:rFonts w:hint="cs"/>
          <w:rtl/>
        </w:rPr>
        <w:t>محمد بن حسن شیبانی و امثال آنها، به معنای عدم ثبوت حق الماره در دیدگاه آنان است یا به علت نبود بحث قضایی و عدم تحقق دعوا و رجوع به دادگاه، درباره حق الماره فتوا ندادند؟</w:t>
      </w:r>
    </w:p>
    <w:p w:rsidR="00D12E9C" w:rsidRDefault="00D12E9C" w:rsidP="00363F76">
      <w:pPr>
        <w:jc w:val="both"/>
        <w:rPr>
          <w:rtl/>
        </w:rPr>
      </w:pPr>
      <w:r>
        <w:rPr>
          <w:rFonts w:hint="cs"/>
          <w:rtl/>
        </w:rPr>
        <w:t xml:space="preserve">بعید نیست احتمال اخیر صحیح باشد به خصوص آنکه زمان امام صادق علیه السلام وضع مسلمین از نظر مالی خوب شده بوده بر خلاف زمان پیامبر صلی الله علیه و آله و سلم که وضع مالی مسلمین بسیار نامناسب بوده است و به همین دلیل برخی از حق الماره استفاده کردند و صاحبان ملک به عنوان شکایت خدمت پیامبر ص </w:t>
      </w:r>
      <w:r w:rsidR="003D54C9">
        <w:rPr>
          <w:rFonts w:hint="cs"/>
          <w:rtl/>
        </w:rPr>
        <w:t xml:space="preserve">مب </w:t>
      </w:r>
      <w:r>
        <w:rPr>
          <w:rFonts w:hint="cs"/>
          <w:rtl/>
        </w:rPr>
        <w:t>آمدند و حتی شاید زمان عمر نیز وضع مسلمین مناسب نبوده است. اما احتمال دارد پس از آن زمان</w:t>
      </w:r>
      <w:r w:rsidR="003D54C9">
        <w:rPr>
          <w:rFonts w:hint="cs"/>
          <w:rtl/>
        </w:rPr>
        <w:t>،</w:t>
      </w:r>
      <w:r>
        <w:rPr>
          <w:rFonts w:hint="cs"/>
          <w:rtl/>
        </w:rPr>
        <w:t xml:space="preserve"> وضع مسلمین مناسب شده و به همین دلیل هر چند اکل از میوه های باغ را جایز نمی دانستند اما ممانعتی نیز از آن نداشتند تا دعوایی حاصل شود و رجوع به دادگاه تحق</w:t>
      </w:r>
      <w:r w:rsidR="003D54C9">
        <w:rPr>
          <w:rFonts w:hint="cs"/>
          <w:rtl/>
        </w:rPr>
        <w:t>ق یابد. با این احتمال، نمی توان</w:t>
      </w:r>
      <w:r>
        <w:rPr>
          <w:rFonts w:hint="cs"/>
          <w:rtl/>
        </w:rPr>
        <w:t xml:space="preserve"> از عدم تعرّض قاضی ابو یوسف، قول به عدم را به او نسبت داد. </w:t>
      </w:r>
      <w:r w:rsidR="003D54C9">
        <w:rPr>
          <w:rFonts w:hint="cs"/>
          <w:rtl/>
        </w:rPr>
        <w:t xml:space="preserve">در نتیجه، </w:t>
      </w:r>
      <w:r>
        <w:rPr>
          <w:rFonts w:hint="cs"/>
          <w:rtl/>
        </w:rPr>
        <w:t xml:space="preserve">علت عدم تعرّض می تواند عدم ابتلای به آن و عدم نیاز به حکم قاضی باشد. امیل بودن قضات و حکام </w:t>
      </w:r>
      <w:r w:rsidR="003D54C9">
        <w:rPr>
          <w:rFonts w:hint="cs"/>
          <w:rtl/>
        </w:rPr>
        <w:t xml:space="preserve">نیز </w:t>
      </w:r>
      <w:r>
        <w:rPr>
          <w:rFonts w:hint="cs"/>
          <w:rtl/>
        </w:rPr>
        <w:t xml:space="preserve">در جایی مطرح است که زمینه قضاوت مطرح باشد و ممکن است در این مسأله زمینه قضاوت وجود نداشته و به همین دلیل فتوایی از آنها در دسترس نیست. </w:t>
      </w:r>
    </w:p>
    <w:p w:rsidR="00D12E9C" w:rsidRDefault="00D12E9C" w:rsidP="00363F76">
      <w:pPr>
        <w:jc w:val="both"/>
        <w:rPr>
          <w:rtl/>
        </w:rPr>
      </w:pPr>
      <w:r>
        <w:rPr>
          <w:rFonts w:hint="cs"/>
          <w:rtl/>
        </w:rPr>
        <w:t xml:space="preserve">به هر حال، در کتب حنفی های متقدّم از ابو حنیفه، ابو یوسف، و محمد بن حسن شیبانی قولی نقل نشده و باید با تتبع بیشتر دید قول آنها وجود دارد. </w:t>
      </w:r>
    </w:p>
    <w:p w:rsidR="00D12E9C" w:rsidRDefault="00D12E9C" w:rsidP="00363F76">
      <w:pPr>
        <w:jc w:val="both"/>
        <w:rPr>
          <w:rtl/>
        </w:rPr>
      </w:pPr>
      <w:r>
        <w:rPr>
          <w:rFonts w:hint="cs"/>
          <w:rtl/>
        </w:rPr>
        <w:t>سوال: آیا حکام و قضات خصوصیت دارد؟</w:t>
      </w:r>
    </w:p>
    <w:p w:rsidR="00D12E9C" w:rsidRDefault="00D12E9C" w:rsidP="00363F76">
      <w:pPr>
        <w:jc w:val="both"/>
        <w:rPr>
          <w:rtl/>
        </w:rPr>
      </w:pPr>
      <w:r>
        <w:rPr>
          <w:rFonts w:hint="cs"/>
          <w:rtl/>
        </w:rPr>
        <w:t xml:space="preserve">پاسخ: مراد رأیی است که حکومت پشت آن باشد و آن را تأیید کند. به علت احتمال نبود دعوا در زمینه حق الماره، نمی توان انتساب داد که عدم ثبوت حق الماره از اموری است که حکومت آن را تأیید کند. </w:t>
      </w:r>
    </w:p>
    <w:p w:rsidR="00D12E9C" w:rsidRDefault="00D12E9C" w:rsidP="00363F76">
      <w:pPr>
        <w:jc w:val="both"/>
        <w:rPr>
          <w:rtl/>
        </w:rPr>
      </w:pPr>
      <w:r>
        <w:rPr>
          <w:rFonts w:hint="cs"/>
          <w:rtl/>
        </w:rPr>
        <w:t>سوال: ابو ح</w:t>
      </w:r>
      <w:r w:rsidR="003D54C9">
        <w:rPr>
          <w:rFonts w:hint="cs"/>
          <w:rtl/>
        </w:rPr>
        <w:t>نیفه مورد تأیید حکومت نبوده است.</w:t>
      </w:r>
    </w:p>
    <w:p w:rsidR="00D12E9C" w:rsidRDefault="00D12E9C" w:rsidP="003D54C9">
      <w:pPr>
        <w:jc w:val="both"/>
        <w:rPr>
          <w:rtl/>
        </w:rPr>
      </w:pPr>
      <w:r>
        <w:rPr>
          <w:rFonts w:hint="cs"/>
          <w:rtl/>
        </w:rPr>
        <w:t>پاسخ: خو</w:t>
      </w:r>
      <w:r w:rsidR="003D54C9">
        <w:rPr>
          <w:rFonts w:hint="cs"/>
          <w:rtl/>
        </w:rPr>
        <w:t>د ابو حنفیه حکومتی نبوده و پنهان</w:t>
      </w:r>
      <w:r>
        <w:rPr>
          <w:rFonts w:hint="cs"/>
          <w:rtl/>
        </w:rPr>
        <w:t>ی طرفدار زید بوده و برای او بودجه می فرستاده است هر چند علنی از زید حمایت نمی کرده است. در مقاتل الطا</w:t>
      </w:r>
      <w:r w:rsidR="003D54C9">
        <w:rPr>
          <w:rFonts w:hint="cs"/>
          <w:rtl/>
        </w:rPr>
        <w:t>لبیین همکاری های پنهانی</w:t>
      </w:r>
      <w:r>
        <w:rPr>
          <w:rFonts w:hint="cs"/>
          <w:rtl/>
        </w:rPr>
        <w:t xml:space="preserve"> ابو حنیفه با زیدی ها </w:t>
      </w:r>
      <w:r w:rsidR="003D54C9">
        <w:rPr>
          <w:rFonts w:hint="cs"/>
          <w:rtl/>
        </w:rPr>
        <w:t>نقل شده</w:t>
      </w:r>
      <w:r>
        <w:rPr>
          <w:rFonts w:hint="cs"/>
          <w:rtl/>
        </w:rPr>
        <w:t xml:space="preserve"> است. اما قاضی ابو یوسف و محمد بن حسن شیبانی </w:t>
      </w:r>
      <w:r w:rsidR="00EB2B11">
        <w:rPr>
          <w:rFonts w:hint="cs"/>
          <w:rtl/>
        </w:rPr>
        <w:t xml:space="preserve">حکومتی بودند. </w:t>
      </w:r>
    </w:p>
    <w:p w:rsidR="00363F76" w:rsidRDefault="00363F76" w:rsidP="00363F76">
      <w:pPr>
        <w:jc w:val="both"/>
        <w:rPr>
          <w:rtl/>
        </w:rPr>
      </w:pPr>
      <w:r>
        <w:rPr>
          <w:rFonts w:hint="cs"/>
          <w:rtl/>
        </w:rPr>
        <w:lastRenderedPageBreak/>
        <w:t xml:space="preserve">در این بحث نکات دیگری وجود دارد که اشاره به آنها مناسب است. </w:t>
      </w:r>
    </w:p>
    <w:p w:rsidR="003D54C9" w:rsidRDefault="003D54C9" w:rsidP="003D54C9">
      <w:pPr>
        <w:pStyle w:val="Heading2"/>
        <w:rPr>
          <w:rtl/>
        </w:rPr>
      </w:pPr>
      <w:bookmarkStart w:id="5" w:name="_Toc88887572"/>
      <w:r>
        <w:rPr>
          <w:rFonts w:hint="cs"/>
          <w:rtl/>
        </w:rPr>
        <w:t>وجود «ثبانا» به جای «خبنه» در برخی از نقل ها</w:t>
      </w:r>
      <w:bookmarkEnd w:id="5"/>
    </w:p>
    <w:p w:rsidR="00363F76" w:rsidRDefault="00363F76" w:rsidP="00363F76">
      <w:pPr>
        <w:jc w:val="both"/>
        <w:rPr>
          <w:rtl/>
        </w:rPr>
      </w:pPr>
      <w:r>
        <w:rPr>
          <w:rFonts w:hint="cs"/>
          <w:rtl/>
        </w:rPr>
        <w:t>روایتی که در عامه به صورت «خُبنة» نقل شده، در برخی از منابع به صورت «</w:t>
      </w:r>
      <w:r w:rsidR="00144E73">
        <w:rPr>
          <w:rFonts w:hint="cs"/>
          <w:rtl/>
        </w:rPr>
        <w:t>ثبانا» نقل شده است. در کتب غریب الحدیث ذیل خبن و ثبن این روایت آمده است. در غریب الحدیث ابی عبیده قاسم بن سلام این عبارت آمده است:</w:t>
      </w:r>
    </w:p>
    <w:p w:rsidR="00144E73" w:rsidRDefault="00144E73" w:rsidP="00144E73">
      <w:pPr>
        <w:jc w:val="both"/>
        <w:rPr>
          <w:color w:val="000080"/>
          <w:rtl/>
        </w:rPr>
      </w:pPr>
      <w:r w:rsidRPr="00144E73">
        <w:rPr>
          <w:color w:val="000080"/>
          <w:rtl/>
        </w:rPr>
        <w:t>وَقَالَ [أَبُو عبيد -] : فِي حَدِيث عُمَر</w:t>
      </w:r>
      <w:r w:rsidRPr="00144E73">
        <w:rPr>
          <w:rFonts w:hint="cs"/>
          <w:color w:val="000080"/>
          <w:rtl/>
        </w:rPr>
        <w:t xml:space="preserve"> </w:t>
      </w:r>
      <w:r w:rsidRPr="00144E73">
        <w:rPr>
          <w:color w:val="000080"/>
          <w:rtl/>
        </w:rPr>
        <w:t>إِذا مرَّ أحدكُم بحائط فَليَأْكُل مِنْهُ وَلَا يَتَّخِذْ ثِبانا وَقد رُوِيَ: وَلَا يَتَّخِذْ خُبنَة. قَوْله: الثِّبان قَالَ أَبُو عَمْرو: هُوَ الْوِعَاء الَّذِي يُحمَل فِيهِ الشَّيْء فَإِن خبن حَملته بَين يَديك فَهُوَ ثِبان يُقَال مِنْهُ: قد ثبنت ثِبانا فَإِن حَملته على</w:t>
      </w:r>
      <w:r w:rsidRPr="00144E73">
        <w:rPr>
          <w:rFonts w:hint="cs"/>
          <w:color w:val="000080"/>
          <w:rtl/>
        </w:rPr>
        <w:t xml:space="preserve"> </w:t>
      </w:r>
      <w:r w:rsidRPr="00144E73">
        <w:rPr>
          <w:color w:val="000080"/>
          <w:rtl/>
        </w:rPr>
        <w:t>ظهرك فَهُوَ الْحَال يُقَال مِنْهُ: تحوّلت كسائي إِذا جعلت فِيهِ شَيْئا ثمَّ حَملته على ظهرك فَإِن جعلته فِي حِضْنك فَهُوَ خُبنَةٌ. وَمِنْه الحَدِيث الْمَرْفُوع مثل ذَلِك يُق</w:t>
      </w:r>
      <w:r>
        <w:rPr>
          <w:color w:val="000080"/>
          <w:rtl/>
        </w:rPr>
        <w:t>َال مِنْهُ: خَبَنْتُ أخبن خبْنا</w:t>
      </w:r>
      <w:r w:rsidRPr="00144E73">
        <w:rPr>
          <w:color w:val="000080"/>
          <w:rtl/>
        </w:rPr>
        <w:t>.</w:t>
      </w:r>
      <w:r>
        <w:rPr>
          <w:rStyle w:val="FootnoteReference"/>
          <w:color w:val="000080"/>
          <w:rtl/>
        </w:rPr>
        <w:footnoteReference w:id="6"/>
      </w:r>
    </w:p>
    <w:p w:rsidR="00144E73" w:rsidRDefault="00144E73" w:rsidP="00144E73">
      <w:pPr>
        <w:rPr>
          <w:rtl/>
        </w:rPr>
      </w:pPr>
      <w:r>
        <w:rPr>
          <w:rFonts w:hint="cs"/>
          <w:rtl/>
        </w:rPr>
        <w:t>سه نوع حمل وجود داشته است:</w:t>
      </w:r>
    </w:p>
    <w:p w:rsidR="00144E73" w:rsidRDefault="00144E73" w:rsidP="00144E73">
      <w:pPr>
        <w:rPr>
          <w:rtl/>
        </w:rPr>
      </w:pPr>
      <w:r>
        <w:rPr>
          <w:rFonts w:hint="cs"/>
          <w:rtl/>
        </w:rPr>
        <w:t xml:space="preserve">اگر زنبیل و وعائی به دست گرفته شود و حمل شود، ثبان است. </w:t>
      </w:r>
    </w:p>
    <w:p w:rsidR="00144E73" w:rsidRDefault="00144E73" w:rsidP="00144E73">
      <w:pPr>
        <w:rPr>
          <w:rtl/>
        </w:rPr>
      </w:pPr>
      <w:r>
        <w:rPr>
          <w:rFonts w:hint="cs"/>
          <w:rtl/>
        </w:rPr>
        <w:t>اگر در عبا قرار داده شود و به کول گرفته شود و حمل شود، حال است.</w:t>
      </w:r>
    </w:p>
    <w:p w:rsidR="00144E73" w:rsidRDefault="00144E73" w:rsidP="00144E73">
      <w:pPr>
        <w:rPr>
          <w:rtl/>
        </w:rPr>
      </w:pPr>
      <w:r>
        <w:rPr>
          <w:rFonts w:hint="cs"/>
          <w:rtl/>
        </w:rPr>
        <w:t>اگر به دامن گرفته شود و حمل شود، خبنه است.</w:t>
      </w:r>
    </w:p>
    <w:p w:rsidR="003D54C9" w:rsidRDefault="003D54C9" w:rsidP="003D54C9">
      <w:pPr>
        <w:pStyle w:val="Heading2"/>
        <w:rPr>
          <w:rtl/>
        </w:rPr>
      </w:pPr>
      <w:bookmarkStart w:id="6" w:name="_Toc88887573"/>
      <w:r>
        <w:rPr>
          <w:rFonts w:hint="cs"/>
          <w:rtl/>
        </w:rPr>
        <w:t>حمل روایات مطلق به صورت ضرورت توسط ابو عبید</w:t>
      </w:r>
      <w:bookmarkEnd w:id="6"/>
    </w:p>
    <w:p w:rsidR="003D54C9" w:rsidRDefault="00FC74DB" w:rsidP="003D54C9">
      <w:pPr>
        <w:rPr>
          <w:rtl/>
        </w:rPr>
      </w:pPr>
      <w:r>
        <w:rPr>
          <w:rFonts w:hint="cs"/>
          <w:rtl/>
        </w:rPr>
        <w:t>در ادامه می نویسد:</w:t>
      </w:r>
    </w:p>
    <w:p w:rsidR="00144E73" w:rsidRDefault="00144E73" w:rsidP="00144E73">
      <w:pPr>
        <w:rPr>
          <w:color w:val="000080"/>
          <w:rtl/>
        </w:rPr>
      </w:pPr>
      <w:r w:rsidRPr="00144E73">
        <w:rPr>
          <w:color w:val="000080"/>
          <w:rtl/>
        </w:rPr>
        <w:t>قا</w:t>
      </w:r>
      <w:r w:rsidR="00FC74DB">
        <w:rPr>
          <w:rFonts w:hint="cs"/>
          <w:color w:val="000080"/>
          <w:rtl/>
        </w:rPr>
        <w:t>ل</w:t>
      </w:r>
      <w:r w:rsidRPr="00144E73">
        <w:rPr>
          <w:color w:val="000080"/>
          <w:rtl/>
        </w:rPr>
        <w:t xml:space="preserve"> أَبُو عبيد: وَإِنَّمَا وَجه هَذَا الحَدِيث أَنه رخّص فِيهِ للجائع المضطرّ الَّذِي لَا شَيْء مَعَه ليشترى بِهِ. وَهُوَ مُفَسّر فِي حَدِيث آخر: أَن رَسُول اللَّه صلى الله عَلَيْهِ وَسلم رخص للجائع المضطرّ إِذا مرّ بحائط أَن يَأْكُل مِنْهُ وَلَا يتَّخذ خُبنة. </w:t>
      </w:r>
    </w:p>
    <w:p w:rsidR="005D5C0B" w:rsidRDefault="00144E73" w:rsidP="005D5C0B">
      <w:pPr>
        <w:rPr>
          <w:rtl/>
        </w:rPr>
      </w:pPr>
      <w:r>
        <w:rPr>
          <w:rFonts w:hint="cs"/>
          <w:rtl/>
        </w:rPr>
        <w:t xml:space="preserve">این روایت، روایتی است که در سنن صغری بیهقی، ج 8، ص: 283 </w:t>
      </w:r>
      <w:r w:rsidR="00FC74DB">
        <w:rPr>
          <w:rFonts w:hint="cs"/>
          <w:rtl/>
        </w:rPr>
        <w:t>از عطاء نقل شده و ذیل آن عبارت ابو عبید نقل شده است:</w:t>
      </w:r>
    </w:p>
    <w:p w:rsidR="00FC74DB" w:rsidRDefault="0015563F" w:rsidP="0015563F">
      <w:pPr>
        <w:rPr>
          <w:color w:val="000080"/>
          <w:rtl/>
        </w:rPr>
      </w:pPr>
      <w:r w:rsidRPr="0015563F">
        <w:rPr>
          <w:color w:val="000080"/>
          <w:rtl/>
        </w:rPr>
        <w:t xml:space="preserve">وَرُوِيَ، عَنْ عُمَرَ بْنِ الْخَطَّابِ، أَنَّهُ قَالَ: </w:t>
      </w:r>
      <w:r w:rsidRPr="0015563F">
        <w:rPr>
          <w:rFonts w:hint="cs"/>
          <w:color w:val="000080"/>
          <w:rtl/>
        </w:rPr>
        <w:t>«مَنْ</w:t>
      </w:r>
      <w:r w:rsidRPr="0015563F">
        <w:rPr>
          <w:color w:val="000080"/>
          <w:rtl/>
        </w:rPr>
        <w:t xml:space="preserve"> </w:t>
      </w:r>
      <w:r w:rsidRPr="0015563F">
        <w:rPr>
          <w:rFonts w:hint="cs"/>
          <w:color w:val="000080"/>
          <w:rtl/>
        </w:rPr>
        <w:t>مَرَّ</w:t>
      </w:r>
      <w:r w:rsidRPr="0015563F">
        <w:rPr>
          <w:color w:val="000080"/>
          <w:rtl/>
        </w:rPr>
        <w:t xml:space="preserve"> </w:t>
      </w:r>
      <w:r w:rsidRPr="0015563F">
        <w:rPr>
          <w:rFonts w:hint="cs"/>
          <w:color w:val="000080"/>
          <w:rtl/>
        </w:rPr>
        <w:t>مِنْكُمْ</w:t>
      </w:r>
      <w:r w:rsidRPr="0015563F">
        <w:rPr>
          <w:color w:val="000080"/>
          <w:rtl/>
        </w:rPr>
        <w:t xml:space="preserve"> </w:t>
      </w:r>
      <w:r w:rsidRPr="0015563F">
        <w:rPr>
          <w:rFonts w:hint="cs"/>
          <w:color w:val="000080"/>
          <w:rtl/>
        </w:rPr>
        <w:t>بِحَائِطٍ</w:t>
      </w:r>
      <w:r w:rsidRPr="0015563F">
        <w:rPr>
          <w:color w:val="000080"/>
          <w:rtl/>
        </w:rPr>
        <w:t xml:space="preserve"> </w:t>
      </w:r>
      <w:r w:rsidRPr="0015563F">
        <w:rPr>
          <w:rFonts w:hint="cs"/>
          <w:color w:val="000080"/>
          <w:rtl/>
        </w:rPr>
        <w:t>فَلْيَأْكُلْ</w:t>
      </w:r>
      <w:r w:rsidRPr="0015563F">
        <w:rPr>
          <w:color w:val="000080"/>
          <w:rtl/>
        </w:rPr>
        <w:t xml:space="preserve"> </w:t>
      </w:r>
      <w:r w:rsidRPr="0015563F">
        <w:rPr>
          <w:rFonts w:hint="cs"/>
          <w:color w:val="000080"/>
          <w:rtl/>
        </w:rPr>
        <w:t>فِي</w:t>
      </w:r>
      <w:r w:rsidRPr="0015563F">
        <w:rPr>
          <w:color w:val="000080"/>
          <w:rtl/>
        </w:rPr>
        <w:t xml:space="preserve"> </w:t>
      </w:r>
      <w:r w:rsidRPr="0015563F">
        <w:rPr>
          <w:rFonts w:hint="cs"/>
          <w:color w:val="000080"/>
          <w:rtl/>
        </w:rPr>
        <w:t>بَطْنِهِ</w:t>
      </w:r>
      <w:r w:rsidRPr="0015563F">
        <w:rPr>
          <w:color w:val="000080"/>
          <w:rtl/>
        </w:rPr>
        <w:t xml:space="preserve"> </w:t>
      </w:r>
      <w:r w:rsidRPr="0015563F">
        <w:rPr>
          <w:rFonts w:hint="cs"/>
          <w:color w:val="000080"/>
          <w:rtl/>
        </w:rPr>
        <w:t>وَلَا</w:t>
      </w:r>
      <w:r w:rsidRPr="0015563F">
        <w:rPr>
          <w:color w:val="000080"/>
          <w:rtl/>
        </w:rPr>
        <w:t xml:space="preserve"> </w:t>
      </w:r>
      <w:r w:rsidRPr="0015563F">
        <w:rPr>
          <w:rFonts w:hint="cs"/>
          <w:color w:val="000080"/>
          <w:rtl/>
        </w:rPr>
        <w:t>يَتَّخِذْ</w:t>
      </w:r>
      <w:r w:rsidRPr="0015563F">
        <w:rPr>
          <w:color w:val="000080"/>
          <w:rtl/>
        </w:rPr>
        <w:t xml:space="preserve"> </w:t>
      </w:r>
      <w:r w:rsidRPr="0015563F">
        <w:rPr>
          <w:rFonts w:hint="cs"/>
          <w:color w:val="000080"/>
          <w:rtl/>
        </w:rPr>
        <w:t>خُبْنَةً»</w:t>
      </w:r>
      <w:r w:rsidRPr="0015563F">
        <w:rPr>
          <w:color w:val="000080"/>
          <w:rtl/>
        </w:rPr>
        <w:t xml:space="preserve"> </w:t>
      </w:r>
      <w:r w:rsidRPr="0015563F">
        <w:rPr>
          <w:rFonts w:hint="cs"/>
          <w:color w:val="000080"/>
          <w:rtl/>
        </w:rPr>
        <w:t>فَكُلُّ</w:t>
      </w:r>
      <w:r w:rsidRPr="0015563F">
        <w:rPr>
          <w:color w:val="000080"/>
          <w:rtl/>
        </w:rPr>
        <w:t xml:space="preserve"> </w:t>
      </w:r>
      <w:r w:rsidRPr="0015563F">
        <w:rPr>
          <w:rFonts w:hint="cs"/>
          <w:color w:val="000080"/>
          <w:rtl/>
        </w:rPr>
        <w:t>ذَلِكَ</w:t>
      </w:r>
      <w:r w:rsidRPr="0015563F">
        <w:rPr>
          <w:color w:val="000080"/>
          <w:rtl/>
        </w:rPr>
        <w:t xml:space="preserve"> </w:t>
      </w:r>
      <w:r w:rsidRPr="0015563F">
        <w:rPr>
          <w:rFonts w:hint="cs"/>
          <w:color w:val="000080"/>
          <w:rtl/>
        </w:rPr>
        <w:t>عِنْدَنَا</w:t>
      </w:r>
      <w:r w:rsidRPr="0015563F">
        <w:rPr>
          <w:color w:val="000080"/>
          <w:rtl/>
        </w:rPr>
        <w:t xml:space="preserve"> </w:t>
      </w:r>
      <w:r w:rsidRPr="0015563F">
        <w:rPr>
          <w:rFonts w:hint="cs"/>
          <w:color w:val="000080"/>
          <w:rtl/>
        </w:rPr>
        <w:t>مَحْمُولٌ</w:t>
      </w:r>
      <w:r w:rsidRPr="0015563F">
        <w:rPr>
          <w:color w:val="000080"/>
          <w:rtl/>
        </w:rPr>
        <w:t xml:space="preserve"> </w:t>
      </w:r>
      <w:r w:rsidRPr="0015563F">
        <w:rPr>
          <w:rFonts w:hint="cs"/>
          <w:color w:val="000080"/>
          <w:rtl/>
        </w:rPr>
        <w:t>عَلَى</w:t>
      </w:r>
      <w:r w:rsidRPr="0015563F">
        <w:rPr>
          <w:color w:val="000080"/>
          <w:rtl/>
        </w:rPr>
        <w:t xml:space="preserve"> </w:t>
      </w:r>
      <w:r w:rsidRPr="0015563F">
        <w:rPr>
          <w:rFonts w:hint="cs"/>
          <w:color w:val="000080"/>
          <w:rtl/>
        </w:rPr>
        <w:t>حَالِ</w:t>
      </w:r>
      <w:r w:rsidRPr="0015563F">
        <w:rPr>
          <w:color w:val="000080"/>
          <w:rtl/>
        </w:rPr>
        <w:t xml:space="preserve"> </w:t>
      </w:r>
      <w:r w:rsidRPr="0015563F">
        <w:rPr>
          <w:rFonts w:hint="cs"/>
          <w:color w:val="000080"/>
          <w:rtl/>
        </w:rPr>
        <w:t>الضَّرُورَةِ.</w:t>
      </w:r>
      <w:r w:rsidRPr="0015563F">
        <w:rPr>
          <w:color w:val="000080"/>
          <w:rtl/>
        </w:rPr>
        <w:t xml:space="preserve"> </w:t>
      </w:r>
      <w:r w:rsidRPr="0015563F">
        <w:rPr>
          <w:rFonts w:hint="cs"/>
          <w:color w:val="000080"/>
          <w:rtl/>
        </w:rPr>
        <w:t>قَالَ</w:t>
      </w:r>
      <w:r w:rsidRPr="0015563F">
        <w:rPr>
          <w:color w:val="000080"/>
          <w:rtl/>
        </w:rPr>
        <w:t xml:space="preserve"> </w:t>
      </w:r>
      <w:r w:rsidRPr="0015563F">
        <w:rPr>
          <w:rFonts w:hint="cs"/>
          <w:color w:val="000080"/>
          <w:rtl/>
        </w:rPr>
        <w:t>أَبُو</w:t>
      </w:r>
      <w:r w:rsidRPr="0015563F">
        <w:rPr>
          <w:color w:val="000080"/>
          <w:rtl/>
        </w:rPr>
        <w:t xml:space="preserve"> </w:t>
      </w:r>
      <w:r>
        <w:rPr>
          <w:rFonts w:hint="cs"/>
          <w:color w:val="000080"/>
          <w:rtl/>
        </w:rPr>
        <w:t>عُبَيْدَ</w:t>
      </w:r>
      <w:r w:rsidRPr="0015563F">
        <w:rPr>
          <w:color w:val="000080"/>
          <w:rtl/>
        </w:rPr>
        <w:t xml:space="preserve">: </w:t>
      </w:r>
      <w:r w:rsidRPr="0015563F">
        <w:rPr>
          <w:rFonts w:hint="cs"/>
          <w:color w:val="000080"/>
          <w:rtl/>
        </w:rPr>
        <w:t>وَهُوَ</w:t>
      </w:r>
      <w:r w:rsidRPr="0015563F">
        <w:rPr>
          <w:color w:val="000080"/>
          <w:rtl/>
        </w:rPr>
        <w:t xml:space="preserve"> </w:t>
      </w:r>
      <w:r w:rsidRPr="0015563F">
        <w:rPr>
          <w:rFonts w:hint="cs"/>
          <w:color w:val="000080"/>
          <w:rtl/>
        </w:rPr>
        <w:t>مَا</w:t>
      </w:r>
      <w:r w:rsidRPr="0015563F">
        <w:rPr>
          <w:color w:val="000080"/>
          <w:rtl/>
        </w:rPr>
        <w:t xml:space="preserve"> </w:t>
      </w:r>
      <w:r w:rsidRPr="0015563F">
        <w:rPr>
          <w:rFonts w:hint="cs"/>
          <w:color w:val="000080"/>
          <w:rtl/>
        </w:rPr>
        <w:t>فُسِّرَ</w:t>
      </w:r>
      <w:r w:rsidRPr="0015563F">
        <w:rPr>
          <w:color w:val="000080"/>
          <w:rtl/>
        </w:rPr>
        <w:t xml:space="preserve"> </w:t>
      </w:r>
      <w:r w:rsidRPr="0015563F">
        <w:rPr>
          <w:rFonts w:hint="cs"/>
          <w:color w:val="000080"/>
          <w:rtl/>
        </w:rPr>
        <w:t>فِي</w:t>
      </w:r>
      <w:r w:rsidRPr="0015563F">
        <w:rPr>
          <w:color w:val="000080"/>
          <w:rtl/>
        </w:rPr>
        <w:t xml:space="preserve"> </w:t>
      </w:r>
      <w:r w:rsidRPr="0015563F">
        <w:rPr>
          <w:rFonts w:hint="cs"/>
          <w:color w:val="000080"/>
          <w:rtl/>
        </w:rPr>
        <w:t>حَدِيثٍ</w:t>
      </w:r>
      <w:r w:rsidRPr="0015563F">
        <w:rPr>
          <w:color w:val="000080"/>
          <w:rtl/>
        </w:rPr>
        <w:t xml:space="preserve"> </w:t>
      </w:r>
      <w:r w:rsidRPr="0015563F">
        <w:rPr>
          <w:rFonts w:hint="cs"/>
          <w:color w:val="000080"/>
          <w:rtl/>
        </w:rPr>
        <w:t>آخَر</w:t>
      </w:r>
      <w:r w:rsidRPr="0015563F">
        <w:rPr>
          <w:color w:val="000080"/>
          <w:rtl/>
        </w:rPr>
        <w:t>َ</w:t>
      </w:r>
    </w:p>
    <w:p w:rsidR="0015563F" w:rsidRDefault="0015563F" w:rsidP="0015563F">
      <w:pPr>
        <w:rPr>
          <w:rtl/>
        </w:rPr>
      </w:pPr>
      <w:r>
        <w:rPr>
          <w:rFonts w:hint="cs"/>
          <w:rtl/>
        </w:rPr>
        <w:t>سپس از عطاء نقل می کند:</w:t>
      </w:r>
    </w:p>
    <w:p w:rsidR="0015563F" w:rsidRDefault="0015563F" w:rsidP="0015563F">
      <w:pPr>
        <w:rPr>
          <w:color w:val="000080"/>
          <w:rtl/>
        </w:rPr>
      </w:pPr>
      <w:r w:rsidRPr="0015563F">
        <w:rPr>
          <w:rFonts w:hint="cs"/>
          <w:color w:val="000080"/>
          <w:rtl/>
        </w:rPr>
        <w:lastRenderedPageBreak/>
        <w:t xml:space="preserve">عن ابن جریج عن عطاء قال: رخّص رسول الله صلی الله علیه و آله و سلّم للجائع المضطر اذا مرّ بالحائط ان یأکل منه و لا یتخّذ خبنه </w:t>
      </w:r>
    </w:p>
    <w:p w:rsidR="0015563F" w:rsidRDefault="0015563F" w:rsidP="0015563F">
      <w:pPr>
        <w:rPr>
          <w:rtl/>
        </w:rPr>
      </w:pPr>
      <w:r>
        <w:rPr>
          <w:rFonts w:hint="cs"/>
          <w:rtl/>
        </w:rPr>
        <w:t xml:space="preserve">البته نقل عطاء مرسل است. </w:t>
      </w:r>
    </w:p>
    <w:p w:rsidR="0015563F" w:rsidRDefault="0015563F" w:rsidP="0015563F">
      <w:pPr>
        <w:rPr>
          <w:rtl/>
        </w:rPr>
      </w:pPr>
      <w:r>
        <w:rPr>
          <w:rFonts w:hint="cs"/>
          <w:rtl/>
        </w:rPr>
        <w:t xml:space="preserve">در کنز العمال، ج 9، ص: 273، رقم: 25990 نقل می کند: </w:t>
      </w:r>
    </w:p>
    <w:p w:rsidR="0015563F" w:rsidRDefault="0015563F" w:rsidP="0015563F">
      <w:pPr>
        <w:rPr>
          <w:color w:val="000080"/>
          <w:rtl/>
        </w:rPr>
      </w:pPr>
      <w:r w:rsidRPr="008D1072">
        <w:rPr>
          <w:color w:val="000080"/>
          <w:rtl/>
        </w:rPr>
        <w:t xml:space="preserve">عن ابن عباس عن عمر بن الخطاب </w:t>
      </w:r>
      <w:r w:rsidR="008D1072" w:rsidRPr="008D1072">
        <w:rPr>
          <w:color w:val="000080"/>
          <w:rtl/>
        </w:rPr>
        <w:t>رضي الله عنه في المضطر" يمر بال</w:t>
      </w:r>
      <w:r w:rsidR="008D1072" w:rsidRPr="008D1072">
        <w:rPr>
          <w:rFonts w:hint="cs"/>
          <w:color w:val="000080"/>
          <w:rtl/>
        </w:rPr>
        <w:t>ث</w:t>
      </w:r>
      <w:r w:rsidRPr="008D1072">
        <w:rPr>
          <w:color w:val="000080"/>
          <w:rtl/>
        </w:rPr>
        <w:t>مر قال: يأكل ما لم يأخذ خبنة".</w:t>
      </w:r>
    </w:p>
    <w:p w:rsidR="000D1CC0" w:rsidRDefault="008D1072" w:rsidP="000D1CC0">
      <w:pPr>
        <w:rPr>
          <w:rtl/>
        </w:rPr>
      </w:pPr>
      <w:r>
        <w:rPr>
          <w:rFonts w:hint="cs"/>
          <w:rtl/>
        </w:rPr>
        <w:t xml:space="preserve">بیان شد: باید «من ذی حاجه» که در روایت عبد الله بن عمرو بن عاص جدّ عمرو بن شعیب وجود داشت، اضافه شده باشد. </w:t>
      </w:r>
      <w:r w:rsidR="006559B5">
        <w:rPr>
          <w:rFonts w:hint="cs"/>
          <w:rtl/>
        </w:rPr>
        <w:t xml:space="preserve">ابوعبید نیز جمع بین مطلق و مقیّد کرده است و بیان می کند: هر چند روایت مطلق است اما در روایت دیگری </w:t>
      </w:r>
      <w:r w:rsidR="000D1CC0">
        <w:rPr>
          <w:rFonts w:hint="cs"/>
          <w:rtl/>
        </w:rPr>
        <w:t>قید جائع</w:t>
      </w:r>
      <w:r w:rsidR="006559B5">
        <w:rPr>
          <w:rFonts w:hint="cs"/>
          <w:rtl/>
        </w:rPr>
        <w:t xml:space="preserve"> مضطرّ دارد و به همین دلیل</w:t>
      </w:r>
      <w:r w:rsidR="000D1CC0">
        <w:rPr>
          <w:rFonts w:hint="cs"/>
          <w:rtl/>
        </w:rPr>
        <w:t xml:space="preserve"> روایت عمر را</w:t>
      </w:r>
      <w:r w:rsidR="006559B5">
        <w:rPr>
          <w:rFonts w:hint="cs"/>
          <w:rtl/>
        </w:rPr>
        <w:t xml:space="preserve"> به «من ذی حاجه» حمل می کند. </w:t>
      </w:r>
      <w:r w:rsidR="000D1CC0">
        <w:rPr>
          <w:rFonts w:hint="cs"/>
          <w:rtl/>
        </w:rPr>
        <w:t>تفسیر ابو عبید</w:t>
      </w:r>
      <w:r w:rsidR="00EC4D9F">
        <w:rPr>
          <w:rFonts w:hint="cs"/>
          <w:rtl/>
        </w:rPr>
        <w:t xml:space="preserve"> نسبت به روایت،</w:t>
      </w:r>
      <w:r w:rsidR="000D1CC0">
        <w:rPr>
          <w:rFonts w:hint="cs"/>
          <w:rtl/>
        </w:rPr>
        <w:t xml:space="preserve"> نکاتی که در منشأ اضافه </w:t>
      </w:r>
      <w:r w:rsidR="00EC4D9F">
        <w:rPr>
          <w:rFonts w:hint="cs"/>
          <w:rtl/>
        </w:rPr>
        <w:t xml:space="preserve">شدن </w:t>
      </w:r>
      <w:r w:rsidR="000D1CC0">
        <w:rPr>
          <w:rFonts w:hint="cs"/>
          <w:rtl/>
        </w:rPr>
        <w:t xml:space="preserve">«من ذی حاجه» بیان شده بود را تأکید می کند. حال این اضافه شدن نیز به وجوهی است ذکر شد که یا عمدا اضافه شده یا سهوا </w:t>
      </w:r>
      <w:r w:rsidR="003D54C9">
        <w:rPr>
          <w:rFonts w:hint="cs"/>
          <w:rtl/>
        </w:rPr>
        <w:t xml:space="preserve">اضافه شده </w:t>
      </w:r>
      <w:r w:rsidR="000D1CC0">
        <w:rPr>
          <w:rFonts w:hint="cs"/>
          <w:rtl/>
        </w:rPr>
        <w:t xml:space="preserve">یا از حاشیه به متن وارد شده است. </w:t>
      </w:r>
    </w:p>
    <w:p w:rsidR="000D1CC0" w:rsidRDefault="00EC4D9F" w:rsidP="000D1CC0">
      <w:pPr>
        <w:rPr>
          <w:rtl/>
        </w:rPr>
      </w:pPr>
      <w:r>
        <w:rPr>
          <w:rFonts w:hint="cs"/>
          <w:rtl/>
        </w:rPr>
        <w:t>مناسب است کل عبارت ابو عبید را بخوانیم. ایشان در ادامه می نویسد:</w:t>
      </w:r>
    </w:p>
    <w:p w:rsidR="00EC4D9F" w:rsidRPr="00EC4D9F" w:rsidRDefault="00EC4D9F" w:rsidP="00EC4D9F">
      <w:pPr>
        <w:rPr>
          <w:color w:val="000080"/>
          <w:rtl/>
        </w:rPr>
      </w:pPr>
      <w:r w:rsidRPr="00C61192">
        <w:rPr>
          <w:color w:val="000080"/>
          <w:rtl/>
        </w:rPr>
        <w:t xml:space="preserve">وَمِمَّا يبيّن لَك أَنه إِنَّمَا رخّص لذَلِك </w:t>
      </w:r>
      <w:r w:rsidR="00C61192" w:rsidRPr="00C61192">
        <w:rPr>
          <w:rFonts w:hint="cs"/>
          <w:color w:val="000080"/>
          <w:rtl/>
        </w:rPr>
        <w:t xml:space="preserve">(ای للمضطر) </w:t>
      </w:r>
      <w:r w:rsidRPr="00C61192">
        <w:rPr>
          <w:color w:val="000080"/>
          <w:rtl/>
        </w:rPr>
        <w:t>خاصّة قَوْله: لَا يتَّخذ خُبنة أَو لَا يتَّخذ ثِبانا فَلم يَجْعَل لَهُ الثِّبان والخُبنة إلاّ مَا كَانَ فِي بَطْنه قَدر قُوته فَكيف يُرخّصُ لأهل الزَّاد الْوَاسِع أَن يُصيبوا أموالَ النَّاس.</w:t>
      </w:r>
      <w:r w:rsidR="00C61192">
        <w:rPr>
          <w:rStyle w:val="FootnoteReference"/>
          <w:color w:val="000080"/>
          <w:rtl/>
        </w:rPr>
        <w:footnoteReference w:id="7"/>
      </w:r>
    </w:p>
    <w:p w:rsidR="00144E73" w:rsidRDefault="00C61192" w:rsidP="00C61192">
      <w:pPr>
        <w:rPr>
          <w:rtl/>
        </w:rPr>
      </w:pPr>
      <w:r>
        <w:rPr>
          <w:rFonts w:hint="cs"/>
          <w:rtl/>
        </w:rPr>
        <w:t>در این روایت تنها اکل تجویز شده است و از آن روشن می شود که مختص به مضطرّ است. چگونه می توان گفت: شارع برای توانگران اجازه اکل داده است؟</w:t>
      </w:r>
    </w:p>
    <w:p w:rsidR="00C61192" w:rsidRDefault="00C61192" w:rsidP="00C61192">
      <w:pPr>
        <w:rPr>
          <w:rtl/>
        </w:rPr>
      </w:pPr>
      <w:r>
        <w:rPr>
          <w:rFonts w:hint="cs"/>
          <w:rtl/>
        </w:rPr>
        <w:t>این استدلال عجیب به نظر می رسد زیرا گاهی اوقات شخص مال دارد اما در شرایط شهوت اکل قرار گرفته و برطرف نکردن این شهوت و حرص موجب حصول عقده در وجود او می شود و همین عقده می تواند منشأ مفاسدی باشد. امکان دارد قصد شارع مقدس از بین بردن حرص و ولعی باشد که در آن لحظه حاصل شده است.</w:t>
      </w:r>
      <w:r w:rsidR="002F36A6">
        <w:rPr>
          <w:rStyle w:val="FootnoteReference"/>
          <w:rtl/>
        </w:rPr>
        <w:footnoteReference w:id="8"/>
      </w:r>
      <w:r>
        <w:rPr>
          <w:rFonts w:hint="cs"/>
          <w:rtl/>
        </w:rPr>
        <w:t xml:space="preserve"> </w:t>
      </w:r>
    </w:p>
    <w:p w:rsidR="00144E73" w:rsidRDefault="002F36A6" w:rsidP="003D54C9">
      <w:pPr>
        <w:rPr>
          <w:rtl/>
        </w:rPr>
      </w:pPr>
      <w:r>
        <w:rPr>
          <w:rFonts w:hint="cs"/>
          <w:rtl/>
        </w:rPr>
        <w:t xml:space="preserve">روایت ابن جریج از عطاء در سنن کبری بیهقی، ج 9، ص: 604 وارد شده است. در </w:t>
      </w:r>
      <w:r w:rsidR="006E340E">
        <w:rPr>
          <w:rFonts w:hint="cs"/>
          <w:rtl/>
        </w:rPr>
        <w:t xml:space="preserve">معرفه السنن و الآثار بیهقی </w:t>
      </w:r>
      <w:r w:rsidR="003D54C9">
        <w:rPr>
          <w:rFonts w:hint="cs"/>
          <w:rtl/>
        </w:rPr>
        <w:t>آمده</w:t>
      </w:r>
      <w:r w:rsidR="006E340E">
        <w:rPr>
          <w:rFonts w:hint="cs"/>
          <w:rtl/>
        </w:rPr>
        <w:t xml:space="preserve"> است:</w:t>
      </w:r>
    </w:p>
    <w:p w:rsidR="0091120A" w:rsidRDefault="006E340E" w:rsidP="006E340E">
      <w:pPr>
        <w:rPr>
          <w:color w:val="000080"/>
          <w:rtl/>
        </w:rPr>
      </w:pPr>
      <w:r w:rsidRPr="006E340E">
        <w:rPr>
          <w:color w:val="000080"/>
          <w:rtl/>
        </w:rPr>
        <w:lastRenderedPageBreak/>
        <w:t>وَإِنَّمَا يُرْوَى هَذَا اللَّفْظُ عَنْ عُمَرَ بْنِ الْخَطَّابِ وَهُوَ مَحْمُولٌ عَلَى حَالِ الضَّرُورَةِ، وَكَذَلِكَ مَا رُوِيَ فِيهِ عَنِ النَّبِيِّ صَلَّى اللهُ عَلَيْهِ وَسَلَّمَ فِي غَيْرِ هَذَا الْحَدِيثِ مُطْلَقًا فَهُوَ مَحْمُولٌ عَلَى الضَّرُورَةِ</w:t>
      </w:r>
      <w:r>
        <w:rPr>
          <w:rStyle w:val="FootnoteReference"/>
          <w:color w:val="000080"/>
          <w:rtl/>
        </w:rPr>
        <w:footnoteReference w:id="9"/>
      </w:r>
    </w:p>
    <w:p w:rsidR="003D54C9" w:rsidRDefault="003D54C9" w:rsidP="003D54C9">
      <w:pPr>
        <w:pStyle w:val="Heading2"/>
        <w:rPr>
          <w:rtl/>
        </w:rPr>
      </w:pPr>
      <w:bookmarkStart w:id="7" w:name="_Toc88887574"/>
      <w:r>
        <w:rPr>
          <w:rFonts w:hint="cs"/>
          <w:rtl/>
        </w:rPr>
        <w:t>توجیه «غرامه مثلیه» در کلام عامه</w:t>
      </w:r>
      <w:bookmarkEnd w:id="7"/>
      <w:r>
        <w:rPr>
          <w:rFonts w:hint="cs"/>
          <w:rtl/>
        </w:rPr>
        <w:t xml:space="preserve"> </w:t>
      </w:r>
    </w:p>
    <w:p w:rsidR="006E340E" w:rsidRDefault="006E340E" w:rsidP="006E340E">
      <w:pPr>
        <w:rPr>
          <w:rtl/>
        </w:rPr>
      </w:pPr>
      <w:r>
        <w:rPr>
          <w:rFonts w:hint="cs"/>
          <w:rtl/>
        </w:rPr>
        <w:t>در بحث غرامه مثلیه که در روایت سکونی وارد شده بود، از ابوعمر این مطلب نقل شده است:</w:t>
      </w:r>
    </w:p>
    <w:p w:rsidR="006E340E" w:rsidRDefault="006E340E" w:rsidP="006E340E">
      <w:pPr>
        <w:rPr>
          <w:color w:val="000080"/>
          <w:rtl/>
        </w:rPr>
      </w:pPr>
      <w:r w:rsidRPr="006E340E">
        <w:rPr>
          <w:color w:val="000080"/>
          <w:rtl/>
        </w:rPr>
        <w:t>قَالَ أَبُو عُمَرَ: قَوْلُهُ (غَرَامَةُ مِثْلَيْهِ) منسوخ لا أعلم أحد مِنَ الْفُقَهَاءِ قَالَ بِهِ إِلَّا مَا جَاءَ عن عمر في دقيق حاطب ابن أبي بلتعة، خرج مَالِكٌ، وَرِوَايَةٌ عَنْ أَحْمَدَ بْنِ حَنْبَلٍ. وَالَّذِي عليه الناس في الغرم بالمثل،</w:t>
      </w:r>
      <w:r>
        <w:rPr>
          <w:rStyle w:val="FootnoteReference"/>
          <w:color w:val="000080"/>
          <w:rtl/>
        </w:rPr>
        <w:footnoteReference w:id="10"/>
      </w:r>
    </w:p>
    <w:p w:rsidR="006E340E" w:rsidRDefault="006E340E" w:rsidP="006E340E">
      <w:pPr>
        <w:rPr>
          <w:rtl/>
        </w:rPr>
      </w:pPr>
      <w:r>
        <w:rPr>
          <w:rFonts w:hint="cs"/>
          <w:rtl/>
        </w:rPr>
        <w:t xml:space="preserve">در معالم السنن خطابی که متوفی 388 ه ق است، وارد شده است: </w:t>
      </w:r>
    </w:p>
    <w:p w:rsidR="006E340E" w:rsidRPr="006E340E" w:rsidRDefault="006E340E" w:rsidP="006E340E">
      <w:pPr>
        <w:rPr>
          <w:color w:val="000080"/>
          <w:rtl/>
        </w:rPr>
      </w:pPr>
      <w:r w:rsidRPr="006E340E">
        <w:rPr>
          <w:color w:val="000080"/>
          <w:rtl/>
        </w:rPr>
        <w:t>وقوله فعليه غرامة مثليه يشبه أن يكون هذا على سبيل التوعيد لينتهي فاعل ذلك عنه. والأصل أن لا واجب على متلف الشيء أكثر من مثله وقد قيل أنه كان في صدر الإسلام يقع بعض العقوبات في الأموال ثم نسخ</w:t>
      </w:r>
      <w:r>
        <w:rPr>
          <w:rStyle w:val="FootnoteReference"/>
          <w:color w:val="000080"/>
          <w:rtl/>
        </w:rPr>
        <w:footnoteReference w:id="11"/>
      </w:r>
    </w:p>
    <w:p w:rsidR="006E340E" w:rsidRDefault="006E340E" w:rsidP="00363F76">
      <w:pPr>
        <w:jc w:val="both"/>
        <w:rPr>
          <w:rtl/>
        </w:rPr>
      </w:pPr>
      <w:r>
        <w:rPr>
          <w:rFonts w:hint="cs"/>
          <w:rtl/>
        </w:rPr>
        <w:t xml:space="preserve">در این عبارت، غرامه مثلیه منسوخ تلقی شده است. </w:t>
      </w:r>
    </w:p>
    <w:p w:rsidR="006E340E" w:rsidRDefault="006E340E" w:rsidP="00363F76">
      <w:pPr>
        <w:jc w:val="both"/>
        <w:rPr>
          <w:rtl/>
        </w:rPr>
      </w:pPr>
      <w:r>
        <w:rPr>
          <w:rFonts w:hint="cs"/>
          <w:rtl/>
        </w:rPr>
        <w:t xml:space="preserve">چند عبارت دیگر نیز یادداشت کردم که مفید است خوانده شود. نوع فقهای عامه روایات را به ضرورت حمل کردند و برخی توجیهات دیگری درباره روایت حق الماره آوردند که در جلسه آینده به آنها اشاره می شود. </w:t>
      </w:r>
    </w:p>
    <w:p w:rsidR="009A01C5" w:rsidRPr="00191B2B" w:rsidRDefault="009A01C5" w:rsidP="00363F76">
      <w:pPr>
        <w:jc w:val="both"/>
        <w:rPr>
          <w:rtl/>
        </w:rPr>
      </w:pPr>
      <w:r>
        <w:rPr>
          <w:rFonts w:hint="cs"/>
          <w:rtl/>
        </w:rPr>
        <w:t xml:space="preserve"> </w:t>
      </w:r>
    </w:p>
    <w:sectPr w:rsidR="009A01C5" w:rsidRPr="00191B2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6A" w:rsidRDefault="0064076A" w:rsidP="008B750B">
      <w:pPr>
        <w:spacing w:line="240" w:lineRule="auto"/>
      </w:pPr>
      <w:r>
        <w:separator/>
      </w:r>
    </w:p>
  </w:endnote>
  <w:endnote w:type="continuationSeparator" w:id="0">
    <w:p w:rsidR="0064076A" w:rsidRDefault="0064076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34E48" w:rsidRPr="00E34E4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C1342" w:rsidP="001B6799">
          <w:pPr>
            <w:pStyle w:val="Footer"/>
            <w:bidi w:val="0"/>
            <w:rPr>
              <w:color w:val="808080" w:themeColor="background1" w:themeShade="80"/>
              <w:rtl/>
            </w:rPr>
          </w:pPr>
          <w:bookmarkStart w:id="15" w:name="BokAdres"/>
          <w:bookmarkEnd w:id="15"/>
          <w:r>
            <w:rPr>
              <w:color w:val="808080" w:themeColor="background1" w:themeShade="80"/>
            </w:rPr>
            <w:t>F1js1_14000830-031_mk3_mfeb.ir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6A" w:rsidRDefault="0064076A" w:rsidP="008B750B">
      <w:pPr>
        <w:spacing w:line="240" w:lineRule="auto"/>
      </w:pPr>
      <w:r>
        <w:separator/>
      </w:r>
    </w:p>
  </w:footnote>
  <w:footnote w:type="continuationSeparator" w:id="0">
    <w:p w:rsidR="0064076A" w:rsidRDefault="0064076A" w:rsidP="008B750B">
      <w:pPr>
        <w:spacing w:line="240" w:lineRule="auto"/>
      </w:pPr>
      <w:r>
        <w:continuationSeparator/>
      </w:r>
    </w:p>
  </w:footnote>
  <w:footnote w:id="1">
    <w:p w:rsidR="008E0605" w:rsidRDefault="008E0605">
      <w:pPr>
        <w:pStyle w:val="FootnoteText"/>
      </w:pPr>
      <w:r>
        <w:rPr>
          <w:rStyle w:val="FootnoteReference"/>
        </w:rPr>
        <w:footnoteRef/>
      </w:r>
      <w:r>
        <w:rPr>
          <w:rtl/>
        </w:rPr>
        <w:t xml:space="preserve"> </w:t>
      </w:r>
      <w:r>
        <w:rPr>
          <w:rFonts w:hint="cs"/>
          <w:rtl/>
        </w:rPr>
        <w:t xml:space="preserve">مصنف ابن ابی شیبه؛ ج4، ص: 294 </w:t>
      </w:r>
    </w:p>
  </w:footnote>
  <w:footnote w:id="2">
    <w:p w:rsidR="00191B2B" w:rsidRDefault="00191B2B">
      <w:pPr>
        <w:pStyle w:val="FootnoteText"/>
      </w:pPr>
      <w:r>
        <w:rPr>
          <w:rStyle w:val="FootnoteReference"/>
        </w:rPr>
        <w:footnoteRef/>
      </w:r>
      <w:r>
        <w:rPr>
          <w:rtl/>
        </w:rPr>
        <w:t xml:space="preserve"> </w:t>
      </w:r>
      <w:r>
        <w:rPr>
          <w:rFonts w:hint="cs"/>
          <w:rtl/>
        </w:rPr>
        <w:t>مصنف ابن ابی شیبه؛ ج 4، ص: 296</w:t>
      </w:r>
    </w:p>
  </w:footnote>
  <w:footnote w:id="3">
    <w:p w:rsidR="00191B2B" w:rsidRDefault="00191B2B">
      <w:pPr>
        <w:pStyle w:val="FootnoteText"/>
      </w:pPr>
      <w:r>
        <w:rPr>
          <w:rStyle w:val="FootnoteReference"/>
        </w:rPr>
        <w:footnoteRef/>
      </w:r>
      <w:r>
        <w:rPr>
          <w:rtl/>
        </w:rPr>
        <w:t xml:space="preserve"> </w:t>
      </w:r>
      <w:r>
        <w:rPr>
          <w:rFonts w:hint="cs"/>
          <w:rtl/>
        </w:rPr>
        <w:t xml:space="preserve">الورع لاحمد روایه المروزی؛ ج1، ص: 140 </w:t>
      </w:r>
    </w:p>
  </w:footnote>
  <w:footnote w:id="4">
    <w:p w:rsidR="000632B6" w:rsidRDefault="000632B6" w:rsidP="000632B6">
      <w:pPr>
        <w:pStyle w:val="FootnoteText"/>
      </w:pPr>
      <w:r>
        <w:rPr>
          <w:rStyle w:val="FootnoteReference"/>
        </w:rPr>
        <w:footnoteRef/>
      </w:r>
      <w:r>
        <w:rPr>
          <w:rtl/>
        </w:rPr>
        <w:t xml:space="preserve"> </w:t>
      </w:r>
      <w:r>
        <w:rPr>
          <w:rFonts w:hint="cs"/>
          <w:rtl/>
        </w:rPr>
        <w:t xml:space="preserve">الام للشافعی؛ ج 2، ص: 270 </w:t>
      </w:r>
    </w:p>
  </w:footnote>
  <w:footnote w:id="5">
    <w:p w:rsidR="006E1DB9" w:rsidRDefault="006E1DB9" w:rsidP="006E1DB9">
      <w:pPr>
        <w:pStyle w:val="FootnoteText"/>
      </w:pPr>
      <w:r>
        <w:rPr>
          <w:rStyle w:val="FootnoteReference"/>
        </w:rPr>
        <w:footnoteRef/>
      </w:r>
      <w:r>
        <w:rPr>
          <w:rtl/>
        </w:rPr>
        <w:t xml:space="preserve"> </w:t>
      </w:r>
      <w:r>
        <w:rPr>
          <w:rFonts w:hint="cs"/>
          <w:rtl/>
        </w:rPr>
        <w:t>قرب الاسناد؛ ص: 80</w:t>
      </w:r>
    </w:p>
  </w:footnote>
  <w:footnote w:id="6">
    <w:p w:rsidR="00144E73" w:rsidRDefault="00144E73">
      <w:pPr>
        <w:pStyle w:val="FootnoteText"/>
      </w:pPr>
      <w:r>
        <w:rPr>
          <w:rStyle w:val="FootnoteReference"/>
        </w:rPr>
        <w:footnoteRef/>
      </w:r>
      <w:r>
        <w:rPr>
          <w:rtl/>
        </w:rPr>
        <w:t xml:space="preserve"> </w:t>
      </w:r>
      <w:r>
        <w:rPr>
          <w:rFonts w:hint="cs"/>
          <w:rtl/>
        </w:rPr>
        <w:t xml:space="preserve">غریب الحدیث للقاسم بن سلام؛ ج 3، ص: 261 </w:t>
      </w:r>
    </w:p>
  </w:footnote>
  <w:footnote w:id="7">
    <w:p w:rsidR="00C61192" w:rsidRDefault="00C61192">
      <w:pPr>
        <w:pStyle w:val="FootnoteText"/>
      </w:pPr>
      <w:r>
        <w:rPr>
          <w:rStyle w:val="FootnoteReference"/>
        </w:rPr>
        <w:footnoteRef/>
      </w:r>
      <w:r>
        <w:rPr>
          <w:rtl/>
        </w:rPr>
        <w:t xml:space="preserve"> </w:t>
      </w:r>
      <w:r>
        <w:rPr>
          <w:rFonts w:hint="cs"/>
          <w:rtl/>
        </w:rPr>
        <w:t>غریب الحدیث للقاسم بن سلام؛ ج 2، ص: 262</w:t>
      </w:r>
    </w:p>
  </w:footnote>
  <w:footnote w:id="8">
    <w:p w:rsidR="002F36A6" w:rsidRDefault="002F36A6" w:rsidP="002F36A6">
      <w:pPr>
        <w:pStyle w:val="FootnoteText"/>
        <w:rPr>
          <w:rtl/>
        </w:rPr>
      </w:pPr>
      <w:r>
        <w:rPr>
          <w:rStyle w:val="FootnoteReference"/>
        </w:rPr>
        <w:footnoteRef/>
      </w:r>
      <w:r>
        <w:rPr>
          <w:rtl/>
        </w:rPr>
        <w:t xml:space="preserve"> آ</w:t>
      </w:r>
      <w:r>
        <w:rPr>
          <w:rFonts w:hint="cs"/>
          <w:rtl/>
        </w:rPr>
        <w:t>ی</w:t>
      </w:r>
      <w:r>
        <w:rPr>
          <w:rFonts w:hint="eastAsia"/>
          <w:rtl/>
        </w:rPr>
        <w:t>ت</w:t>
      </w:r>
      <w:r>
        <w:rPr>
          <w:rtl/>
        </w:rPr>
        <w:t xml:space="preserve"> الله والد از مرحوم جدّ ما نقل م</w:t>
      </w:r>
      <w:r>
        <w:rPr>
          <w:rFonts w:hint="cs"/>
          <w:rtl/>
        </w:rPr>
        <w:t>ی</w:t>
      </w:r>
      <w:r>
        <w:rPr>
          <w:rtl/>
        </w:rPr>
        <w:t xml:space="preserve"> کرد: در سفر وشنوه بهلول به آنجا آمده بود و مطالب</w:t>
      </w:r>
      <w:r>
        <w:rPr>
          <w:rFonts w:hint="cs"/>
          <w:rtl/>
        </w:rPr>
        <w:t>ی</w:t>
      </w:r>
      <w:r>
        <w:rPr>
          <w:rtl/>
        </w:rPr>
        <w:t xml:space="preserve"> از بهلول نقل کردند. </w:t>
      </w:r>
      <w:r>
        <w:rPr>
          <w:rFonts w:hint="cs"/>
          <w:rtl/>
        </w:rPr>
        <w:t>ی</w:t>
      </w:r>
      <w:r>
        <w:rPr>
          <w:rFonts w:hint="eastAsia"/>
          <w:rtl/>
        </w:rPr>
        <w:t>ک</w:t>
      </w:r>
      <w:r>
        <w:rPr>
          <w:rFonts w:hint="cs"/>
          <w:rtl/>
        </w:rPr>
        <w:t>ی</w:t>
      </w:r>
      <w:r>
        <w:rPr>
          <w:rtl/>
        </w:rPr>
        <w:t xml:space="preserve"> از مطالب ا</w:t>
      </w:r>
      <w:r>
        <w:rPr>
          <w:rFonts w:hint="cs"/>
          <w:rtl/>
        </w:rPr>
        <w:t>ی</w:t>
      </w:r>
      <w:r>
        <w:rPr>
          <w:rFonts w:hint="eastAsia"/>
          <w:rtl/>
        </w:rPr>
        <w:t>ن</w:t>
      </w:r>
      <w:r>
        <w:rPr>
          <w:rtl/>
        </w:rPr>
        <w:t xml:space="preserve"> بود که بهلول گفت: 250 </w:t>
      </w:r>
      <w:r>
        <w:rPr>
          <w:rFonts w:hint="cs"/>
          <w:rtl/>
        </w:rPr>
        <w:t>ی</w:t>
      </w:r>
      <w:r>
        <w:rPr>
          <w:rFonts w:hint="eastAsia"/>
          <w:rtl/>
        </w:rPr>
        <w:t>ا</w:t>
      </w:r>
      <w:r>
        <w:rPr>
          <w:rtl/>
        </w:rPr>
        <w:t xml:space="preserve"> 350 عدد ق</w:t>
      </w:r>
      <w:r>
        <w:rPr>
          <w:rFonts w:hint="cs"/>
          <w:rtl/>
        </w:rPr>
        <w:t>ی</w:t>
      </w:r>
      <w:r>
        <w:rPr>
          <w:rFonts w:hint="eastAsia"/>
          <w:rtl/>
        </w:rPr>
        <w:t>ص</w:t>
      </w:r>
      <w:r>
        <w:rPr>
          <w:rFonts w:hint="cs"/>
          <w:rtl/>
        </w:rPr>
        <w:t>ی</w:t>
      </w:r>
      <w:r>
        <w:rPr>
          <w:rtl/>
        </w:rPr>
        <w:t xml:space="preserve"> خوردم. با ا</w:t>
      </w:r>
      <w:r>
        <w:rPr>
          <w:rFonts w:hint="cs"/>
          <w:rtl/>
        </w:rPr>
        <w:t>ی</w:t>
      </w:r>
      <w:r>
        <w:rPr>
          <w:rFonts w:hint="eastAsia"/>
          <w:rtl/>
        </w:rPr>
        <w:t>ن</w:t>
      </w:r>
      <w:r>
        <w:rPr>
          <w:rtl/>
        </w:rPr>
        <w:t xml:space="preserve"> حال </w:t>
      </w:r>
      <w:r>
        <w:rPr>
          <w:rFonts w:hint="cs"/>
          <w:rtl/>
        </w:rPr>
        <w:t>ی</w:t>
      </w:r>
      <w:r>
        <w:rPr>
          <w:rFonts w:hint="eastAsia"/>
          <w:rtl/>
        </w:rPr>
        <w:t>ک</w:t>
      </w:r>
      <w:r>
        <w:rPr>
          <w:rtl/>
        </w:rPr>
        <w:t xml:space="preserve"> دامن خ</w:t>
      </w:r>
      <w:r>
        <w:rPr>
          <w:rFonts w:hint="cs"/>
          <w:rtl/>
        </w:rPr>
        <w:t>ی</w:t>
      </w:r>
      <w:r>
        <w:rPr>
          <w:rFonts w:hint="eastAsia"/>
          <w:rtl/>
        </w:rPr>
        <w:t>ار</w:t>
      </w:r>
      <w:r>
        <w:rPr>
          <w:rtl/>
        </w:rPr>
        <w:t xml:space="preserve"> چنبر به همراه داشت که کنار جو</w:t>
      </w:r>
      <w:r>
        <w:rPr>
          <w:rFonts w:hint="cs"/>
          <w:rtl/>
        </w:rPr>
        <w:t>ی</w:t>
      </w:r>
      <w:r>
        <w:rPr>
          <w:rtl/>
        </w:rPr>
        <w:t xml:space="preserve"> به آب م</w:t>
      </w:r>
      <w:r>
        <w:rPr>
          <w:rFonts w:hint="cs"/>
          <w:rtl/>
        </w:rPr>
        <w:t>ی</w:t>
      </w:r>
      <w:r>
        <w:rPr>
          <w:rtl/>
        </w:rPr>
        <w:t xml:space="preserve"> زد و م</w:t>
      </w:r>
      <w:r>
        <w:rPr>
          <w:rFonts w:hint="cs"/>
          <w:rtl/>
        </w:rPr>
        <w:t>ی</w:t>
      </w:r>
      <w:r>
        <w:rPr>
          <w:rtl/>
        </w:rPr>
        <w:t xml:space="preserve"> گفت: سوسمار مار را ا</w:t>
      </w:r>
      <w:r>
        <w:rPr>
          <w:rFonts w:hint="cs"/>
          <w:rtl/>
        </w:rPr>
        <w:t>ی</w:t>
      </w:r>
      <w:r>
        <w:rPr>
          <w:rFonts w:hint="eastAsia"/>
          <w:rtl/>
        </w:rPr>
        <w:t>نگونه</w:t>
      </w:r>
      <w:r>
        <w:rPr>
          <w:rtl/>
        </w:rPr>
        <w:t xml:space="preserve"> م</w:t>
      </w:r>
      <w:r>
        <w:rPr>
          <w:rFonts w:hint="cs"/>
          <w:rtl/>
        </w:rPr>
        <w:t>ی</w:t>
      </w:r>
      <w:r>
        <w:rPr>
          <w:rtl/>
        </w:rPr>
        <w:t xml:space="preserve"> خورد. </w:t>
      </w:r>
    </w:p>
    <w:p w:rsidR="002F36A6" w:rsidRDefault="002F36A6" w:rsidP="002F36A6">
      <w:pPr>
        <w:pStyle w:val="FootnoteText"/>
      </w:pPr>
      <w:r>
        <w:rPr>
          <w:rFonts w:hint="eastAsia"/>
          <w:rtl/>
        </w:rPr>
        <w:t>خداوند</w:t>
      </w:r>
      <w:r>
        <w:rPr>
          <w:rtl/>
        </w:rPr>
        <w:t xml:space="preserve"> آقا</w:t>
      </w:r>
      <w:r>
        <w:rPr>
          <w:rFonts w:hint="cs"/>
          <w:rtl/>
        </w:rPr>
        <w:t>ی</w:t>
      </w:r>
      <w:r>
        <w:rPr>
          <w:rtl/>
        </w:rPr>
        <w:t xml:space="preserve"> بهلول را رحمت کند. نقل شده که ا</w:t>
      </w:r>
      <w:r>
        <w:rPr>
          <w:rFonts w:hint="cs"/>
          <w:rtl/>
        </w:rPr>
        <w:t>ی</w:t>
      </w:r>
      <w:r>
        <w:rPr>
          <w:rFonts w:hint="eastAsia"/>
          <w:rtl/>
        </w:rPr>
        <w:t>شان</w:t>
      </w:r>
      <w:r>
        <w:rPr>
          <w:rtl/>
        </w:rPr>
        <w:t xml:space="preserve"> گاه</w:t>
      </w:r>
      <w:r>
        <w:rPr>
          <w:rFonts w:hint="cs"/>
          <w:rtl/>
        </w:rPr>
        <w:t>ی</w:t>
      </w:r>
      <w:r>
        <w:rPr>
          <w:rtl/>
        </w:rPr>
        <w:t xml:space="preserve"> تا سه روز ه</w:t>
      </w:r>
      <w:r>
        <w:rPr>
          <w:rFonts w:hint="cs"/>
          <w:rtl/>
        </w:rPr>
        <w:t>ی</w:t>
      </w:r>
      <w:r>
        <w:rPr>
          <w:rFonts w:hint="eastAsia"/>
          <w:rtl/>
        </w:rPr>
        <w:t>چ</w:t>
      </w:r>
      <w:r>
        <w:rPr>
          <w:rtl/>
        </w:rPr>
        <w:t xml:space="preserve"> غذا</w:t>
      </w:r>
      <w:r>
        <w:rPr>
          <w:rFonts w:hint="cs"/>
          <w:rtl/>
        </w:rPr>
        <w:t>یی</w:t>
      </w:r>
      <w:r>
        <w:rPr>
          <w:rtl/>
        </w:rPr>
        <w:t xml:space="preserve"> نم</w:t>
      </w:r>
      <w:r>
        <w:rPr>
          <w:rFonts w:hint="cs"/>
          <w:rtl/>
        </w:rPr>
        <w:t>ی</w:t>
      </w:r>
      <w:r>
        <w:rPr>
          <w:rtl/>
        </w:rPr>
        <w:t xml:space="preserve"> خورد. بدن بهلول بدن خاص</w:t>
      </w:r>
      <w:r>
        <w:rPr>
          <w:rFonts w:hint="cs"/>
          <w:rtl/>
        </w:rPr>
        <w:t>ی</w:t>
      </w:r>
      <w:r>
        <w:rPr>
          <w:rtl/>
        </w:rPr>
        <w:t xml:space="preserve"> بود که توانا</w:t>
      </w:r>
      <w:r>
        <w:rPr>
          <w:rFonts w:hint="cs"/>
          <w:rtl/>
        </w:rPr>
        <w:t>یی</w:t>
      </w:r>
      <w:r>
        <w:rPr>
          <w:rtl/>
        </w:rPr>
        <w:t xml:space="preserve"> خوردن ز</w:t>
      </w:r>
      <w:r>
        <w:rPr>
          <w:rFonts w:hint="cs"/>
          <w:rtl/>
        </w:rPr>
        <w:t>ی</w:t>
      </w:r>
      <w:r>
        <w:rPr>
          <w:rFonts w:hint="eastAsia"/>
          <w:rtl/>
        </w:rPr>
        <w:t>اد</w:t>
      </w:r>
      <w:r>
        <w:rPr>
          <w:rtl/>
        </w:rPr>
        <w:t xml:space="preserve"> در </w:t>
      </w:r>
      <w:r>
        <w:rPr>
          <w:rFonts w:hint="cs"/>
          <w:rtl/>
        </w:rPr>
        <w:t>ی</w:t>
      </w:r>
      <w:r>
        <w:rPr>
          <w:rFonts w:hint="eastAsia"/>
          <w:rtl/>
        </w:rPr>
        <w:t>ک</w:t>
      </w:r>
      <w:r>
        <w:rPr>
          <w:rtl/>
        </w:rPr>
        <w:t xml:space="preserve"> روز و نخوردن غذا در چند روز را داشت.</w:t>
      </w:r>
    </w:p>
  </w:footnote>
  <w:footnote w:id="9">
    <w:p w:rsidR="006E340E" w:rsidRDefault="006E340E" w:rsidP="006E340E">
      <w:pPr>
        <w:pStyle w:val="FootnoteText"/>
      </w:pPr>
      <w:r>
        <w:rPr>
          <w:rStyle w:val="FootnoteReference"/>
        </w:rPr>
        <w:footnoteRef/>
      </w:r>
      <w:r>
        <w:rPr>
          <w:rtl/>
        </w:rPr>
        <w:t xml:space="preserve"> </w:t>
      </w:r>
      <w:r>
        <w:rPr>
          <w:rFonts w:hint="cs"/>
          <w:rtl/>
        </w:rPr>
        <w:t>معرفه السنن و الآثار، ج 14، ص: 133</w:t>
      </w:r>
    </w:p>
  </w:footnote>
  <w:footnote w:id="10">
    <w:p w:rsidR="006E340E" w:rsidRDefault="006E340E">
      <w:pPr>
        <w:pStyle w:val="FootnoteText"/>
      </w:pPr>
      <w:r>
        <w:rPr>
          <w:rStyle w:val="FootnoteReference"/>
        </w:rPr>
        <w:footnoteRef/>
      </w:r>
      <w:r>
        <w:rPr>
          <w:rtl/>
        </w:rPr>
        <w:t xml:space="preserve"> </w:t>
      </w:r>
      <w:r>
        <w:rPr>
          <w:rFonts w:hint="cs"/>
          <w:rtl/>
        </w:rPr>
        <w:t>تفسیر القرطبی، ج 6، ص: 162</w:t>
      </w:r>
    </w:p>
  </w:footnote>
  <w:footnote w:id="11">
    <w:p w:rsidR="006E340E" w:rsidRDefault="006E340E">
      <w:pPr>
        <w:pStyle w:val="FootnoteText"/>
      </w:pPr>
      <w:r>
        <w:rPr>
          <w:rStyle w:val="FootnoteReference"/>
        </w:rPr>
        <w:footnoteRef/>
      </w:r>
      <w:r>
        <w:rPr>
          <w:rtl/>
        </w:rPr>
        <w:t xml:space="preserve"> </w:t>
      </w:r>
      <w:r>
        <w:rPr>
          <w:rFonts w:hint="cs"/>
          <w:rtl/>
        </w:rPr>
        <w:t>معالم السنن خطابی، ج 2، ص: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FC1342">
      <w:rPr>
        <w:b/>
        <w:bCs/>
        <w:sz w:val="20"/>
        <w:szCs w:val="24"/>
        <w:rtl/>
      </w:rPr>
      <w:t>031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FC134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FC1342">
      <w:rPr>
        <w:b/>
        <w:bCs/>
        <w:color w:val="632423" w:themeColor="accent2" w:themeShade="80"/>
        <w:sz w:val="20"/>
        <w:szCs w:val="24"/>
        <w:rtl/>
      </w:rPr>
      <w:t>س</w:t>
    </w:r>
    <w:r w:rsidR="00FC1342">
      <w:rPr>
        <w:rFonts w:hint="cs"/>
        <w:b/>
        <w:bCs/>
        <w:color w:val="632423" w:themeColor="accent2" w:themeShade="80"/>
        <w:sz w:val="20"/>
        <w:szCs w:val="24"/>
        <w:rtl/>
      </w:rPr>
      <w:t>ی</w:t>
    </w:r>
    <w:r w:rsidR="00FC1342">
      <w:rPr>
        <w:rFonts w:hint="eastAsia"/>
        <w:b/>
        <w:bCs/>
        <w:color w:val="632423" w:themeColor="accent2" w:themeShade="80"/>
        <w:sz w:val="20"/>
        <w:szCs w:val="24"/>
        <w:rtl/>
      </w:rPr>
      <w:t>د</w:t>
    </w:r>
    <w:r w:rsidR="00FC1342">
      <w:rPr>
        <w:b/>
        <w:bCs/>
        <w:color w:val="632423" w:themeColor="accent2" w:themeShade="80"/>
        <w:sz w:val="20"/>
        <w:szCs w:val="24"/>
        <w:rtl/>
      </w:rPr>
      <w:t xml:space="preserve"> محمد جواد شب</w:t>
    </w:r>
    <w:r w:rsidR="00FC1342">
      <w:rPr>
        <w:rFonts w:hint="cs"/>
        <w:b/>
        <w:bCs/>
        <w:color w:val="632423" w:themeColor="accent2" w:themeShade="80"/>
        <w:sz w:val="20"/>
        <w:szCs w:val="24"/>
        <w:rtl/>
      </w:rPr>
      <w:t>ی</w:t>
    </w:r>
    <w:r w:rsidR="00FC1342">
      <w:rPr>
        <w:rFonts w:hint="eastAsia"/>
        <w:b/>
        <w:bCs/>
        <w:color w:val="632423" w:themeColor="accent2" w:themeShade="80"/>
        <w:sz w:val="20"/>
        <w:szCs w:val="24"/>
        <w:rtl/>
      </w:rPr>
      <w:t>ر</w:t>
    </w:r>
    <w:r w:rsidR="00FC134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FC1342">
      <w:rPr>
        <w:sz w:val="24"/>
        <w:szCs w:val="24"/>
        <w:rtl/>
      </w:rPr>
      <w:t>30 /8 /1400</w:t>
    </w:r>
  </w:p>
  <w:p w:rsidR="00FA3B17" w:rsidRPr="00F16B53" w:rsidRDefault="00935A55" w:rsidP="001B5F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FC1342">
      <w:rPr>
        <w:color w:val="000000" w:themeColor="text1"/>
        <w:sz w:val="24"/>
        <w:szCs w:val="24"/>
        <w:rtl/>
      </w:rPr>
      <w:t>وجود حق مال</w:t>
    </w:r>
    <w:r w:rsidR="00FC1342">
      <w:rPr>
        <w:rFonts w:hint="cs"/>
        <w:color w:val="000000" w:themeColor="text1"/>
        <w:sz w:val="24"/>
        <w:szCs w:val="24"/>
        <w:rtl/>
      </w:rPr>
      <w:t>ی</w:t>
    </w:r>
    <w:r w:rsidR="00FC1342">
      <w:rPr>
        <w:color w:val="000000" w:themeColor="text1"/>
        <w:sz w:val="24"/>
        <w:szCs w:val="24"/>
        <w:rtl/>
      </w:rPr>
      <w:t xml:space="preserve"> د</w:t>
    </w:r>
    <w:r w:rsidR="00FC1342">
      <w:rPr>
        <w:rFonts w:hint="cs"/>
        <w:color w:val="000000" w:themeColor="text1"/>
        <w:sz w:val="24"/>
        <w:szCs w:val="24"/>
        <w:rtl/>
      </w:rPr>
      <w:t>ی</w:t>
    </w:r>
    <w:r w:rsidR="00FC1342">
      <w:rPr>
        <w:rFonts w:hint="eastAsia"/>
        <w:color w:val="000000" w:themeColor="text1"/>
        <w:sz w:val="24"/>
        <w:szCs w:val="24"/>
        <w:rtl/>
      </w:rPr>
      <w:t>گر</w:t>
    </w:r>
    <w:r w:rsidR="00FC1342">
      <w:rPr>
        <w:rFonts w:hint="cs"/>
        <w:color w:val="000000" w:themeColor="text1"/>
        <w:sz w:val="24"/>
        <w:szCs w:val="24"/>
        <w:rtl/>
      </w:rPr>
      <w:t>ی</w:t>
    </w:r>
    <w:r w:rsidR="00FC1342">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1B5FB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FC1342">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5A1"/>
    <w:rsid w:val="00025777"/>
    <w:rsid w:val="00025B70"/>
    <w:rsid w:val="000353D7"/>
    <w:rsid w:val="00055496"/>
    <w:rsid w:val="000632B6"/>
    <w:rsid w:val="00080A41"/>
    <w:rsid w:val="0008299B"/>
    <w:rsid w:val="000913AA"/>
    <w:rsid w:val="00094847"/>
    <w:rsid w:val="00096C63"/>
    <w:rsid w:val="000B5DB5"/>
    <w:rsid w:val="000C3947"/>
    <w:rsid w:val="000D1CC0"/>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E73"/>
    <w:rsid w:val="00151937"/>
    <w:rsid w:val="0015563F"/>
    <w:rsid w:val="00181844"/>
    <w:rsid w:val="001837E9"/>
    <w:rsid w:val="00187DFA"/>
    <w:rsid w:val="00191B2B"/>
    <w:rsid w:val="001A1BC1"/>
    <w:rsid w:val="001A1EA5"/>
    <w:rsid w:val="001A2574"/>
    <w:rsid w:val="001A27D7"/>
    <w:rsid w:val="001A294E"/>
    <w:rsid w:val="001A4ED8"/>
    <w:rsid w:val="001B2488"/>
    <w:rsid w:val="001B5FB1"/>
    <w:rsid w:val="001B6799"/>
    <w:rsid w:val="001C1362"/>
    <w:rsid w:val="001D2E9A"/>
    <w:rsid w:val="001D597F"/>
    <w:rsid w:val="001E3FD4"/>
    <w:rsid w:val="0020241A"/>
    <w:rsid w:val="00203821"/>
    <w:rsid w:val="00211632"/>
    <w:rsid w:val="0021630D"/>
    <w:rsid w:val="0024121B"/>
    <w:rsid w:val="00247D2F"/>
    <w:rsid w:val="00256560"/>
    <w:rsid w:val="0027077A"/>
    <w:rsid w:val="0027605E"/>
    <w:rsid w:val="00281E00"/>
    <w:rsid w:val="00294A52"/>
    <w:rsid w:val="002B575F"/>
    <w:rsid w:val="002B729B"/>
    <w:rsid w:val="002C23B5"/>
    <w:rsid w:val="002C53A2"/>
    <w:rsid w:val="002D0040"/>
    <w:rsid w:val="002D2FA8"/>
    <w:rsid w:val="002E220F"/>
    <w:rsid w:val="002F36A6"/>
    <w:rsid w:val="00307311"/>
    <w:rsid w:val="0032100F"/>
    <w:rsid w:val="0033402C"/>
    <w:rsid w:val="00340521"/>
    <w:rsid w:val="00345C73"/>
    <w:rsid w:val="00354A99"/>
    <w:rsid w:val="00360311"/>
    <w:rsid w:val="00361922"/>
    <w:rsid w:val="00363F76"/>
    <w:rsid w:val="0037339B"/>
    <w:rsid w:val="00386C11"/>
    <w:rsid w:val="00397466"/>
    <w:rsid w:val="003A6148"/>
    <w:rsid w:val="003C33F6"/>
    <w:rsid w:val="003C3D2E"/>
    <w:rsid w:val="003C43A5"/>
    <w:rsid w:val="003D54C9"/>
    <w:rsid w:val="003E1C5C"/>
    <w:rsid w:val="003E6650"/>
    <w:rsid w:val="003F5B46"/>
    <w:rsid w:val="00401363"/>
    <w:rsid w:val="00401BBF"/>
    <w:rsid w:val="00402E47"/>
    <w:rsid w:val="004106C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4F6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D04"/>
    <w:rsid w:val="0056213C"/>
    <w:rsid w:val="00580C24"/>
    <w:rsid w:val="005968EF"/>
    <w:rsid w:val="00596C1E"/>
    <w:rsid w:val="005A2E26"/>
    <w:rsid w:val="005B7BCA"/>
    <w:rsid w:val="005C0DAE"/>
    <w:rsid w:val="005C188E"/>
    <w:rsid w:val="005D2349"/>
    <w:rsid w:val="005D5C0B"/>
    <w:rsid w:val="005E1B60"/>
    <w:rsid w:val="005E5507"/>
    <w:rsid w:val="005E607B"/>
    <w:rsid w:val="005F0A8D"/>
    <w:rsid w:val="00601229"/>
    <w:rsid w:val="00603B67"/>
    <w:rsid w:val="006162A2"/>
    <w:rsid w:val="006240DA"/>
    <w:rsid w:val="0063256E"/>
    <w:rsid w:val="00633F04"/>
    <w:rsid w:val="00635219"/>
    <w:rsid w:val="00635EC0"/>
    <w:rsid w:val="0064076A"/>
    <w:rsid w:val="00640B58"/>
    <w:rsid w:val="00651B02"/>
    <w:rsid w:val="00651B19"/>
    <w:rsid w:val="006559B5"/>
    <w:rsid w:val="00660A29"/>
    <w:rsid w:val="00695519"/>
    <w:rsid w:val="00696FC7"/>
    <w:rsid w:val="006A4134"/>
    <w:rsid w:val="006A5DDA"/>
    <w:rsid w:val="006A6701"/>
    <w:rsid w:val="006B21F4"/>
    <w:rsid w:val="006B3753"/>
    <w:rsid w:val="006B7AD6"/>
    <w:rsid w:val="006C024F"/>
    <w:rsid w:val="006C50FD"/>
    <w:rsid w:val="006D1DD4"/>
    <w:rsid w:val="006D4014"/>
    <w:rsid w:val="006D44C1"/>
    <w:rsid w:val="006E1DB9"/>
    <w:rsid w:val="006E340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9F5"/>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4D8"/>
    <w:rsid w:val="008B1731"/>
    <w:rsid w:val="008B1F7A"/>
    <w:rsid w:val="008B4464"/>
    <w:rsid w:val="008B750B"/>
    <w:rsid w:val="008C3162"/>
    <w:rsid w:val="008D1072"/>
    <w:rsid w:val="008D1F14"/>
    <w:rsid w:val="008E0605"/>
    <w:rsid w:val="008E3924"/>
    <w:rsid w:val="008F13F7"/>
    <w:rsid w:val="008F5B4D"/>
    <w:rsid w:val="00907425"/>
    <w:rsid w:val="0091120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7551"/>
    <w:rsid w:val="009A01C5"/>
    <w:rsid w:val="009A43BA"/>
    <w:rsid w:val="009B0D05"/>
    <w:rsid w:val="009B4CA6"/>
    <w:rsid w:val="009B79F8"/>
    <w:rsid w:val="009C66D5"/>
    <w:rsid w:val="009D13FD"/>
    <w:rsid w:val="009D266A"/>
    <w:rsid w:val="009F2E2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6EE0"/>
    <w:rsid w:val="00AF3925"/>
    <w:rsid w:val="00B1296B"/>
    <w:rsid w:val="00B2292F"/>
    <w:rsid w:val="00B43169"/>
    <w:rsid w:val="00B501A8"/>
    <w:rsid w:val="00B55AE4"/>
    <w:rsid w:val="00B70B46"/>
    <w:rsid w:val="00B739B0"/>
    <w:rsid w:val="00B814A3"/>
    <w:rsid w:val="00B96F38"/>
    <w:rsid w:val="00BC716B"/>
    <w:rsid w:val="00BD0A24"/>
    <w:rsid w:val="00BD0E74"/>
    <w:rsid w:val="00BD5F8C"/>
    <w:rsid w:val="00BE29DD"/>
    <w:rsid w:val="00C066AF"/>
    <w:rsid w:val="00C10E06"/>
    <w:rsid w:val="00C11B16"/>
    <w:rsid w:val="00C145B8"/>
    <w:rsid w:val="00C2438F"/>
    <w:rsid w:val="00C31AF0"/>
    <w:rsid w:val="00C32A7E"/>
    <w:rsid w:val="00C34F28"/>
    <w:rsid w:val="00C368DF"/>
    <w:rsid w:val="00C442C5"/>
    <w:rsid w:val="00C57B5C"/>
    <w:rsid w:val="00C57C7C"/>
    <w:rsid w:val="00C61049"/>
    <w:rsid w:val="00C61192"/>
    <w:rsid w:val="00C63FFE"/>
    <w:rsid w:val="00C91EB6"/>
    <w:rsid w:val="00CA10B0"/>
    <w:rsid w:val="00CA2F8E"/>
    <w:rsid w:val="00CA3EE2"/>
    <w:rsid w:val="00CA5A96"/>
    <w:rsid w:val="00CA7FD5"/>
    <w:rsid w:val="00CB3287"/>
    <w:rsid w:val="00CB33E2"/>
    <w:rsid w:val="00CB4E68"/>
    <w:rsid w:val="00CC2733"/>
    <w:rsid w:val="00CD0050"/>
    <w:rsid w:val="00CE7481"/>
    <w:rsid w:val="00CF0A8F"/>
    <w:rsid w:val="00D048CE"/>
    <w:rsid w:val="00D10998"/>
    <w:rsid w:val="00D12E9C"/>
    <w:rsid w:val="00D15CBD"/>
    <w:rsid w:val="00D221CB"/>
    <w:rsid w:val="00D23391"/>
    <w:rsid w:val="00D31805"/>
    <w:rsid w:val="00D552B9"/>
    <w:rsid w:val="00D57D02"/>
    <w:rsid w:val="00D65212"/>
    <w:rsid w:val="00D735B2"/>
    <w:rsid w:val="00D74021"/>
    <w:rsid w:val="00D76D01"/>
    <w:rsid w:val="00D922A9"/>
    <w:rsid w:val="00D9394A"/>
    <w:rsid w:val="00DB0CBB"/>
    <w:rsid w:val="00DB67CC"/>
    <w:rsid w:val="00DC3783"/>
    <w:rsid w:val="00DE1070"/>
    <w:rsid w:val="00E00219"/>
    <w:rsid w:val="00E0316B"/>
    <w:rsid w:val="00E25E10"/>
    <w:rsid w:val="00E34E48"/>
    <w:rsid w:val="00E44A58"/>
    <w:rsid w:val="00E50B41"/>
    <w:rsid w:val="00E5219B"/>
    <w:rsid w:val="00E52D07"/>
    <w:rsid w:val="00E5518B"/>
    <w:rsid w:val="00E609FE"/>
    <w:rsid w:val="00E630BE"/>
    <w:rsid w:val="00E75920"/>
    <w:rsid w:val="00E80D96"/>
    <w:rsid w:val="00E871FA"/>
    <w:rsid w:val="00E936A4"/>
    <w:rsid w:val="00E954BB"/>
    <w:rsid w:val="00EA45E7"/>
    <w:rsid w:val="00EB2B11"/>
    <w:rsid w:val="00EB50A4"/>
    <w:rsid w:val="00EB78E3"/>
    <w:rsid w:val="00EB7BE3"/>
    <w:rsid w:val="00EC1C4B"/>
    <w:rsid w:val="00EC4D9F"/>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4433"/>
    <w:rsid w:val="00F67508"/>
    <w:rsid w:val="00F71FC9"/>
    <w:rsid w:val="00F73B48"/>
    <w:rsid w:val="00F74F51"/>
    <w:rsid w:val="00F842AD"/>
    <w:rsid w:val="00F914EB"/>
    <w:rsid w:val="00F91B85"/>
    <w:rsid w:val="00F938E7"/>
    <w:rsid w:val="00FA3B17"/>
    <w:rsid w:val="00FA5E8D"/>
    <w:rsid w:val="00FA5F3D"/>
    <w:rsid w:val="00FB399E"/>
    <w:rsid w:val="00FB7F50"/>
    <w:rsid w:val="00FC1342"/>
    <w:rsid w:val="00FC2A85"/>
    <w:rsid w:val="00FC40AF"/>
    <w:rsid w:val="00FC73B9"/>
    <w:rsid w:val="00FC74DB"/>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hilight">
    <w:name w:val="hilight"/>
    <w:basedOn w:val="DefaultParagraphFont"/>
    <w:rsid w:val="0014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CD06-D173-4A83-9B1E-78EEE74B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283</TotalTime>
  <Pages>8</Pages>
  <Words>2102</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32</cp:revision>
  <cp:lastPrinted>2021-11-27T03:09:00Z</cp:lastPrinted>
  <dcterms:created xsi:type="dcterms:W3CDTF">2021-11-24T00:40:00Z</dcterms:created>
  <dcterms:modified xsi:type="dcterms:W3CDTF">2021-11-30T05:49:00Z</dcterms:modified>
  <cp:contentStatus>ویرایش 2.5</cp:contentStatus>
  <cp:version>2.7</cp:version>
</cp:coreProperties>
</file>