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81" w:rsidRDefault="00336681" w:rsidP="00336681">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36681" w:rsidRDefault="00336681" w:rsidP="0033668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6964FF">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6964FF">
      <w:pPr>
        <w:pBdr>
          <w:bottom w:val="double" w:sz="6" w:space="1" w:color="auto"/>
        </w:pBdr>
        <w:jc w:val="both"/>
        <w:rPr>
          <w:rtl/>
        </w:rPr>
      </w:pPr>
      <w:r>
        <w:rPr>
          <w:rFonts w:hint="cs"/>
          <w:rtl/>
        </w:rPr>
        <w:t>متن خلاصه ...</w:t>
      </w:r>
    </w:p>
    <w:p w:rsidR="00247D2F" w:rsidRPr="003A6148" w:rsidRDefault="00247D2F" w:rsidP="006964FF">
      <w:pPr>
        <w:pBdr>
          <w:bottom w:val="double" w:sz="6" w:space="1" w:color="auto"/>
        </w:pBdr>
        <w:jc w:val="both"/>
      </w:pPr>
    </w:p>
    <w:p w:rsidR="008F5B4D" w:rsidRDefault="008F5B4D" w:rsidP="006964FF">
      <w:pPr>
        <w:jc w:val="both"/>
      </w:pPr>
    </w:p>
    <w:p w:rsidR="00422BC0" w:rsidRDefault="00422BC0" w:rsidP="006964FF">
      <w:pPr>
        <w:pStyle w:val="Heading2"/>
        <w:jc w:val="both"/>
        <w:rPr>
          <w:rtl/>
        </w:rPr>
      </w:pPr>
      <w:bookmarkStart w:id="1" w:name="_Toc86553305"/>
      <w:bookmarkStart w:id="2" w:name="_Toc86640842"/>
      <w:r>
        <w:rPr>
          <w:rFonts w:hint="cs"/>
          <w:rtl/>
        </w:rPr>
        <w:t>روایت دهم: روایت</w:t>
      </w:r>
      <w:bookmarkEnd w:id="1"/>
      <w:r>
        <w:rPr>
          <w:rFonts w:hint="cs"/>
          <w:rtl/>
        </w:rPr>
        <w:t xml:space="preserve"> عبد الله بن القاسم الجعفری</w:t>
      </w:r>
      <w:bookmarkEnd w:id="2"/>
      <w:r>
        <w:rPr>
          <w:rFonts w:hint="cs"/>
          <w:rtl/>
        </w:rPr>
        <w:t xml:space="preserve"> </w:t>
      </w:r>
    </w:p>
    <w:p w:rsidR="003E6650" w:rsidRDefault="00422BC0" w:rsidP="006964FF">
      <w:pPr>
        <w:jc w:val="both"/>
        <w:rPr>
          <w:rtl/>
        </w:rPr>
      </w:pPr>
      <w:r>
        <w:rPr>
          <w:rFonts w:hint="cs"/>
          <w:rtl/>
        </w:rPr>
        <w:t>روایات حق الماره را مرور می کردیم. رسیدیم به روایت عبد الله بن القاسم الجعفری. ر</w:t>
      </w:r>
      <w:r w:rsidR="00F0119D">
        <w:rPr>
          <w:rFonts w:hint="cs"/>
          <w:rtl/>
        </w:rPr>
        <w:t>وایت عبد الله بن القاسم الجعفری در محاسن،</w:t>
      </w:r>
      <w:r>
        <w:rPr>
          <w:rFonts w:hint="cs"/>
          <w:rtl/>
        </w:rPr>
        <w:t xml:space="preserve"> با احمد بن ابی عبد الله البرقی شروع می شود و او مستقیم از علی بن محمد قاسانی روایت می کند. اما کلینی به واسطه علی بن محمد بن عبد الله از احمد بن ابی عبد الله روایت کرده است. اکثار روایت کلینی وثاقت علی بن محمد بن عبد الله را اثبات می کند علاوه بر آنکه این روایت از کتاب محاسن اخذ شده و در موارد اخذ از کتب، بررسی سندی لازم ندارد. کتاب محاسن از کتب معروفی است که به طرق متعدد وارد شده و کلینی با اسناد مختلف از محاسن نقل می کند و از این جهت ابهام خاصی وجود ندارد. همچنین با وجود ورود این روایت در محاسن، نیازی به بحث درباره علی بن محمد بن عبد الله نیست. </w:t>
      </w:r>
    </w:p>
    <w:p w:rsidR="00422BC0" w:rsidRDefault="00422BC0" w:rsidP="006964FF">
      <w:pPr>
        <w:jc w:val="both"/>
        <w:rPr>
          <w:color w:val="008000"/>
          <w:rtl/>
        </w:rPr>
      </w:pPr>
      <w:r w:rsidRPr="00D22787">
        <w:rPr>
          <w:color w:val="008000"/>
          <w:rtl/>
        </w:rPr>
        <w:t>قَالَ: كَانَ النَّبِيُّ ص إِذَا بَلَغَتِ الثِّمَارُ أَمَرَ بِالْحِيطَانِ فَثُلِمَتْ.</w:t>
      </w:r>
      <w:r>
        <w:rPr>
          <w:rStyle w:val="FootnoteReference"/>
          <w:color w:val="008000"/>
          <w:rtl/>
        </w:rPr>
        <w:footnoteReference w:id="1"/>
      </w:r>
    </w:p>
    <w:p w:rsidR="00422BC0" w:rsidRDefault="00422BC0" w:rsidP="006964FF">
      <w:pPr>
        <w:jc w:val="both"/>
        <w:rPr>
          <w:rtl/>
        </w:rPr>
      </w:pPr>
      <w:r>
        <w:rPr>
          <w:rFonts w:hint="cs"/>
          <w:rtl/>
        </w:rPr>
        <w:t xml:space="preserve">پیامبر صلی الله علیه و آله دستور به سوراخ کردن دیوار می داد. با توجه به روایت دیگری که تصریح کرده دستور پیامبر ص لمکان الماره است، این روایت نیز از روایات حق الماره خواهد بود. </w:t>
      </w:r>
    </w:p>
    <w:p w:rsidR="00422BC0" w:rsidRDefault="00422BC0" w:rsidP="006964FF">
      <w:pPr>
        <w:jc w:val="both"/>
        <w:rPr>
          <w:rtl/>
        </w:rPr>
      </w:pPr>
      <w:r>
        <w:rPr>
          <w:rFonts w:hint="cs"/>
          <w:rtl/>
        </w:rPr>
        <w:t xml:space="preserve">روایتی را در سابق خواندیم اما درباره سند آن بحث نکردیم. </w:t>
      </w:r>
    </w:p>
    <w:p w:rsidR="00422BC0" w:rsidRDefault="00422BC0" w:rsidP="006964FF">
      <w:pPr>
        <w:pStyle w:val="Heading2"/>
        <w:jc w:val="both"/>
        <w:rPr>
          <w:rtl/>
        </w:rPr>
      </w:pPr>
      <w:bookmarkStart w:id="3" w:name="_Toc86640843"/>
      <w:r>
        <w:rPr>
          <w:rFonts w:hint="cs"/>
          <w:rtl/>
        </w:rPr>
        <w:t xml:space="preserve">روایت </w:t>
      </w:r>
      <w:r w:rsidR="00EC0654">
        <w:rPr>
          <w:rFonts w:hint="cs"/>
          <w:rtl/>
        </w:rPr>
        <w:t xml:space="preserve">ذیل روایت </w:t>
      </w:r>
      <w:r>
        <w:rPr>
          <w:rFonts w:hint="cs"/>
          <w:rtl/>
        </w:rPr>
        <w:t xml:space="preserve">چهارم: روایت </w:t>
      </w:r>
      <w:r w:rsidR="00EC0654">
        <w:rPr>
          <w:rFonts w:hint="cs"/>
          <w:rtl/>
        </w:rPr>
        <w:t>ابی الربیع الشامی</w:t>
      </w:r>
      <w:bookmarkEnd w:id="3"/>
      <w:r w:rsidR="00EC0654">
        <w:rPr>
          <w:rFonts w:hint="cs"/>
          <w:rtl/>
        </w:rPr>
        <w:t xml:space="preserve"> </w:t>
      </w:r>
      <w:r>
        <w:rPr>
          <w:rFonts w:hint="cs"/>
          <w:rtl/>
        </w:rPr>
        <w:t xml:space="preserve"> </w:t>
      </w:r>
    </w:p>
    <w:p w:rsidR="001A1EA5" w:rsidRDefault="00422BC0" w:rsidP="006964FF">
      <w:pPr>
        <w:jc w:val="both"/>
        <w:rPr>
          <w:rtl/>
        </w:rPr>
      </w:pPr>
      <w:r>
        <w:rPr>
          <w:rFonts w:hint="cs"/>
          <w:rtl/>
        </w:rPr>
        <w:t xml:space="preserve">ذیل روایت چهارم که روایت عبد الله بن سنان بود، </w:t>
      </w:r>
      <w:r w:rsidR="00EC0654">
        <w:rPr>
          <w:rFonts w:hint="cs"/>
          <w:rtl/>
        </w:rPr>
        <w:t xml:space="preserve">دو سند ذیلی ذکر شده است که درباره آن بحث نکردیم. یکی </w:t>
      </w:r>
      <w:r w:rsidR="00F0119D">
        <w:rPr>
          <w:rFonts w:hint="cs"/>
          <w:rtl/>
        </w:rPr>
        <w:t>روایت</w:t>
      </w:r>
      <w:r>
        <w:rPr>
          <w:rFonts w:hint="cs"/>
          <w:rtl/>
        </w:rPr>
        <w:t xml:space="preserve"> </w:t>
      </w:r>
      <w:r w:rsidR="00F0119D">
        <w:rPr>
          <w:rFonts w:hint="cs"/>
          <w:rtl/>
        </w:rPr>
        <w:t>از ابی الربیع الشامی نقل شده</w:t>
      </w:r>
      <w:r>
        <w:rPr>
          <w:rFonts w:hint="cs"/>
          <w:rtl/>
        </w:rPr>
        <w:t xml:space="preserve"> که باید آن را روایت مستقل تلقّی کرد. </w:t>
      </w:r>
    </w:p>
    <w:p w:rsidR="00EC0654" w:rsidRDefault="00EC0654" w:rsidP="006964FF">
      <w:pPr>
        <w:jc w:val="both"/>
        <w:rPr>
          <w:color w:val="008000"/>
          <w:rtl/>
        </w:rPr>
      </w:pPr>
      <w:r w:rsidRPr="00EC0654">
        <w:rPr>
          <w:color w:val="008000"/>
          <w:rtl/>
        </w:rPr>
        <w:lastRenderedPageBreak/>
        <w:t>مُحَمَّدُ بْنُ يَحْيَى عَنْ أَحْمَدَ بْنِ مُحَمَّدٍ عَنِ الْحَسَنِ بْنِ مَحْبُوبٍ عَنْ خَالِدِ بْنِ جَرِيرٍ عَنْ أَبِي الرَّبِيعِ الشَّامِيِّ عَنْ أَبِي عَبْدِ اللَّهِ ع نَحْوَهُ إِلَّا أَنَّهُ قَالَ وَ لَا يُفْسِدُ وَ لَا يَحْمِلُ.</w:t>
      </w:r>
      <w:r>
        <w:rPr>
          <w:rStyle w:val="FootnoteReference"/>
          <w:color w:val="008000"/>
          <w:rtl/>
        </w:rPr>
        <w:footnoteReference w:id="2"/>
      </w:r>
    </w:p>
    <w:p w:rsidR="00EC0654" w:rsidRDefault="00EC0654" w:rsidP="006964FF">
      <w:pPr>
        <w:jc w:val="both"/>
        <w:rPr>
          <w:rtl/>
        </w:rPr>
      </w:pPr>
      <w:r>
        <w:rPr>
          <w:rFonts w:hint="cs"/>
          <w:rtl/>
        </w:rPr>
        <w:t xml:space="preserve">محمد بن یحیی و احمد بن محمد بن عیسی و حسن بن محبوب بدون شک ثقه هستند. </w:t>
      </w:r>
    </w:p>
    <w:p w:rsidR="00EC0654" w:rsidRDefault="00EC0654" w:rsidP="006964FF">
      <w:pPr>
        <w:jc w:val="both"/>
        <w:rPr>
          <w:rtl/>
        </w:rPr>
      </w:pPr>
      <w:r>
        <w:rPr>
          <w:rFonts w:hint="cs"/>
          <w:rtl/>
        </w:rPr>
        <w:t xml:space="preserve">درباره خالد بن جریر در رجال کشی؛ ص: 346 </w:t>
      </w:r>
      <w:r w:rsidR="00F0119D">
        <w:rPr>
          <w:rFonts w:hint="cs"/>
          <w:rtl/>
        </w:rPr>
        <w:t>این عبارت</w:t>
      </w:r>
      <w:r>
        <w:rPr>
          <w:rFonts w:hint="cs"/>
          <w:rtl/>
        </w:rPr>
        <w:t xml:space="preserve"> نقل شده است:</w:t>
      </w:r>
    </w:p>
    <w:p w:rsidR="00EC0654" w:rsidRDefault="00EC0654" w:rsidP="006964FF">
      <w:pPr>
        <w:jc w:val="both"/>
        <w:rPr>
          <w:color w:val="000080"/>
          <w:rtl/>
        </w:rPr>
      </w:pPr>
      <w:r w:rsidRPr="00EC0654">
        <w:rPr>
          <w:color w:val="000080"/>
          <w:rtl/>
        </w:rPr>
        <w:t>مُحَمَّدُ بْنُ مَسْعُودٍ، قَالَ: سَأَلْتُ عَلِيَّ بْنَ الْحَسَنِ، عَنْ خَالِدِ بْنِ جَرِيرٍ الَّذِي يَرْوِي عَنْهُ الْحَسَنُ بْنُ مَحْبُوبٍ فَقَالَ كَانَ مِنْ بَجِيلَةَ وَ كَانَ صَالِحاً.</w:t>
      </w:r>
    </w:p>
    <w:p w:rsidR="00EC0654" w:rsidRDefault="00EC0654" w:rsidP="006964FF">
      <w:pPr>
        <w:jc w:val="both"/>
        <w:rPr>
          <w:rtl/>
        </w:rPr>
      </w:pPr>
      <w:r>
        <w:rPr>
          <w:rFonts w:hint="cs"/>
          <w:rtl/>
        </w:rPr>
        <w:t xml:space="preserve">گوینده این سخن علی بن حسن بن فضال </w:t>
      </w:r>
      <w:r w:rsidR="006D14A4">
        <w:rPr>
          <w:rFonts w:hint="cs"/>
          <w:rtl/>
        </w:rPr>
        <w:t>فطحی است و</w:t>
      </w:r>
      <w:r>
        <w:rPr>
          <w:rFonts w:hint="cs"/>
          <w:rtl/>
        </w:rPr>
        <w:t xml:space="preserve"> ممکن است کسی به این جهت ا</w:t>
      </w:r>
      <w:r w:rsidR="006D14A4">
        <w:rPr>
          <w:rFonts w:hint="cs"/>
          <w:rtl/>
        </w:rPr>
        <w:t>ین کلام را نپذیرد.</w:t>
      </w:r>
      <w:r>
        <w:rPr>
          <w:rFonts w:hint="cs"/>
          <w:rtl/>
        </w:rPr>
        <w:t xml:space="preserve"> اما به هر حال حسن بن محبوب فراوان از خالد بن جریر نقل می کند و همین برای وثاقت او کافی است. </w:t>
      </w:r>
    </w:p>
    <w:p w:rsidR="00EC0654" w:rsidRDefault="00EC0654" w:rsidP="006964FF">
      <w:pPr>
        <w:jc w:val="both"/>
        <w:rPr>
          <w:rtl/>
        </w:rPr>
      </w:pPr>
      <w:r>
        <w:rPr>
          <w:rFonts w:hint="cs"/>
          <w:rtl/>
        </w:rPr>
        <w:t>کان صالحا در تعبیر علی بن حسن بن فضال می تواند به یکی از دو معنا باشد:</w:t>
      </w:r>
    </w:p>
    <w:p w:rsidR="005F447B" w:rsidRDefault="00EC0654" w:rsidP="006964FF">
      <w:pPr>
        <w:pStyle w:val="ListParagraph"/>
        <w:numPr>
          <w:ilvl w:val="0"/>
          <w:numId w:val="16"/>
        </w:numPr>
        <w:jc w:val="both"/>
        <w:rPr>
          <w:rtl/>
        </w:rPr>
      </w:pPr>
      <w:r>
        <w:rPr>
          <w:rFonts w:hint="cs"/>
          <w:rtl/>
        </w:rPr>
        <w:t>صالحا به معنای عادلا باشد و از آن عدالت خالد بن جریر استفاده شود. اما چ</w:t>
      </w:r>
      <w:r w:rsidR="00F0119D">
        <w:rPr>
          <w:rFonts w:hint="cs"/>
          <w:rtl/>
        </w:rPr>
        <w:t>گونه از آن وثاقت استفاده می شود در حالی که</w:t>
      </w:r>
      <w:r>
        <w:rPr>
          <w:rFonts w:hint="cs"/>
          <w:rtl/>
        </w:rPr>
        <w:t xml:space="preserve"> در وثاقت علاوه بر </w:t>
      </w:r>
      <w:r w:rsidR="00F0119D">
        <w:rPr>
          <w:rFonts w:hint="cs"/>
          <w:rtl/>
        </w:rPr>
        <w:t>عدم تعمّد کذب، ضبط نیز لازم است؟</w:t>
      </w:r>
      <w:r>
        <w:rPr>
          <w:rFonts w:hint="cs"/>
          <w:rtl/>
        </w:rPr>
        <w:t xml:space="preserve"> برای اثبات ضبط، به اصل عقلایی تمسک می شود. ضبط به این معناست که خطای شخص بیش از متعارف نیست و اصل عقلایی این است که در موارد شک، حمل می شود که خطای شخص بیش از متعارف نیست. </w:t>
      </w:r>
      <w:r w:rsidR="006D14A4">
        <w:rPr>
          <w:rFonts w:hint="cs"/>
          <w:rtl/>
        </w:rPr>
        <w:t xml:space="preserve">اساسا اصل عدم خطا نیز </w:t>
      </w:r>
      <w:r w:rsidR="005F447B">
        <w:rPr>
          <w:rFonts w:hint="cs"/>
          <w:rtl/>
        </w:rPr>
        <w:t>با اصل ضبط از یک ریشه است و ریشه آنها اصل متعارف بودن انسان هاست. پس اگر صالحا به معنای عادلا باشد، مشکلی از این ناحیه نیست.</w:t>
      </w:r>
    </w:p>
    <w:p w:rsidR="00EC0654" w:rsidRDefault="005F447B" w:rsidP="006964FF">
      <w:pPr>
        <w:pStyle w:val="ListParagraph"/>
        <w:numPr>
          <w:ilvl w:val="0"/>
          <w:numId w:val="16"/>
        </w:numPr>
        <w:jc w:val="both"/>
      </w:pPr>
      <w:r>
        <w:rPr>
          <w:rFonts w:hint="cs"/>
          <w:rtl/>
        </w:rPr>
        <w:t>صالحا به معنای شایسته برای قبول روایت باشد که در این صورت در صالحا، ضبط نیز وجود دارد. چنانچه کلمه ثقه به این معناست. ثقه به معنای قابل اعتماد بودن است و اینکه روایات ا</w:t>
      </w:r>
      <w:r w:rsidR="00F0119D">
        <w:rPr>
          <w:rFonts w:hint="cs"/>
          <w:rtl/>
        </w:rPr>
        <w:t xml:space="preserve">و از جهت شرایط قبول مشکلی ندارد. </w:t>
      </w:r>
      <w:r>
        <w:rPr>
          <w:rFonts w:hint="cs"/>
          <w:rtl/>
        </w:rPr>
        <w:t xml:space="preserve">یکی از شرایط قبول، ضبط است. پس از کلمه ثقه، علاوه بر صدق گفتاری و عدم تعمّد کذب، عدم خطای زائد بر متعارف نیز استفاده می شود. </w:t>
      </w:r>
    </w:p>
    <w:p w:rsidR="005F447B" w:rsidRDefault="005F447B" w:rsidP="006964FF">
      <w:pPr>
        <w:jc w:val="both"/>
        <w:rPr>
          <w:rtl/>
        </w:rPr>
      </w:pPr>
      <w:r>
        <w:rPr>
          <w:rFonts w:hint="cs"/>
          <w:rtl/>
        </w:rPr>
        <w:t xml:space="preserve">ابی الربیع الشامی توثیق صریح ندارد ولی روایات زیادی دارد به خصوص خالد بن جریر زیاد از او روایت دارد. روایات خالد بن جریر از ابی الربیع شامی با حذف تکراری ها بیش از سی روایت </w:t>
      </w:r>
      <w:r w:rsidR="00F0119D">
        <w:rPr>
          <w:rFonts w:hint="cs"/>
          <w:rtl/>
        </w:rPr>
        <w:t>است</w:t>
      </w:r>
      <w:r>
        <w:rPr>
          <w:rFonts w:hint="cs"/>
          <w:rtl/>
        </w:rPr>
        <w:t xml:space="preserve"> و این مقدار برای توثیق ابی الربیع شامی کافی است. علاوه بر آنکه افراد دیگری نیز از ابی الربیع شامی روایت دارند.</w:t>
      </w:r>
    </w:p>
    <w:p w:rsidR="005F447B" w:rsidRDefault="005F447B" w:rsidP="006964FF">
      <w:pPr>
        <w:jc w:val="both"/>
        <w:rPr>
          <w:rtl/>
        </w:rPr>
      </w:pPr>
      <w:r>
        <w:rPr>
          <w:rFonts w:hint="cs"/>
          <w:rtl/>
        </w:rPr>
        <w:t xml:space="preserve">پس این روایت از جهت سندی مشکلی ندارد. </w:t>
      </w:r>
    </w:p>
    <w:p w:rsidR="005F447B" w:rsidRDefault="005F447B" w:rsidP="006964FF">
      <w:pPr>
        <w:pStyle w:val="Heading2"/>
        <w:jc w:val="both"/>
        <w:rPr>
          <w:rtl/>
        </w:rPr>
      </w:pPr>
      <w:bookmarkStart w:id="4" w:name="_Toc86640844"/>
      <w:r>
        <w:rPr>
          <w:rFonts w:hint="cs"/>
          <w:rtl/>
        </w:rPr>
        <w:lastRenderedPageBreak/>
        <w:t>روایت دیگری ذیل روایت چهارم: روایت عبد الله بن سنان</w:t>
      </w:r>
      <w:bookmarkEnd w:id="4"/>
      <w:r>
        <w:rPr>
          <w:rFonts w:hint="cs"/>
          <w:rtl/>
        </w:rPr>
        <w:t xml:space="preserve"> </w:t>
      </w:r>
    </w:p>
    <w:p w:rsidR="005F447B" w:rsidRDefault="00170F0D" w:rsidP="006964FF">
      <w:pPr>
        <w:jc w:val="both"/>
        <w:rPr>
          <w:rtl/>
        </w:rPr>
      </w:pPr>
      <w:r>
        <w:rPr>
          <w:rFonts w:hint="cs"/>
          <w:rtl/>
        </w:rPr>
        <w:t xml:space="preserve">سند دیگری ذیل روایت چهارم نقل شده که سند آن این است: </w:t>
      </w:r>
    </w:p>
    <w:p w:rsidR="00170F0D" w:rsidRDefault="00170F0D" w:rsidP="006964FF">
      <w:pPr>
        <w:jc w:val="both"/>
        <w:rPr>
          <w:color w:val="008000"/>
          <w:rtl/>
        </w:rPr>
      </w:pPr>
      <w:r w:rsidRPr="00170F0D">
        <w:rPr>
          <w:color w:val="008000"/>
          <w:rtl/>
        </w:rPr>
        <w:t>عَنْهُ عَنْ أَبِيهِ عَنْ يُونُسَ بْنِ عَبْدِ الرَّحْمَنِ عَنْ عَبْدِ اللَّهِ بْنِ سِنَانٍ عَنْ أَبِي عَبْدِ اللَّهِ ع قَالَ: لَا بَأْسَ بِالرَّجُلِ يَمُرُّ عَلَى الثَّمَرَةِ وَ يَأْكُلُ مِنْهَا وَ لَا يُفْسِدُ قَدْ نَهَى رَسُولُ اللَّهِ أَنْ تُبْنَى الْحِيطَانُ فَخَرِبَتْ لِمَكَانِ الْمَارَّةِ</w:t>
      </w:r>
      <w:r>
        <w:rPr>
          <w:rStyle w:val="FootnoteReference"/>
          <w:color w:val="008000"/>
          <w:rtl/>
        </w:rPr>
        <w:footnoteReference w:id="3"/>
      </w:r>
    </w:p>
    <w:p w:rsidR="00170F0D" w:rsidRDefault="00B94A83" w:rsidP="006964FF">
      <w:pPr>
        <w:jc w:val="both"/>
        <w:rPr>
          <w:color w:val="000080"/>
          <w:rtl/>
        </w:rPr>
      </w:pPr>
      <w:r>
        <w:rPr>
          <w:rFonts w:hint="cs"/>
          <w:rtl/>
        </w:rPr>
        <w:t xml:space="preserve">رجال نجاشی درباره محمد بن خالد برقی که پدر صاحب محاسن است، می نویسد: </w:t>
      </w:r>
      <w:r w:rsidRPr="00B94A83">
        <w:rPr>
          <w:color w:val="000080"/>
          <w:rtl/>
        </w:rPr>
        <w:t>و كان محمد ضعيفا في الحديث‏</w:t>
      </w:r>
      <w:r>
        <w:rPr>
          <w:rStyle w:val="FootnoteReference"/>
          <w:color w:val="000080"/>
          <w:rtl/>
        </w:rPr>
        <w:footnoteReference w:id="4"/>
      </w:r>
    </w:p>
    <w:p w:rsidR="00170F0D" w:rsidRDefault="00F0119D" w:rsidP="006964FF">
      <w:pPr>
        <w:jc w:val="both"/>
        <w:rPr>
          <w:rtl/>
        </w:rPr>
      </w:pPr>
      <w:r>
        <w:rPr>
          <w:rFonts w:hint="cs"/>
          <w:rtl/>
        </w:rPr>
        <w:t>از طرف مقابل در کلام شیخ طوسی، محمد بن خالد توثیق شده است.</w:t>
      </w:r>
      <w:r w:rsidR="00B94A83">
        <w:rPr>
          <w:rStyle w:val="FootnoteReference"/>
          <w:rtl/>
        </w:rPr>
        <w:footnoteReference w:id="5"/>
      </w:r>
      <w:r w:rsidR="00B94A83">
        <w:rPr>
          <w:rFonts w:hint="cs"/>
          <w:rtl/>
        </w:rPr>
        <w:t xml:space="preserve"> ما به قرینه توثیقی که در عبارات شیخ طوسی وارد شده، مراد از ضعیفا فی الحدیث را به این معنا می گیریم </w:t>
      </w:r>
      <w:r w:rsidR="00B94A83">
        <w:rPr>
          <w:rFonts w:ascii="Sakkal Majalla" w:hAnsi="Sakkal Majalla" w:cs="Sakkal Majalla" w:hint="cs"/>
          <w:rtl/>
        </w:rPr>
        <w:t>–</w:t>
      </w:r>
      <w:r w:rsidR="00B94A83">
        <w:rPr>
          <w:rFonts w:hint="cs"/>
          <w:rtl/>
        </w:rPr>
        <w:t xml:space="preserve"> اگر ذاتا معنای آن این نباشد - که ضعف در شیوه نقل روایات دارد و مثلا یروی عن الضعفا بوده است در حالی که متعارف را</w:t>
      </w:r>
      <w:r>
        <w:rPr>
          <w:rFonts w:hint="cs"/>
          <w:rtl/>
        </w:rPr>
        <w:t>ویان از ضعفا روایت نمی کردند.</w:t>
      </w:r>
      <w:r w:rsidR="00B94A83">
        <w:rPr>
          <w:rFonts w:hint="cs"/>
          <w:rtl/>
        </w:rPr>
        <w:t xml:space="preserve"> گروهی از راویان که بیشتر تاریخ نگار و مورّخ بودند، از راویان ضعیف نیز روایت می کردند. به تعبیر ابن الغضائری در ترجمه احمد بن محمد بن خالد: </w:t>
      </w:r>
      <w:r w:rsidR="00B94A83" w:rsidRPr="00B94A83">
        <w:rPr>
          <w:color w:val="000080"/>
          <w:rtl/>
        </w:rPr>
        <w:t>فإنه كان لا يبالي عمن يأخذ على طريقة أهل الأخبار</w:t>
      </w:r>
      <w:r w:rsidR="00B94A83">
        <w:rPr>
          <w:rStyle w:val="FootnoteReference"/>
          <w:color w:val="000080"/>
          <w:rtl/>
        </w:rPr>
        <w:footnoteReference w:id="6"/>
      </w:r>
      <w:r w:rsidR="00B94A83">
        <w:rPr>
          <w:rFonts w:hint="cs"/>
          <w:color w:val="000080"/>
          <w:rtl/>
        </w:rPr>
        <w:t xml:space="preserve"> </w:t>
      </w:r>
      <w:r w:rsidR="00B94A83" w:rsidRPr="00B94A83">
        <w:rPr>
          <w:rFonts w:hint="cs"/>
          <w:rtl/>
        </w:rPr>
        <w:t xml:space="preserve">مورّخین در نقلیات سعه مشرب داشتند و این سعه مشرب بر خلاف سبک </w:t>
      </w:r>
      <w:r w:rsidR="005A2D4E">
        <w:rPr>
          <w:rFonts w:hint="cs"/>
          <w:rtl/>
        </w:rPr>
        <w:t>فقها بوده که معمولا دقیق بودند.</w:t>
      </w:r>
      <w:r w:rsidR="005A2D4E">
        <w:rPr>
          <w:rStyle w:val="FootnoteReference"/>
          <w:rtl/>
        </w:rPr>
        <w:footnoteReference w:id="7"/>
      </w:r>
      <w:r w:rsidR="005A2D4E">
        <w:rPr>
          <w:rFonts w:hint="cs"/>
          <w:rtl/>
        </w:rPr>
        <w:t xml:space="preserve"> </w:t>
      </w:r>
    </w:p>
    <w:p w:rsidR="00F0119D" w:rsidRDefault="00F0119D" w:rsidP="006964FF">
      <w:pPr>
        <w:jc w:val="both"/>
        <w:rPr>
          <w:rtl/>
        </w:rPr>
      </w:pPr>
      <w:r>
        <w:rPr>
          <w:rFonts w:hint="cs"/>
          <w:rtl/>
        </w:rPr>
        <w:t>تفسیر «ضعیفا فی الحدیث» به این مبنا از باب جمع عرفی است و امکان دارد مطابق</w:t>
      </w:r>
      <w:r w:rsidR="005A2D4E">
        <w:rPr>
          <w:rFonts w:hint="cs"/>
          <w:rtl/>
        </w:rPr>
        <w:t xml:space="preserve"> مبنای شهید صدر </w:t>
      </w:r>
      <w:r>
        <w:rPr>
          <w:rFonts w:hint="cs"/>
          <w:rtl/>
        </w:rPr>
        <w:t xml:space="preserve">به آن اشکال وارد شود. شهید صدر </w:t>
      </w:r>
      <w:r w:rsidR="005A2D4E">
        <w:rPr>
          <w:rFonts w:hint="cs"/>
          <w:rtl/>
        </w:rPr>
        <w:t>در بحث</w:t>
      </w:r>
      <w:r>
        <w:rPr>
          <w:rFonts w:hint="cs"/>
          <w:rtl/>
        </w:rPr>
        <w:t xml:space="preserve"> جمع</w:t>
      </w:r>
      <w:r w:rsidR="005A2D4E">
        <w:rPr>
          <w:rFonts w:hint="cs"/>
          <w:rtl/>
        </w:rPr>
        <w:t xml:space="preserve"> عرفی می گویند: جمع عرفی مربوط به جایی است که دو کلام از یک نفر صادر شوند اما اگ</w:t>
      </w:r>
      <w:r>
        <w:rPr>
          <w:rFonts w:hint="cs"/>
          <w:rtl/>
        </w:rPr>
        <w:t>ر دو کلام از دو نفر صادر شود، بین</w:t>
      </w:r>
      <w:r w:rsidR="005A2D4E">
        <w:rPr>
          <w:rFonts w:hint="cs"/>
          <w:rtl/>
        </w:rPr>
        <w:t xml:space="preserve"> این دو جمع عرفی وجود ندارد. </w:t>
      </w:r>
    </w:p>
    <w:p w:rsidR="005A2D4E" w:rsidRDefault="00F0119D" w:rsidP="006964FF">
      <w:pPr>
        <w:jc w:val="both"/>
        <w:rPr>
          <w:rtl/>
        </w:rPr>
      </w:pPr>
      <w:r>
        <w:rPr>
          <w:rFonts w:hint="cs"/>
          <w:rtl/>
        </w:rPr>
        <w:t xml:space="preserve">اما </w:t>
      </w:r>
      <w:r w:rsidR="005A2D4E">
        <w:rPr>
          <w:rFonts w:hint="cs"/>
          <w:rtl/>
        </w:rPr>
        <w:t>به نظر ما این مبنا صحیح نیست و جمع عرفی اختصاص به جایی ندارد که</w:t>
      </w:r>
      <w:r>
        <w:rPr>
          <w:rFonts w:hint="cs"/>
          <w:rtl/>
        </w:rPr>
        <w:t xml:space="preserve"> دو</w:t>
      </w:r>
      <w:r w:rsidR="005A2D4E">
        <w:rPr>
          <w:rFonts w:hint="cs"/>
          <w:rtl/>
        </w:rPr>
        <w:t xml:space="preserve"> کلام از یک </w:t>
      </w:r>
      <w:r>
        <w:rPr>
          <w:rFonts w:hint="cs"/>
          <w:rtl/>
        </w:rPr>
        <w:t>متکلم</w:t>
      </w:r>
      <w:r w:rsidR="005A2D4E">
        <w:rPr>
          <w:rFonts w:hint="cs"/>
          <w:rtl/>
        </w:rPr>
        <w:t xml:space="preserve"> صادر شود. </w:t>
      </w:r>
      <w:r>
        <w:rPr>
          <w:rFonts w:hint="cs"/>
          <w:rtl/>
        </w:rPr>
        <w:t xml:space="preserve">بلکه </w:t>
      </w:r>
      <w:r w:rsidR="005A2D4E">
        <w:rPr>
          <w:rFonts w:hint="cs"/>
          <w:rtl/>
        </w:rPr>
        <w:t xml:space="preserve">عرف گاه گاهی </w:t>
      </w:r>
      <w:r>
        <w:rPr>
          <w:rFonts w:hint="cs"/>
          <w:rtl/>
        </w:rPr>
        <w:t xml:space="preserve">در </w:t>
      </w:r>
      <w:r w:rsidR="005A2D4E">
        <w:rPr>
          <w:rFonts w:hint="cs"/>
          <w:rtl/>
        </w:rPr>
        <w:t>دو کلامی که مربوط به یک موضوع است و مصبّ واحد دار</w:t>
      </w:r>
      <w:r>
        <w:rPr>
          <w:rFonts w:hint="cs"/>
          <w:rtl/>
        </w:rPr>
        <w:t>ن</w:t>
      </w:r>
      <w:r w:rsidR="005A2D4E">
        <w:rPr>
          <w:rFonts w:hint="cs"/>
          <w:rtl/>
        </w:rPr>
        <w:t>د، به قرینه</w:t>
      </w:r>
      <w:r>
        <w:rPr>
          <w:rFonts w:hint="cs"/>
          <w:rtl/>
        </w:rPr>
        <w:t xml:space="preserve"> یک کلام،</w:t>
      </w:r>
      <w:r w:rsidR="005A2D4E">
        <w:rPr>
          <w:rFonts w:hint="cs"/>
          <w:rtl/>
        </w:rPr>
        <w:t xml:space="preserve"> کلام دیگر را تفسیر می کند. دلیل آن نیز استغراب متضادّ بودن مطالب این دو نفر است. همین استغراب باعث می شود کلام یکی قرینه بر تصرف در ظهور کلام دیگر باشد. </w:t>
      </w:r>
    </w:p>
    <w:p w:rsidR="00AC2A6C" w:rsidRDefault="00AC2A6C" w:rsidP="006964FF">
      <w:pPr>
        <w:jc w:val="both"/>
        <w:rPr>
          <w:rtl/>
        </w:rPr>
      </w:pPr>
      <w:r>
        <w:rPr>
          <w:rFonts w:hint="cs"/>
          <w:rtl/>
        </w:rPr>
        <w:lastRenderedPageBreak/>
        <w:t xml:space="preserve">شهید صدر بر این نکته تکیه کرده و بر بسیاری از جمع های عرفی به علت متعدّد بودن متکلم، اشکال کرده است. در حالی که علما مکرّر بین کلام دو رجالی جمع می کنند و کلام یکی را شاهد بر دیگری قرار می دهند. همین نشان می دهد که مبنای متعارف در جمع عرفی، مبنایی نیست که شهدی صدر تصور کرده است. </w:t>
      </w:r>
    </w:p>
    <w:p w:rsidR="00F958D0" w:rsidRDefault="00F958D0" w:rsidP="006964FF">
      <w:pPr>
        <w:jc w:val="both"/>
        <w:rPr>
          <w:rtl/>
        </w:rPr>
      </w:pPr>
      <w:r>
        <w:rPr>
          <w:rFonts w:hint="cs"/>
          <w:rtl/>
        </w:rPr>
        <w:t xml:space="preserve">غیر از توثیق صریحی که محمد بن خالد برقی دارد، بزرگان آن دوره از او اکثار روایت دارند. تقریبا تمام بزرگان آن دوره از او اکثار روایت دارند به ویژه احمد بن محمد بن عیسی اشعری که شیخ اصلی او محمد بن خالد برقی است. ابراهیم بن هاشم از او اکثار روایت دارد. حسین بن سعید از محمد بن خالد روایاتی دارد که بنده در رساله ای در این باره بحث کردم که مراد از این محمد بن خالد، برقی است.  </w:t>
      </w:r>
    </w:p>
    <w:p w:rsidR="00F958D0" w:rsidRDefault="00F958D0" w:rsidP="006964FF">
      <w:pPr>
        <w:jc w:val="both"/>
        <w:rPr>
          <w:rtl/>
        </w:rPr>
      </w:pPr>
      <w:r>
        <w:rPr>
          <w:rFonts w:hint="cs"/>
          <w:rtl/>
        </w:rPr>
        <w:t xml:space="preserve">پس نباید در وثاقت محمد بن خالد برقی تردید کرد. </w:t>
      </w:r>
    </w:p>
    <w:p w:rsidR="00801255" w:rsidRDefault="00801255" w:rsidP="006964FF">
      <w:pPr>
        <w:pStyle w:val="Heading2"/>
        <w:jc w:val="both"/>
        <w:rPr>
          <w:rtl/>
        </w:rPr>
      </w:pPr>
      <w:bookmarkStart w:id="5" w:name="_Toc86640845"/>
      <w:r>
        <w:rPr>
          <w:rFonts w:hint="cs"/>
          <w:rtl/>
        </w:rPr>
        <w:t xml:space="preserve">روایت یازدهم:مرسله یونس </w:t>
      </w:r>
      <w:r w:rsidR="00F0119D">
        <w:rPr>
          <w:rFonts w:hint="cs"/>
          <w:rtl/>
        </w:rPr>
        <w:t>او غیره</w:t>
      </w:r>
      <w:bookmarkEnd w:id="5"/>
      <w:r w:rsidR="00F0119D">
        <w:rPr>
          <w:rFonts w:hint="cs"/>
          <w:rtl/>
        </w:rPr>
        <w:t xml:space="preserve"> </w:t>
      </w:r>
    </w:p>
    <w:p w:rsidR="00F958D0" w:rsidRDefault="00801255" w:rsidP="006964FF">
      <w:pPr>
        <w:jc w:val="both"/>
        <w:rPr>
          <w:color w:val="008000"/>
          <w:rtl/>
        </w:rPr>
      </w:pPr>
      <w:r w:rsidRPr="00801255">
        <w:rPr>
          <w:color w:val="008000"/>
          <w:rtl/>
        </w:rPr>
        <w:t>أَحْمَدُ بْنُ إِدْرِيسَ وَ غَيْرُهُ عَنْ مُحَمَّدِ بْنِ أَحْمَدَ عَنْ عَلِيِّ بْنِ الرَّيَّانِ عَنْ أَبِيهِ عَنْ يُونُسَ أَوْ غَيْرِهِ عَمَّنْ ذَكَرَهُ عَنْ أَبِي عَبْدِ اللَّهِ ع قَالَ: قُلْتُ لَهُ جُعِلْتُ فِدَاكَ بَلَغَنِي أَنَّكَ كُنْتَ تَفْعَلُ فِي غَلَّةِ عَيْنِ زِيَادٍ شَيْئاً وَ أَنَا أُحِبُّ أَنْ أَسْمَعَهُ مِنْكَ قَالَ فَقَالَ لِي نَعَمْ كُنْتُ آمُرُ إِذَا أَدْرَكَتِ الثَّمَرَةُ أَنْ يُثْلَمَ فِي حِيطَانِهَا الثُّلَمُ لِيَدْخُلَ النَّاسُ وَ يَأْكُلُوا وَ كُنْتُ آمُرُ فِي كُلِّ يَوْمٍ أَنْ يُوضَعَ عَشْرُ بُنَيَّاتٍ يَقْعُدُ عَلَى كُلِّ بُنَيَّةٍ عَشَرَةٌ كُلَّمَا أَكَلَ عَشَرَةٌ جَاءَ عَشَرَةٌ أُخْرَى يُلْقَى لِكُلِّ نَفْسٍ مِنْهُمْ مُدٌّ مِنْ رُطَبٍ وَ كُنْتُ آمُرُ لِجِيرَانِ الضَّيْعَةِ كُلِّهِمُ الشَّيْخِ وَ الْعَجُوزِ وَ الصَّبِيِّ وَ الْمَرِيضِ وَ الْمَرْأَةِ وَ مَنْ لَا يَقْدِرُ أَنْ يَجِي‏ءَ فَيَأْكُلَ مِنْهَا لِكُلِّ إِنْسَانٍ مِنْهُمْ مُدٌّ فَإِذَا كَانَ الْجَذَاذُ أَوْفَيْتُ الْقُوَّامَ وَ الْوُكَلَاءَ وَ الرِّجَالَ أُجْرَتَهُمْ وَ أَحْمِلُ الْبَاقِيَ إِلَى الْمَدِينَةِ فَفَرَّقْتُ فِي أَهْلِ الْبُيُوتَاتِ وَ الْمُسْتَحِقِّينَ الرَّاحِلَتَيْنِ وَ الثَّلَاثَةَ وَ الْأَقَلَّ وَ الْأَكْثَرَ عَلَى قَدْرِ اسْتِحْقَاقِهِمْ وَ حَصَلَ لِي بَعْدَ ذَلِكَ أَرْبَعُمِائَةِ دِينَارٍ وَ كَانَ غَلَّتُهَا أَرْبَعَةَ آلَافِ دِينَارٍ.</w:t>
      </w:r>
      <w:r>
        <w:rPr>
          <w:rStyle w:val="FootnoteReference"/>
          <w:color w:val="008000"/>
          <w:rtl/>
        </w:rPr>
        <w:footnoteReference w:id="8"/>
      </w:r>
      <w:r w:rsidRPr="00801255">
        <w:rPr>
          <w:rFonts w:hint="cs"/>
          <w:color w:val="008000"/>
          <w:rtl/>
        </w:rPr>
        <w:t xml:space="preserve"> </w:t>
      </w:r>
    </w:p>
    <w:p w:rsidR="00801255" w:rsidRDefault="00801255" w:rsidP="006964FF">
      <w:pPr>
        <w:jc w:val="both"/>
        <w:rPr>
          <w:rtl/>
        </w:rPr>
      </w:pPr>
      <w:r>
        <w:rPr>
          <w:rFonts w:hint="cs"/>
          <w:rtl/>
        </w:rPr>
        <w:t xml:space="preserve">علی بن الریان بن الصلب و ابیه که ریان بن صلت است، ثقه </w:t>
      </w:r>
      <w:r w:rsidR="00F0119D">
        <w:rPr>
          <w:rFonts w:hint="cs"/>
          <w:rtl/>
        </w:rPr>
        <w:t>هستند</w:t>
      </w:r>
      <w:r>
        <w:rPr>
          <w:rFonts w:hint="cs"/>
          <w:rtl/>
        </w:rPr>
        <w:t xml:space="preserve">. این روایت با واسطه «او غیره» مبهم است و به واسطه «عمن ذکره» مرسل است. در نتیجه از نظر سندی قابل اعتماد نیست. </w:t>
      </w:r>
    </w:p>
    <w:p w:rsidR="00801255" w:rsidRDefault="00801255" w:rsidP="006964FF">
      <w:pPr>
        <w:jc w:val="both"/>
        <w:rPr>
          <w:rtl/>
        </w:rPr>
      </w:pPr>
      <w:r>
        <w:rPr>
          <w:rFonts w:hint="cs"/>
          <w:rtl/>
        </w:rPr>
        <w:t>«عین زیاد» به معنای چشمه زیاد است و معمولا مزارع در کنار چشمه بودند و به نام چش</w:t>
      </w:r>
      <w:r w:rsidR="00F0119D">
        <w:rPr>
          <w:rFonts w:hint="cs"/>
          <w:rtl/>
        </w:rPr>
        <w:t>مه، شناخته می شدند که</w:t>
      </w:r>
      <w:r>
        <w:rPr>
          <w:rFonts w:hint="cs"/>
          <w:rtl/>
        </w:rPr>
        <w:t xml:space="preserve"> منطقه عین زیاد مربوط به امام صادق علیه السلام بوده است. </w:t>
      </w:r>
    </w:p>
    <w:p w:rsidR="00801255" w:rsidRDefault="00801255" w:rsidP="006964FF">
      <w:pPr>
        <w:jc w:val="both"/>
        <w:rPr>
          <w:rtl/>
        </w:rPr>
      </w:pPr>
      <w:r>
        <w:rPr>
          <w:rFonts w:hint="cs"/>
          <w:rtl/>
        </w:rPr>
        <w:t>نحوه خواندن «</w:t>
      </w:r>
      <w:r w:rsidRPr="00801255">
        <w:rPr>
          <w:rtl/>
        </w:rPr>
        <w:t>أَنْ يُثْلَمَ فِي حِيطَانِهَا</w:t>
      </w:r>
      <w:r>
        <w:rPr>
          <w:rFonts w:hint="cs"/>
          <w:rtl/>
        </w:rPr>
        <w:t xml:space="preserve"> الثُلَم» مانند «اذا مات المؤمن ثلُم فی الاسلام ثُلمه» است و هر گونه این تعبیر خوانده شد، این عبارت نیز خوانده می شود. </w:t>
      </w:r>
    </w:p>
    <w:p w:rsidR="00801255" w:rsidRDefault="00801255" w:rsidP="006964FF">
      <w:pPr>
        <w:jc w:val="both"/>
        <w:rPr>
          <w:rtl/>
        </w:rPr>
      </w:pPr>
      <w:r>
        <w:rPr>
          <w:rFonts w:hint="cs"/>
          <w:rtl/>
        </w:rPr>
        <w:lastRenderedPageBreak/>
        <w:t xml:space="preserve">در حاشیه جامع الاحادیث «بُنَیّات» را اینگونه معنا کرده است: </w:t>
      </w:r>
      <w:r w:rsidRPr="00801255">
        <w:rPr>
          <w:rFonts w:hint="cs"/>
          <w:color w:val="000080"/>
          <w:rtl/>
        </w:rPr>
        <w:t>بُنَیّه مصغّر البناء و هو کما فی النهایه النطع</w:t>
      </w:r>
      <w:r>
        <w:rPr>
          <w:rFonts w:hint="cs"/>
          <w:color w:val="000080"/>
          <w:rtl/>
        </w:rPr>
        <w:t xml:space="preserve">  </w:t>
      </w:r>
      <w:r w:rsidRPr="00801255">
        <w:rPr>
          <w:rFonts w:hint="cs"/>
          <w:rtl/>
        </w:rPr>
        <w:t>«ن</w:t>
      </w:r>
      <w:r w:rsidR="005806F7">
        <w:rPr>
          <w:rFonts w:hint="cs"/>
          <w:rtl/>
        </w:rPr>
        <w:t xml:space="preserve">ِطع» به معنای سفره های چرمین است. </w:t>
      </w:r>
    </w:p>
    <w:p w:rsidR="003B72B7" w:rsidRDefault="005806F7" w:rsidP="006964FF">
      <w:pPr>
        <w:jc w:val="both"/>
        <w:rPr>
          <w:rtl/>
        </w:rPr>
      </w:pPr>
      <w:r>
        <w:rPr>
          <w:rFonts w:hint="cs"/>
          <w:rtl/>
        </w:rPr>
        <w:t>مدّ پیمانه</w:t>
      </w:r>
      <w:r w:rsidR="00971788">
        <w:rPr>
          <w:rFonts w:hint="cs"/>
          <w:rtl/>
        </w:rPr>
        <w:t xml:space="preserve"> حجمی</w:t>
      </w:r>
      <w:r w:rsidR="00F0119D">
        <w:rPr>
          <w:rFonts w:hint="cs"/>
          <w:rtl/>
        </w:rPr>
        <w:t xml:space="preserve"> است نه یک واحد وزنی مشخص. در مدّ</w:t>
      </w:r>
      <w:r>
        <w:rPr>
          <w:rFonts w:hint="cs"/>
          <w:rtl/>
        </w:rPr>
        <w:t xml:space="preserve"> حدود 700 تا 800 گرم </w:t>
      </w:r>
      <w:r w:rsidR="00F0119D">
        <w:rPr>
          <w:rFonts w:hint="cs"/>
          <w:rtl/>
        </w:rPr>
        <w:t xml:space="preserve">حجا </w:t>
      </w:r>
      <w:r>
        <w:rPr>
          <w:rFonts w:hint="cs"/>
          <w:rtl/>
        </w:rPr>
        <w:t>می گرفته است. یکی از اشتباهاتی که در بحث کرّ و زکات و مانند آن رخ داده، این است که مدّ به عنوان واحد وزنی مشخص دانسته شده است. در حالی که مدّ پیمانه و واحد حجم است نه یک واحد وزنی مشخص</w:t>
      </w:r>
      <w:r w:rsidR="00971788">
        <w:rPr>
          <w:rFonts w:hint="cs"/>
          <w:rtl/>
        </w:rPr>
        <w:t>. مدّ</w:t>
      </w:r>
      <w:r>
        <w:rPr>
          <w:rFonts w:hint="cs"/>
          <w:rtl/>
        </w:rPr>
        <w:t xml:space="preserve"> متعارفا برای گندم استفاده می شده است.</w:t>
      </w:r>
      <w:r w:rsidR="003B72B7">
        <w:rPr>
          <w:rFonts w:hint="cs"/>
          <w:rtl/>
        </w:rPr>
        <w:t xml:space="preserve"> آب از گندم سنگین تر است و خرما اگر به هم چسبیده باشد وزن بیشتری از گندم دارد و اگر به هم چسبی</w:t>
      </w:r>
      <w:r w:rsidR="00F0119D">
        <w:rPr>
          <w:rFonts w:hint="cs"/>
          <w:rtl/>
        </w:rPr>
        <w:t>ده نباشد، مدّ آن سبک تر از گندم است.</w:t>
      </w:r>
    </w:p>
    <w:p w:rsidR="005806F7" w:rsidRDefault="005806F7" w:rsidP="006964FF">
      <w:pPr>
        <w:jc w:val="both"/>
        <w:rPr>
          <w:rtl/>
        </w:rPr>
      </w:pPr>
      <w:r>
        <w:rPr>
          <w:rFonts w:hint="cs"/>
          <w:rtl/>
        </w:rPr>
        <w:t xml:space="preserve">در این روایت بیان شده: سفره های چرمین پهن می شده و ده نفر ده نفر می آمدند </w:t>
      </w:r>
      <w:r w:rsidR="003B72B7">
        <w:rPr>
          <w:rFonts w:hint="cs"/>
          <w:rtl/>
        </w:rPr>
        <w:t xml:space="preserve">و سر سفره می نشستند و یک مدّ خرما می خوردند و حضرت علیه السلام دستور می داد که به همسایگانی که بر سر سفره حاضر نمی شدند نیز خرما داده شود. </w:t>
      </w:r>
    </w:p>
    <w:p w:rsidR="005806F7" w:rsidRDefault="00277597" w:rsidP="006964FF">
      <w:pPr>
        <w:jc w:val="both"/>
        <w:rPr>
          <w:rtl/>
        </w:rPr>
      </w:pPr>
      <w:r>
        <w:rPr>
          <w:rFonts w:hint="cs"/>
          <w:rtl/>
        </w:rPr>
        <w:t xml:space="preserve">«قُوّام» جمع «قائم» است و معمولا به معنای مسئول مالی شخص است و بنده در حال حاضر فرق بیان قائم و وکیل را مستحضر نیستم. به هر حال نیروهایی بودند که در مزرعه کار می کردند رجال، کارگران هستند و قوّام و وکلا نیروهای نظارتی بودند. </w:t>
      </w:r>
    </w:p>
    <w:p w:rsidR="006964FF" w:rsidRDefault="00952B3D" w:rsidP="006964FF">
      <w:pPr>
        <w:jc w:val="both"/>
        <w:rPr>
          <w:rtl/>
        </w:rPr>
      </w:pPr>
      <w:r>
        <w:rPr>
          <w:rFonts w:hint="cs"/>
          <w:rtl/>
        </w:rPr>
        <w:t xml:space="preserve">حضرت علیه السلام یک دهم را برای خود نگه می داشتند و نه دهم را صرف دیگران می کردند. </w:t>
      </w:r>
    </w:p>
    <w:p w:rsidR="00801255" w:rsidRDefault="00801255" w:rsidP="006964FF">
      <w:pPr>
        <w:jc w:val="both"/>
        <w:rPr>
          <w:rtl/>
        </w:rPr>
      </w:pPr>
      <w:r>
        <w:rPr>
          <w:rFonts w:hint="cs"/>
          <w:rtl/>
        </w:rPr>
        <w:t xml:space="preserve">به نظر می رسد از جهت متنی نمی توان به این روایت </w:t>
      </w:r>
      <w:r w:rsidR="006964FF">
        <w:rPr>
          <w:rFonts w:hint="cs"/>
          <w:rtl/>
        </w:rPr>
        <w:t xml:space="preserve">برای حق الماره </w:t>
      </w:r>
      <w:r>
        <w:rPr>
          <w:rFonts w:hint="cs"/>
          <w:rtl/>
        </w:rPr>
        <w:t xml:space="preserve">استناد کرد. زیرا راوی از امام صادق علیه السلام سوال می کند که شما چگونه رفتار می کنید؟ حضرت علیه السلام رفتار خودشان را ذکر می کنند و این دلیل نیست که چنین رفتاری واجب باشد و امکان دارد امام علیه السلام رفتار شخصی داشتند. بر خلاف جایی که پیامبر صلی الله علیه و آله دستور می داد دیگران این کار را انجام دهند. </w:t>
      </w:r>
      <w:r w:rsidR="003B72B7">
        <w:rPr>
          <w:rFonts w:hint="cs"/>
          <w:rtl/>
        </w:rPr>
        <w:t xml:space="preserve">در واقع حضرت علیه السلام تمام املاکی را که داشتند خرج مردم می کردند و امر شخصی امام علیه السلام است. </w:t>
      </w:r>
      <w:r w:rsidR="00952B3D">
        <w:rPr>
          <w:rFonts w:hint="cs"/>
          <w:rtl/>
        </w:rPr>
        <w:t xml:space="preserve">حداکثر حقی که برای فقرا وجود دارد، ده یک است در حالی که در این روایت بیان شده برای حضرت علیه السلام ده یک باقی می مانده و حضرت علیه السلام بقیه را خرج فقرا می کردند. </w:t>
      </w:r>
      <w:r w:rsidR="00971788">
        <w:rPr>
          <w:rFonts w:hint="cs"/>
          <w:rtl/>
        </w:rPr>
        <w:t>حتی حضرت علیه السلام به خصوص فقرا</w:t>
      </w:r>
      <w:r w:rsidR="006964FF">
        <w:rPr>
          <w:rFonts w:hint="cs"/>
          <w:rtl/>
        </w:rPr>
        <w:t xml:space="preserve"> و مستحقین نیز اطعام نمی کردند و دایره اطعام و انفاق ایشان گسترده تر بوده است. </w:t>
      </w:r>
    </w:p>
    <w:p w:rsidR="00971788" w:rsidRDefault="006269F8" w:rsidP="006964FF">
      <w:pPr>
        <w:jc w:val="both"/>
        <w:rPr>
          <w:rtl/>
        </w:rPr>
      </w:pPr>
      <w:r>
        <w:rPr>
          <w:rFonts w:hint="cs"/>
          <w:rtl/>
        </w:rPr>
        <w:t xml:space="preserve">در نتیجه این روایت ربطی به بحث حق الماره ندارد. </w:t>
      </w:r>
    </w:p>
    <w:p w:rsidR="006269F8" w:rsidRDefault="006269F8" w:rsidP="006964FF">
      <w:pPr>
        <w:pStyle w:val="Heading2"/>
        <w:jc w:val="both"/>
        <w:rPr>
          <w:rtl/>
        </w:rPr>
      </w:pPr>
      <w:bookmarkStart w:id="6" w:name="_Toc86640846"/>
      <w:r>
        <w:rPr>
          <w:rFonts w:hint="cs"/>
          <w:rtl/>
        </w:rPr>
        <w:lastRenderedPageBreak/>
        <w:t>روایت دوازدهم: روایت دعائم الاسلام</w:t>
      </w:r>
      <w:bookmarkEnd w:id="6"/>
      <w:r>
        <w:rPr>
          <w:rFonts w:hint="cs"/>
          <w:rtl/>
        </w:rPr>
        <w:t xml:space="preserve"> </w:t>
      </w:r>
    </w:p>
    <w:p w:rsidR="006269F8" w:rsidRPr="006269F8" w:rsidRDefault="006269F8" w:rsidP="006964FF">
      <w:pPr>
        <w:jc w:val="both"/>
        <w:rPr>
          <w:color w:val="008000"/>
          <w:rtl/>
        </w:rPr>
      </w:pPr>
      <w:r>
        <w:rPr>
          <w:rFonts w:hint="cs"/>
          <w:color w:val="008000"/>
          <w:rtl/>
        </w:rPr>
        <w:t>عن رسول الله صلی الله علیه و آله و سلّم</w:t>
      </w:r>
      <w:r w:rsidRPr="006269F8">
        <w:rPr>
          <w:color w:val="008000"/>
          <w:rtl/>
        </w:rPr>
        <w:t xml:space="preserve"> أَنَّهُ رَخَّصَ لِابْنِ السَّبِيلِ وَ الْجَائِعِ إِذَا مَرَّ بِالثَّمَرَةِ أَنْ يَتَنَاوَلَ مِنْهَا وَ نَهَى مِنْ أَجْلِ ذَلِكَ عَنْ أَنْ يُحَوَّطَ عَلَيْهَا وَ يُمْنَعَ وَ نَهَى ص الْآكِلَ مِنْهَا عَنِ الْفَسَادِ فِيهَا وَ تَنَاوُلِ مَا لَا يَحْتَاجُ إِلَيْهِ مِنْهَا وَ عَنْ أَنْ يَحْمِلَ شَيْئاً وَ إِنَّمَا أَبَاحَ ذَلِكَ لِلْمُضْطَرِّ.</w:t>
      </w:r>
      <w:r>
        <w:rPr>
          <w:rStyle w:val="FootnoteReference"/>
          <w:color w:val="008000"/>
          <w:rtl/>
        </w:rPr>
        <w:footnoteReference w:id="9"/>
      </w:r>
    </w:p>
    <w:p w:rsidR="006269F8" w:rsidRDefault="006269F8" w:rsidP="006964FF">
      <w:pPr>
        <w:jc w:val="both"/>
        <w:rPr>
          <w:rtl/>
        </w:rPr>
      </w:pPr>
      <w:r>
        <w:rPr>
          <w:rFonts w:hint="cs"/>
          <w:rtl/>
        </w:rPr>
        <w:t>دعائم الاسلام</w:t>
      </w:r>
      <w:r w:rsidR="006964FF">
        <w:rPr>
          <w:rFonts w:hint="cs"/>
          <w:rtl/>
        </w:rPr>
        <w:t xml:space="preserve"> از نظر سندی</w:t>
      </w:r>
      <w:r>
        <w:rPr>
          <w:rFonts w:hint="cs"/>
          <w:rtl/>
        </w:rPr>
        <w:t xml:space="preserve"> قابل استناد نیست. </w:t>
      </w:r>
    </w:p>
    <w:p w:rsidR="006269F8" w:rsidRDefault="0057378B" w:rsidP="006964FF">
      <w:pPr>
        <w:jc w:val="both"/>
        <w:rPr>
          <w:rtl/>
        </w:rPr>
      </w:pPr>
      <w:r>
        <w:rPr>
          <w:rFonts w:hint="cs"/>
          <w:rtl/>
        </w:rPr>
        <w:t>در این روایت به ابن سبیل و جائع ترخیص داده شده است. ابن سبیل کسی است که در راه مانده و نیازمند است و جایع نیز گرسنه است. پس از این روایت، حالت ضرورت استفاده می شود در حالی که در برخی از روایات تصریح داشت که</w:t>
      </w:r>
      <w:r w:rsidR="006964FF">
        <w:rPr>
          <w:rFonts w:hint="cs"/>
          <w:rtl/>
        </w:rPr>
        <w:t xml:space="preserve"> بدون ضرورت</w:t>
      </w:r>
      <w:r>
        <w:rPr>
          <w:rFonts w:hint="cs"/>
          <w:rtl/>
        </w:rPr>
        <w:t xml:space="preserve"> </w:t>
      </w:r>
      <w:r w:rsidR="006964FF">
        <w:rPr>
          <w:rFonts w:hint="cs"/>
          <w:rtl/>
        </w:rPr>
        <w:t xml:space="preserve">و تنها به علت هوس کردن، خوردن از میوه ها جایز است. </w:t>
      </w:r>
      <w:r>
        <w:rPr>
          <w:rFonts w:hint="cs"/>
          <w:rtl/>
        </w:rPr>
        <w:t xml:space="preserve">از مجموع روایات مسلّم است که اهل ضرورت مانند مضطرّ و جایع می توانند از میوه ها بخورند و این مطلب در تمام روایات تقریبا مشترک است. تنها بحث درباره حالت اختیار است که آیا اکل جایز است؟ </w:t>
      </w:r>
    </w:p>
    <w:p w:rsidR="0091201E" w:rsidRDefault="0057378B" w:rsidP="006964FF">
      <w:pPr>
        <w:jc w:val="both"/>
        <w:rPr>
          <w:rtl/>
        </w:rPr>
      </w:pPr>
      <w:r w:rsidRPr="006269F8">
        <w:rPr>
          <w:color w:val="008000"/>
          <w:rtl/>
        </w:rPr>
        <w:t>وَ نَهَى مِنْ أَجْلِ ذَلِكَ عَنْ أَنْ يُحَوَّطَ عَلَيْهَا وَ يُمْنَعَ</w:t>
      </w:r>
      <w:r>
        <w:rPr>
          <w:rFonts w:hint="cs"/>
          <w:rtl/>
        </w:rPr>
        <w:t xml:space="preserve"> </w:t>
      </w:r>
      <w:r w:rsidR="0091201E">
        <w:rPr>
          <w:rFonts w:hint="cs"/>
          <w:rtl/>
        </w:rPr>
        <w:t xml:space="preserve">باعث می شود که استدلال به روایاتی که پیامبر صلی الله علیه و آله دستور به سوراخ کردن دیوار می دادند و در آن تعلیل وجود ندارد، مشکل شود زیرا ممکن است علت دستور پیامبر ص برای مارّه مضطرّ باشد نه هر ماره ای. البته در برخی از روایات تصریح به تعلیل شده و بیان شده: لمکان المارّه. امکان دارد از اطلاق این تعلیل، جواز اکل حتی برای غیر مضطرّ ثابت شود. به همین جهت روایاتی مانند روایت عبد الله بن القاسم الجعفری که در آن وارد شده: </w:t>
      </w:r>
      <w:r w:rsidR="0091201E" w:rsidRPr="00D22787">
        <w:rPr>
          <w:color w:val="008000"/>
          <w:rtl/>
        </w:rPr>
        <w:t>إِذَا بَلَغَتِ الثِّمَارُ أَمَرَ بِالْحِيطَانِ فَثُلِمَتْ</w:t>
      </w:r>
      <w:r w:rsidR="0091201E">
        <w:rPr>
          <w:rFonts w:hint="cs"/>
          <w:color w:val="008000"/>
          <w:rtl/>
        </w:rPr>
        <w:t xml:space="preserve"> </w:t>
      </w:r>
      <w:r w:rsidR="0091201E" w:rsidRPr="0091201E">
        <w:rPr>
          <w:rFonts w:hint="cs"/>
          <w:rtl/>
        </w:rPr>
        <w:t>صلاحیت اس</w:t>
      </w:r>
      <w:r w:rsidR="006964FF">
        <w:rPr>
          <w:rFonts w:hint="cs"/>
          <w:rtl/>
        </w:rPr>
        <w:t>تدلال برای جواز اکل مطلق مارّه را ن</w:t>
      </w:r>
      <w:r w:rsidR="0091201E" w:rsidRPr="0091201E">
        <w:rPr>
          <w:rFonts w:hint="cs"/>
          <w:rtl/>
        </w:rPr>
        <w:t>دارد.</w:t>
      </w:r>
    </w:p>
    <w:p w:rsidR="0091201E" w:rsidRDefault="002C58F6" w:rsidP="006964FF">
      <w:pPr>
        <w:jc w:val="both"/>
        <w:rPr>
          <w:rtl/>
        </w:rPr>
      </w:pPr>
      <w:r>
        <w:rPr>
          <w:rFonts w:hint="cs"/>
          <w:rtl/>
        </w:rPr>
        <w:t xml:space="preserve">سوال: آیا از تعبیر «نهی من اجل ذلک» استفاده نمی شود که اجتهاد قاضی نعمان بوده است؟ </w:t>
      </w:r>
    </w:p>
    <w:p w:rsidR="007E022D" w:rsidRDefault="002C58F6" w:rsidP="006964FF">
      <w:pPr>
        <w:jc w:val="both"/>
        <w:rPr>
          <w:rtl/>
        </w:rPr>
      </w:pPr>
      <w:r>
        <w:rPr>
          <w:rFonts w:hint="cs"/>
          <w:rtl/>
        </w:rPr>
        <w:t xml:space="preserve">پاسخ: </w:t>
      </w:r>
      <w:r w:rsidR="007E022D">
        <w:rPr>
          <w:rFonts w:hint="cs"/>
          <w:rtl/>
        </w:rPr>
        <w:t xml:space="preserve">ظاهرا با توجه به استناد به رسول الله صلی الله علیه و آله </w:t>
      </w:r>
      <w:r w:rsidR="006964FF">
        <w:rPr>
          <w:rFonts w:hint="cs"/>
          <w:rtl/>
        </w:rPr>
        <w:t xml:space="preserve">از ایشان مستقیم نقل می کند. همچنین </w:t>
      </w:r>
      <w:r w:rsidR="007E022D">
        <w:rPr>
          <w:rFonts w:hint="cs"/>
          <w:rtl/>
        </w:rPr>
        <w:t>در یک روایتی از امام صادق علیه</w:t>
      </w:r>
      <w:r w:rsidR="006964FF">
        <w:rPr>
          <w:rFonts w:hint="cs"/>
          <w:rtl/>
        </w:rPr>
        <w:t xml:space="preserve"> السلام نیز همین تعبیر وارد شده که</w:t>
      </w:r>
      <w:r w:rsidR="007E022D">
        <w:rPr>
          <w:rFonts w:hint="cs"/>
          <w:rtl/>
        </w:rPr>
        <w:t xml:space="preserve"> نشان می دهد صاحب دعائم الاسلام به این روایت عمل می کند نه روایاتی که حق الماره را به صورت مطلق ثابت کرده است. </w:t>
      </w:r>
    </w:p>
    <w:p w:rsidR="00C54B93" w:rsidRDefault="007E022D" w:rsidP="006964FF">
      <w:pPr>
        <w:jc w:val="both"/>
        <w:rPr>
          <w:rtl/>
        </w:rPr>
      </w:pPr>
      <w:r>
        <w:rPr>
          <w:rFonts w:hint="cs"/>
          <w:rtl/>
        </w:rPr>
        <w:t xml:space="preserve">در ذیل روایت تأکید شده که حق الماره در ظرف اضطرار است نه در ظرف اختیار. </w:t>
      </w:r>
    </w:p>
    <w:p w:rsidR="00C54B93" w:rsidRDefault="00C54B93" w:rsidP="006964FF">
      <w:pPr>
        <w:pStyle w:val="Heading2"/>
        <w:jc w:val="both"/>
        <w:rPr>
          <w:rtl/>
        </w:rPr>
      </w:pPr>
      <w:bookmarkStart w:id="7" w:name="_Toc86640847"/>
      <w:r>
        <w:rPr>
          <w:rFonts w:hint="cs"/>
          <w:rtl/>
        </w:rPr>
        <w:lastRenderedPageBreak/>
        <w:t>روایت سیزدهم: حدیث اسلام سلمان</w:t>
      </w:r>
      <w:bookmarkEnd w:id="7"/>
    </w:p>
    <w:p w:rsidR="002C58F6" w:rsidRDefault="00C54B93" w:rsidP="006964FF">
      <w:pPr>
        <w:jc w:val="both"/>
        <w:rPr>
          <w:rtl/>
        </w:rPr>
      </w:pPr>
      <w:r>
        <w:rPr>
          <w:rFonts w:hint="cs"/>
          <w:rtl/>
        </w:rPr>
        <w:t>روایت</w:t>
      </w:r>
      <w:r w:rsidR="006964FF">
        <w:rPr>
          <w:rFonts w:hint="cs"/>
          <w:rtl/>
        </w:rPr>
        <w:t xml:space="preserve"> حدیث اسلام سلمان</w:t>
      </w:r>
      <w:r>
        <w:rPr>
          <w:rFonts w:hint="cs"/>
          <w:rtl/>
        </w:rPr>
        <w:t xml:space="preserve"> نیز قابل استناد نیست زیرا روایت خاصی درباره اسلام سلمان است که عده ای بودند که حضرت علیه السلام به آنها اجازه داد از ح</w:t>
      </w:r>
      <w:r w:rsidR="006964FF">
        <w:rPr>
          <w:rFonts w:hint="cs"/>
          <w:rtl/>
        </w:rPr>
        <w:t>َ</w:t>
      </w:r>
      <w:r>
        <w:rPr>
          <w:rFonts w:hint="cs"/>
          <w:rtl/>
        </w:rPr>
        <w:t>ش</w:t>
      </w:r>
      <w:r w:rsidR="006964FF">
        <w:rPr>
          <w:rFonts w:hint="cs"/>
          <w:rtl/>
        </w:rPr>
        <w:t>َ</w:t>
      </w:r>
      <w:r>
        <w:rPr>
          <w:rFonts w:hint="cs"/>
          <w:rtl/>
        </w:rPr>
        <w:t xml:space="preserve">ف بخورند. حشف خرماهای خشکی است که روی زمین ریخته می شود و ردیء و پست است و متعارفا صاحبان خرما، راضی به استفاده از آنها هستند. به همین دلیل روایت نسبت به صورت نهی مالک، اطلاق ندارد. تنها در این موارد ظهور حالی نوعی بر رضایت وجود دارد و ممکن است شارع مقدس به همین ظهور حالی نوعی برای جواز استفاده اکتفا کرده باشد. این احتمال نیز وجود دارد که به علت مضطر بودن آنها، حضرت تجویز داده باشند. در نتیجه این روایت دلیل نیست </w:t>
      </w:r>
      <w:r w:rsidR="006964FF">
        <w:rPr>
          <w:rFonts w:hint="cs"/>
          <w:rtl/>
        </w:rPr>
        <w:t xml:space="preserve">اما با این حال آن را می خوانیم: </w:t>
      </w:r>
      <w:r>
        <w:rPr>
          <w:rFonts w:hint="cs"/>
          <w:rtl/>
        </w:rPr>
        <w:t xml:space="preserve"> </w:t>
      </w:r>
    </w:p>
    <w:p w:rsidR="006B59CF" w:rsidRPr="006B59CF" w:rsidRDefault="006B59CF" w:rsidP="006964FF">
      <w:pPr>
        <w:jc w:val="both"/>
        <w:rPr>
          <w:color w:val="008000"/>
          <w:rtl/>
        </w:rPr>
      </w:pPr>
      <w:r w:rsidRPr="006B59CF">
        <w:rPr>
          <w:rFonts w:hint="cs"/>
          <w:color w:val="008000"/>
          <w:rtl/>
        </w:rPr>
        <w:t>حَدَّثَنَا</w:t>
      </w:r>
      <w:r w:rsidRPr="006B59CF">
        <w:rPr>
          <w:color w:val="008000"/>
          <w:rtl/>
        </w:rPr>
        <w:t xml:space="preserve"> </w:t>
      </w:r>
      <w:r w:rsidRPr="006B59CF">
        <w:rPr>
          <w:rFonts w:hint="cs"/>
          <w:color w:val="008000"/>
          <w:rtl/>
        </w:rPr>
        <w:t>أَبِي</w:t>
      </w:r>
      <w:r w:rsidRPr="006B59CF">
        <w:rPr>
          <w:color w:val="008000"/>
          <w:rtl/>
        </w:rPr>
        <w:t xml:space="preserve"> </w:t>
      </w:r>
      <w:r w:rsidRPr="006B59CF">
        <w:rPr>
          <w:rFonts w:hint="cs"/>
          <w:color w:val="008000"/>
          <w:rtl/>
        </w:rPr>
        <w:t>رَضِيَ</w:t>
      </w:r>
      <w:r w:rsidRPr="006B59CF">
        <w:rPr>
          <w:color w:val="008000"/>
          <w:rtl/>
        </w:rPr>
        <w:t xml:space="preserve"> </w:t>
      </w:r>
      <w:r w:rsidRPr="006B59CF">
        <w:rPr>
          <w:rFonts w:hint="cs"/>
          <w:color w:val="008000"/>
          <w:rtl/>
        </w:rPr>
        <w:t>اللَّهُ</w:t>
      </w:r>
      <w:r w:rsidRPr="006B59CF">
        <w:rPr>
          <w:color w:val="008000"/>
          <w:rtl/>
        </w:rPr>
        <w:t xml:space="preserve"> </w:t>
      </w:r>
      <w:r w:rsidRPr="006B59CF">
        <w:rPr>
          <w:rFonts w:hint="cs"/>
          <w:color w:val="008000"/>
          <w:rtl/>
        </w:rPr>
        <w:t>عَنْهُ</w:t>
      </w:r>
      <w:r w:rsidRPr="006B59CF">
        <w:rPr>
          <w:color w:val="008000"/>
          <w:rtl/>
        </w:rPr>
        <w:t xml:space="preserve"> </w:t>
      </w:r>
      <w:r w:rsidRPr="006B59CF">
        <w:rPr>
          <w:rFonts w:hint="cs"/>
          <w:color w:val="008000"/>
          <w:rtl/>
        </w:rPr>
        <w:t>قَالَ</w:t>
      </w:r>
      <w:r w:rsidRPr="006B59CF">
        <w:rPr>
          <w:color w:val="008000"/>
          <w:rtl/>
        </w:rPr>
        <w:t xml:space="preserve"> </w:t>
      </w:r>
      <w:r w:rsidRPr="006B59CF">
        <w:rPr>
          <w:rFonts w:hint="cs"/>
          <w:color w:val="008000"/>
          <w:rtl/>
        </w:rPr>
        <w:t>حَدَّثَنَا</w:t>
      </w:r>
      <w:r w:rsidRPr="006B59CF">
        <w:rPr>
          <w:color w:val="008000"/>
          <w:rtl/>
        </w:rPr>
        <w:t xml:space="preserve"> </w:t>
      </w:r>
      <w:r w:rsidRPr="006B59CF">
        <w:rPr>
          <w:rFonts w:hint="cs"/>
          <w:color w:val="008000"/>
          <w:rtl/>
        </w:rPr>
        <w:t>مُحَمَّدُ</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يَحْيَى</w:t>
      </w:r>
      <w:r w:rsidRPr="006B59CF">
        <w:rPr>
          <w:color w:val="008000"/>
          <w:rtl/>
        </w:rPr>
        <w:t xml:space="preserve"> </w:t>
      </w:r>
      <w:r w:rsidRPr="006B59CF">
        <w:rPr>
          <w:rFonts w:hint="cs"/>
          <w:color w:val="008000"/>
          <w:rtl/>
        </w:rPr>
        <w:t>الْعَطَّارُ</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أَحْمَدُ</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إِدْرِيسَ</w:t>
      </w:r>
      <w:r w:rsidRPr="006B59CF">
        <w:rPr>
          <w:color w:val="008000"/>
          <w:rtl/>
        </w:rPr>
        <w:t xml:space="preserve"> </w:t>
      </w:r>
      <w:r w:rsidRPr="006B59CF">
        <w:rPr>
          <w:rFonts w:hint="cs"/>
          <w:color w:val="008000"/>
          <w:rtl/>
        </w:rPr>
        <w:t>جَمِيعاً</w:t>
      </w:r>
      <w:r w:rsidRPr="006B59CF">
        <w:rPr>
          <w:color w:val="008000"/>
          <w:rtl/>
        </w:rPr>
        <w:t xml:space="preserve"> </w:t>
      </w:r>
      <w:r w:rsidRPr="006B59CF">
        <w:rPr>
          <w:rFonts w:hint="cs"/>
          <w:color w:val="008000"/>
          <w:rtl/>
        </w:rPr>
        <w:t>عَنْ</w:t>
      </w:r>
      <w:r w:rsidRPr="006B59CF">
        <w:rPr>
          <w:color w:val="008000"/>
          <w:rtl/>
        </w:rPr>
        <w:t xml:space="preserve"> </w:t>
      </w:r>
      <w:r w:rsidRPr="006B59CF">
        <w:rPr>
          <w:rFonts w:hint="cs"/>
          <w:color w:val="008000"/>
          <w:rtl/>
        </w:rPr>
        <w:t>أَحْمَدَ</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مُحَمَّدِ</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عِيسَى</w:t>
      </w:r>
      <w:r w:rsidRPr="006B59CF">
        <w:rPr>
          <w:color w:val="008000"/>
          <w:rtl/>
        </w:rPr>
        <w:t xml:space="preserve"> </w:t>
      </w:r>
      <w:r w:rsidRPr="006B59CF">
        <w:rPr>
          <w:rFonts w:hint="cs"/>
          <w:color w:val="008000"/>
          <w:rtl/>
        </w:rPr>
        <w:t>عَنْ</w:t>
      </w:r>
      <w:r w:rsidRPr="006B59CF">
        <w:rPr>
          <w:color w:val="008000"/>
          <w:rtl/>
        </w:rPr>
        <w:t xml:space="preserve"> </w:t>
      </w:r>
      <w:r w:rsidRPr="006B59CF">
        <w:rPr>
          <w:rFonts w:hint="cs"/>
          <w:color w:val="008000"/>
          <w:rtl/>
        </w:rPr>
        <w:t>مُحَمَّدِ</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عَلِيِّ</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مَهْزِيَارَ</w:t>
      </w:r>
      <w:r w:rsidRPr="006B59CF">
        <w:rPr>
          <w:color w:val="008000"/>
          <w:rtl/>
        </w:rPr>
        <w:t xml:space="preserve"> </w:t>
      </w:r>
      <w:r w:rsidRPr="006B59CF">
        <w:rPr>
          <w:rFonts w:hint="cs"/>
          <w:color w:val="008000"/>
          <w:rtl/>
        </w:rPr>
        <w:t>عَنْ</w:t>
      </w:r>
      <w:r w:rsidRPr="006B59CF">
        <w:rPr>
          <w:color w:val="008000"/>
          <w:rtl/>
        </w:rPr>
        <w:t xml:space="preserve"> </w:t>
      </w:r>
      <w:r w:rsidRPr="006B59CF">
        <w:rPr>
          <w:rFonts w:hint="cs"/>
          <w:color w:val="008000"/>
          <w:rtl/>
        </w:rPr>
        <w:t>أَبِيهِ</w:t>
      </w:r>
      <w:r w:rsidRPr="006B59CF">
        <w:rPr>
          <w:color w:val="008000"/>
          <w:rtl/>
        </w:rPr>
        <w:t xml:space="preserve"> </w:t>
      </w:r>
      <w:r w:rsidRPr="006B59CF">
        <w:rPr>
          <w:rFonts w:hint="cs"/>
          <w:color w:val="008000"/>
          <w:rtl/>
        </w:rPr>
        <w:t>عَمَّنْ</w:t>
      </w:r>
      <w:r w:rsidRPr="006B59CF">
        <w:rPr>
          <w:color w:val="008000"/>
          <w:rtl/>
        </w:rPr>
        <w:t xml:space="preserve"> </w:t>
      </w:r>
      <w:r w:rsidRPr="006B59CF">
        <w:rPr>
          <w:rFonts w:hint="cs"/>
          <w:color w:val="008000"/>
          <w:rtl/>
        </w:rPr>
        <w:t>ذَكَرَهُ</w:t>
      </w:r>
      <w:r w:rsidRPr="006B59CF">
        <w:rPr>
          <w:color w:val="008000"/>
          <w:rtl/>
        </w:rPr>
        <w:t xml:space="preserve"> </w:t>
      </w:r>
      <w:r w:rsidRPr="006B59CF">
        <w:rPr>
          <w:rFonts w:hint="cs"/>
          <w:color w:val="008000"/>
          <w:rtl/>
        </w:rPr>
        <w:t>عَنْ</w:t>
      </w:r>
      <w:r w:rsidRPr="006B59CF">
        <w:rPr>
          <w:color w:val="008000"/>
          <w:rtl/>
        </w:rPr>
        <w:t xml:space="preserve"> </w:t>
      </w:r>
      <w:r w:rsidRPr="006B59CF">
        <w:rPr>
          <w:rFonts w:hint="cs"/>
          <w:color w:val="008000"/>
          <w:rtl/>
        </w:rPr>
        <w:t>مُوسَى</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جَعْفَرٍ</w:t>
      </w:r>
      <w:r w:rsidRPr="006B59CF">
        <w:rPr>
          <w:color w:val="008000"/>
          <w:rtl/>
        </w:rPr>
        <w:t xml:space="preserve"> </w:t>
      </w:r>
      <w:r w:rsidRPr="006B59CF">
        <w:rPr>
          <w:rFonts w:hint="cs"/>
          <w:color w:val="008000"/>
          <w:rtl/>
        </w:rPr>
        <w:t>ع</w:t>
      </w:r>
      <w:r w:rsidRPr="006B59CF">
        <w:rPr>
          <w:color w:val="008000"/>
          <w:rtl/>
        </w:rPr>
        <w:t xml:space="preserve"> </w:t>
      </w:r>
      <w:r w:rsidRPr="006B59CF">
        <w:rPr>
          <w:rFonts w:hint="cs"/>
          <w:color w:val="008000"/>
          <w:rtl/>
        </w:rPr>
        <w:t>قَال‏ (فی حدیث اسلام سلمان الی ان قال) أَنَا</w:t>
      </w:r>
      <w:r w:rsidRPr="006B59CF">
        <w:rPr>
          <w:color w:val="008000"/>
          <w:rtl/>
        </w:rPr>
        <w:t xml:space="preserve"> </w:t>
      </w:r>
      <w:r w:rsidRPr="006B59CF">
        <w:rPr>
          <w:rFonts w:hint="cs"/>
          <w:color w:val="008000"/>
          <w:rtl/>
        </w:rPr>
        <w:t>ذَاتَ</w:t>
      </w:r>
      <w:r w:rsidRPr="006B59CF">
        <w:rPr>
          <w:color w:val="008000"/>
          <w:rtl/>
        </w:rPr>
        <w:t xml:space="preserve"> </w:t>
      </w:r>
      <w:r w:rsidRPr="006B59CF">
        <w:rPr>
          <w:rFonts w:hint="cs"/>
          <w:color w:val="008000"/>
          <w:rtl/>
        </w:rPr>
        <w:t>يَوْمٍ</w:t>
      </w:r>
      <w:r w:rsidRPr="006B59CF">
        <w:rPr>
          <w:color w:val="008000"/>
          <w:rtl/>
        </w:rPr>
        <w:t xml:space="preserve"> </w:t>
      </w:r>
      <w:r w:rsidRPr="006B59CF">
        <w:rPr>
          <w:rFonts w:hint="cs"/>
          <w:color w:val="008000"/>
          <w:rtl/>
        </w:rPr>
        <w:t>فِي</w:t>
      </w:r>
      <w:r w:rsidRPr="006B59CF">
        <w:rPr>
          <w:color w:val="008000"/>
          <w:rtl/>
        </w:rPr>
        <w:t xml:space="preserve"> </w:t>
      </w:r>
      <w:r w:rsidRPr="006B59CF">
        <w:rPr>
          <w:rFonts w:hint="cs"/>
          <w:color w:val="008000"/>
          <w:rtl/>
        </w:rPr>
        <w:t>الْحَائِطِ</w:t>
      </w:r>
      <w:r w:rsidRPr="006B59CF">
        <w:rPr>
          <w:color w:val="008000"/>
          <w:rtl/>
        </w:rPr>
        <w:t xml:space="preserve"> </w:t>
      </w:r>
      <w:r w:rsidRPr="006B59CF">
        <w:rPr>
          <w:rFonts w:hint="cs"/>
          <w:color w:val="008000"/>
          <w:rtl/>
        </w:rPr>
        <w:t>إِذَا</w:t>
      </w:r>
      <w:r w:rsidRPr="006B59CF">
        <w:rPr>
          <w:color w:val="008000"/>
          <w:rtl/>
        </w:rPr>
        <w:t xml:space="preserve"> </w:t>
      </w:r>
      <w:r w:rsidRPr="006B59CF">
        <w:rPr>
          <w:rFonts w:hint="cs"/>
          <w:color w:val="008000"/>
          <w:rtl/>
        </w:rPr>
        <w:t>أَنَا</w:t>
      </w:r>
      <w:r w:rsidRPr="006B59CF">
        <w:rPr>
          <w:color w:val="008000"/>
          <w:rtl/>
        </w:rPr>
        <w:t xml:space="preserve"> </w:t>
      </w:r>
      <w:r w:rsidRPr="006B59CF">
        <w:rPr>
          <w:rFonts w:hint="cs"/>
          <w:color w:val="008000"/>
          <w:rtl/>
        </w:rPr>
        <w:t>بِسَبْعَةِ</w:t>
      </w:r>
      <w:r w:rsidRPr="006B59CF">
        <w:rPr>
          <w:color w:val="008000"/>
          <w:rtl/>
        </w:rPr>
        <w:t xml:space="preserve"> </w:t>
      </w:r>
      <w:r w:rsidRPr="006B59CF">
        <w:rPr>
          <w:rFonts w:hint="cs"/>
          <w:color w:val="008000"/>
          <w:rtl/>
        </w:rPr>
        <w:t>رَهْطٍ</w:t>
      </w:r>
      <w:r w:rsidRPr="006B59CF">
        <w:rPr>
          <w:color w:val="008000"/>
          <w:rtl/>
        </w:rPr>
        <w:t xml:space="preserve"> </w:t>
      </w:r>
      <w:r w:rsidRPr="006B59CF">
        <w:rPr>
          <w:rFonts w:hint="cs"/>
          <w:color w:val="008000"/>
          <w:rtl/>
        </w:rPr>
        <w:t>قَدْ</w:t>
      </w:r>
      <w:r w:rsidRPr="006B59CF">
        <w:rPr>
          <w:color w:val="008000"/>
          <w:rtl/>
        </w:rPr>
        <w:t xml:space="preserve"> </w:t>
      </w:r>
      <w:r w:rsidRPr="006B59CF">
        <w:rPr>
          <w:rFonts w:hint="cs"/>
          <w:color w:val="008000"/>
          <w:rtl/>
        </w:rPr>
        <w:t>أَقْبَلُوا</w:t>
      </w:r>
      <w:r w:rsidRPr="006B59CF">
        <w:rPr>
          <w:color w:val="008000"/>
          <w:rtl/>
        </w:rPr>
        <w:t xml:space="preserve"> </w:t>
      </w:r>
      <w:r w:rsidRPr="006B59CF">
        <w:rPr>
          <w:rFonts w:hint="cs"/>
          <w:color w:val="008000"/>
          <w:rtl/>
        </w:rPr>
        <w:t>تُظِلُّهُمْ</w:t>
      </w:r>
      <w:r w:rsidRPr="006B59CF">
        <w:rPr>
          <w:color w:val="008000"/>
          <w:rtl/>
        </w:rPr>
        <w:t xml:space="preserve"> </w:t>
      </w:r>
      <w:r w:rsidRPr="006B59CF">
        <w:rPr>
          <w:rFonts w:hint="cs"/>
          <w:color w:val="008000"/>
          <w:rtl/>
        </w:rPr>
        <w:t>غَمَامَةٌ</w:t>
      </w:r>
      <w:r w:rsidRPr="006B59CF">
        <w:rPr>
          <w:color w:val="008000"/>
          <w:rtl/>
        </w:rPr>
        <w:t xml:space="preserve"> </w:t>
      </w:r>
      <w:r w:rsidRPr="006B59CF">
        <w:rPr>
          <w:rFonts w:hint="cs"/>
          <w:color w:val="008000"/>
          <w:rtl/>
        </w:rPr>
        <w:t>فَقُلْتُ</w:t>
      </w:r>
      <w:r w:rsidRPr="006B59CF">
        <w:rPr>
          <w:color w:val="008000"/>
          <w:rtl/>
        </w:rPr>
        <w:t xml:space="preserve"> </w:t>
      </w:r>
      <w:r w:rsidRPr="006B59CF">
        <w:rPr>
          <w:rFonts w:hint="cs"/>
          <w:color w:val="008000"/>
          <w:rtl/>
        </w:rPr>
        <w:t>فِي</w:t>
      </w:r>
      <w:r w:rsidRPr="006B59CF">
        <w:rPr>
          <w:color w:val="008000"/>
          <w:rtl/>
        </w:rPr>
        <w:t xml:space="preserve"> </w:t>
      </w:r>
      <w:r w:rsidRPr="006B59CF">
        <w:rPr>
          <w:rFonts w:hint="cs"/>
          <w:color w:val="008000"/>
          <w:rtl/>
        </w:rPr>
        <w:t>نَفْسِي</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اللَّهِ</w:t>
      </w:r>
      <w:r w:rsidRPr="006B59CF">
        <w:rPr>
          <w:color w:val="008000"/>
          <w:rtl/>
        </w:rPr>
        <w:t xml:space="preserve"> </w:t>
      </w:r>
      <w:r w:rsidRPr="006B59CF">
        <w:rPr>
          <w:rFonts w:hint="cs"/>
          <w:color w:val="008000"/>
          <w:rtl/>
        </w:rPr>
        <w:t>مَا</w:t>
      </w:r>
      <w:r w:rsidRPr="006B59CF">
        <w:rPr>
          <w:color w:val="008000"/>
          <w:rtl/>
        </w:rPr>
        <w:t xml:space="preserve"> </w:t>
      </w:r>
      <w:r w:rsidRPr="006B59CF">
        <w:rPr>
          <w:rFonts w:hint="cs"/>
          <w:color w:val="008000"/>
          <w:rtl/>
        </w:rPr>
        <w:t>هَؤُلَاءِ</w:t>
      </w:r>
      <w:r w:rsidRPr="006B59CF">
        <w:rPr>
          <w:color w:val="008000"/>
          <w:rtl/>
        </w:rPr>
        <w:t xml:space="preserve"> </w:t>
      </w:r>
      <w:r w:rsidRPr="006B59CF">
        <w:rPr>
          <w:rFonts w:hint="cs"/>
          <w:color w:val="008000"/>
          <w:rtl/>
        </w:rPr>
        <w:t>كُلُّهُمْ</w:t>
      </w:r>
      <w:r w:rsidRPr="006B59CF">
        <w:rPr>
          <w:color w:val="008000"/>
          <w:rtl/>
        </w:rPr>
        <w:t xml:space="preserve"> </w:t>
      </w:r>
      <w:r w:rsidRPr="006B59CF">
        <w:rPr>
          <w:rFonts w:hint="cs"/>
          <w:color w:val="008000"/>
          <w:rtl/>
        </w:rPr>
        <w:t>أَنْبِيَاءَ</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لَكِنَّ</w:t>
      </w:r>
      <w:r w:rsidRPr="006B59CF">
        <w:rPr>
          <w:color w:val="008000"/>
          <w:rtl/>
        </w:rPr>
        <w:t xml:space="preserve"> </w:t>
      </w:r>
      <w:r w:rsidRPr="006B59CF">
        <w:rPr>
          <w:rFonts w:hint="cs"/>
          <w:color w:val="008000"/>
          <w:rtl/>
        </w:rPr>
        <w:t>فِيهِمْ</w:t>
      </w:r>
      <w:r w:rsidRPr="006B59CF">
        <w:rPr>
          <w:color w:val="008000"/>
          <w:rtl/>
        </w:rPr>
        <w:t xml:space="preserve"> </w:t>
      </w:r>
      <w:r w:rsidRPr="006B59CF">
        <w:rPr>
          <w:rFonts w:hint="cs"/>
          <w:color w:val="008000"/>
          <w:rtl/>
        </w:rPr>
        <w:t>نَبِيّاً</w:t>
      </w:r>
      <w:r w:rsidRPr="006B59CF">
        <w:rPr>
          <w:color w:val="008000"/>
          <w:rtl/>
        </w:rPr>
        <w:t xml:space="preserve"> </w:t>
      </w:r>
      <w:r w:rsidRPr="006B59CF">
        <w:rPr>
          <w:rFonts w:hint="cs"/>
          <w:color w:val="008000"/>
          <w:rtl/>
        </w:rPr>
        <w:t>قَالَ</w:t>
      </w:r>
      <w:r w:rsidRPr="006B59CF">
        <w:rPr>
          <w:color w:val="008000"/>
          <w:rtl/>
        </w:rPr>
        <w:t xml:space="preserve"> </w:t>
      </w:r>
      <w:r w:rsidRPr="006B59CF">
        <w:rPr>
          <w:rFonts w:hint="cs"/>
          <w:color w:val="008000"/>
          <w:rtl/>
        </w:rPr>
        <w:t>فَأَقْبَلُوا</w:t>
      </w:r>
      <w:r w:rsidRPr="006B59CF">
        <w:rPr>
          <w:color w:val="008000"/>
          <w:rtl/>
        </w:rPr>
        <w:t xml:space="preserve"> </w:t>
      </w:r>
      <w:r w:rsidRPr="006B59CF">
        <w:rPr>
          <w:rFonts w:hint="cs"/>
          <w:color w:val="008000"/>
          <w:rtl/>
        </w:rPr>
        <w:t>حَتَّى</w:t>
      </w:r>
      <w:r w:rsidRPr="006B59CF">
        <w:rPr>
          <w:color w:val="008000"/>
          <w:rtl/>
        </w:rPr>
        <w:t xml:space="preserve"> </w:t>
      </w:r>
      <w:r w:rsidRPr="006B59CF">
        <w:rPr>
          <w:rFonts w:hint="cs"/>
          <w:color w:val="008000"/>
          <w:rtl/>
        </w:rPr>
        <w:t>دَخَلُوا</w:t>
      </w:r>
      <w:r w:rsidRPr="006B59CF">
        <w:rPr>
          <w:color w:val="008000"/>
          <w:rtl/>
        </w:rPr>
        <w:t xml:space="preserve"> </w:t>
      </w:r>
      <w:r w:rsidRPr="006B59CF">
        <w:rPr>
          <w:rFonts w:hint="cs"/>
          <w:color w:val="008000"/>
          <w:rtl/>
        </w:rPr>
        <w:t>الْحَائِطَ</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الْغَمَامَةُ</w:t>
      </w:r>
      <w:r w:rsidRPr="006B59CF">
        <w:rPr>
          <w:color w:val="008000"/>
          <w:rtl/>
        </w:rPr>
        <w:t xml:space="preserve"> </w:t>
      </w:r>
      <w:r w:rsidRPr="006B59CF">
        <w:rPr>
          <w:rFonts w:hint="cs"/>
          <w:color w:val="008000"/>
          <w:rtl/>
        </w:rPr>
        <w:t>تَسِيرُ</w:t>
      </w:r>
      <w:r w:rsidRPr="006B59CF">
        <w:rPr>
          <w:color w:val="008000"/>
          <w:rtl/>
        </w:rPr>
        <w:t xml:space="preserve"> </w:t>
      </w:r>
      <w:r w:rsidRPr="006B59CF">
        <w:rPr>
          <w:rFonts w:hint="cs"/>
          <w:color w:val="008000"/>
          <w:rtl/>
        </w:rPr>
        <w:t>مَعَهُمْ</w:t>
      </w:r>
      <w:r w:rsidRPr="006B59CF">
        <w:rPr>
          <w:color w:val="008000"/>
          <w:rtl/>
        </w:rPr>
        <w:t xml:space="preserve"> </w:t>
      </w:r>
      <w:r w:rsidRPr="006B59CF">
        <w:rPr>
          <w:rFonts w:hint="cs"/>
          <w:color w:val="008000"/>
          <w:rtl/>
        </w:rPr>
        <w:t>فَلَمَّا</w:t>
      </w:r>
      <w:r w:rsidRPr="006B59CF">
        <w:rPr>
          <w:color w:val="008000"/>
          <w:rtl/>
        </w:rPr>
        <w:t xml:space="preserve"> </w:t>
      </w:r>
      <w:r w:rsidRPr="006B59CF">
        <w:rPr>
          <w:rFonts w:hint="cs"/>
          <w:color w:val="008000"/>
          <w:rtl/>
        </w:rPr>
        <w:t>دَخَلُوا</w:t>
      </w:r>
      <w:r w:rsidRPr="006B59CF">
        <w:rPr>
          <w:color w:val="008000"/>
          <w:rtl/>
        </w:rPr>
        <w:t xml:space="preserve"> </w:t>
      </w:r>
      <w:r w:rsidRPr="006B59CF">
        <w:rPr>
          <w:rFonts w:hint="cs"/>
          <w:color w:val="008000"/>
          <w:rtl/>
        </w:rPr>
        <w:t>إِذَا</w:t>
      </w:r>
      <w:r w:rsidRPr="006B59CF">
        <w:rPr>
          <w:color w:val="008000"/>
          <w:rtl/>
        </w:rPr>
        <w:t xml:space="preserve"> </w:t>
      </w:r>
      <w:r w:rsidRPr="006B59CF">
        <w:rPr>
          <w:rFonts w:hint="cs"/>
          <w:color w:val="008000"/>
          <w:rtl/>
        </w:rPr>
        <w:t>فِيهِمْ</w:t>
      </w:r>
      <w:r w:rsidRPr="006B59CF">
        <w:rPr>
          <w:color w:val="008000"/>
          <w:rtl/>
        </w:rPr>
        <w:t xml:space="preserve"> </w:t>
      </w:r>
      <w:r w:rsidRPr="006B59CF">
        <w:rPr>
          <w:rFonts w:hint="cs"/>
          <w:color w:val="008000"/>
          <w:rtl/>
        </w:rPr>
        <w:t>رَسُولُ</w:t>
      </w:r>
      <w:r w:rsidRPr="006B59CF">
        <w:rPr>
          <w:color w:val="008000"/>
          <w:rtl/>
        </w:rPr>
        <w:t xml:space="preserve"> </w:t>
      </w:r>
      <w:r w:rsidRPr="006B59CF">
        <w:rPr>
          <w:rFonts w:hint="cs"/>
          <w:color w:val="008000"/>
          <w:rtl/>
        </w:rPr>
        <w:t>اللَّهِ</w:t>
      </w:r>
      <w:r w:rsidRPr="006B59CF">
        <w:rPr>
          <w:color w:val="008000"/>
          <w:rtl/>
        </w:rPr>
        <w:t xml:space="preserve"> </w:t>
      </w:r>
      <w:r w:rsidRPr="006B59CF">
        <w:rPr>
          <w:rFonts w:hint="cs"/>
          <w:color w:val="008000"/>
          <w:rtl/>
        </w:rPr>
        <w:t>ص</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أَمِيرُ</w:t>
      </w:r>
      <w:r w:rsidRPr="006B59CF">
        <w:rPr>
          <w:color w:val="008000"/>
          <w:rtl/>
        </w:rPr>
        <w:t xml:space="preserve"> </w:t>
      </w:r>
      <w:r w:rsidRPr="006B59CF">
        <w:rPr>
          <w:rFonts w:hint="cs"/>
          <w:color w:val="008000"/>
          <w:rtl/>
        </w:rPr>
        <w:t>الْمُؤْمِنِينَ</w:t>
      </w:r>
      <w:r w:rsidRPr="006B59CF">
        <w:rPr>
          <w:color w:val="008000"/>
          <w:rtl/>
        </w:rPr>
        <w:t xml:space="preserve"> </w:t>
      </w:r>
      <w:r w:rsidRPr="006B59CF">
        <w:rPr>
          <w:rFonts w:hint="cs"/>
          <w:color w:val="008000"/>
          <w:rtl/>
        </w:rPr>
        <w:t>ع</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أَبُو</w:t>
      </w:r>
      <w:r w:rsidRPr="006B59CF">
        <w:rPr>
          <w:color w:val="008000"/>
          <w:rtl/>
        </w:rPr>
        <w:t xml:space="preserve"> </w:t>
      </w:r>
      <w:r w:rsidRPr="006B59CF">
        <w:rPr>
          <w:rFonts w:hint="cs"/>
          <w:color w:val="008000"/>
          <w:rtl/>
        </w:rPr>
        <w:t>ذَرٍّ</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الْمِقْدَادُ</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عَقِيلُ</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أَبِي</w:t>
      </w:r>
      <w:r w:rsidRPr="006B59CF">
        <w:rPr>
          <w:color w:val="008000"/>
          <w:rtl/>
        </w:rPr>
        <w:t xml:space="preserve"> </w:t>
      </w:r>
      <w:r w:rsidRPr="006B59CF">
        <w:rPr>
          <w:rFonts w:hint="cs"/>
          <w:color w:val="008000"/>
          <w:rtl/>
        </w:rPr>
        <w:t>طَالِبٍ</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حَمْزَةُ</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عَبْدِ</w:t>
      </w:r>
      <w:r w:rsidRPr="006B59CF">
        <w:rPr>
          <w:color w:val="008000"/>
          <w:rtl/>
        </w:rPr>
        <w:t xml:space="preserve"> </w:t>
      </w:r>
      <w:r w:rsidRPr="006B59CF">
        <w:rPr>
          <w:rFonts w:hint="cs"/>
          <w:color w:val="008000"/>
          <w:rtl/>
        </w:rPr>
        <w:t>الْمُطَّلِبِ</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زَيْدُ</w:t>
      </w:r>
      <w:r w:rsidRPr="006B59CF">
        <w:rPr>
          <w:color w:val="008000"/>
          <w:rtl/>
        </w:rPr>
        <w:t xml:space="preserve"> </w:t>
      </w:r>
      <w:r w:rsidRPr="006B59CF">
        <w:rPr>
          <w:rFonts w:hint="cs"/>
          <w:color w:val="008000"/>
          <w:rtl/>
        </w:rPr>
        <w:t>بْنُ</w:t>
      </w:r>
      <w:r w:rsidRPr="006B59CF">
        <w:rPr>
          <w:color w:val="008000"/>
          <w:rtl/>
        </w:rPr>
        <w:t xml:space="preserve"> </w:t>
      </w:r>
      <w:r w:rsidRPr="006B59CF">
        <w:rPr>
          <w:rFonts w:hint="cs"/>
          <w:color w:val="008000"/>
          <w:rtl/>
        </w:rPr>
        <w:t>حَارِثَةَ</w:t>
      </w:r>
      <w:r w:rsidRPr="006B59CF">
        <w:rPr>
          <w:color w:val="008000"/>
          <w:rtl/>
        </w:rPr>
        <w:t xml:space="preserve"> </w:t>
      </w:r>
      <w:r w:rsidRPr="006B59CF">
        <w:rPr>
          <w:rFonts w:hint="cs"/>
          <w:color w:val="008000"/>
          <w:rtl/>
        </w:rPr>
        <w:t>فَدَخَلُوا</w:t>
      </w:r>
      <w:r w:rsidRPr="006B59CF">
        <w:rPr>
          <w:color w:val="008000"/>
          <w:rtl/>
        </w:rPr>
        <w:t xml:space="preserve"> </w:t>
      </w:r>
      <w:r w:rsidRPr="006B59CF">
        <w:rPr>
          <w:rFonts w:hint="cs"/>
          <w:color w:val="008000"/>
          <w:rtl/>
        </w:rPr>
        <w:t>الْحَائِطَ</w:t>
      </w:r>
      <w:r w:rsidRPr="006B59CF">
        <w:rPr>
          <w:color w:val="008000"/>
          <w:rtl/>
        </w:rPr>
        <w:t xml:space="preserve"> </w:t>
      </w:r>
      <w:r w:rsidRPr="006B59CF">
        <w:rPr>
          <w:rFonts w:hint="cs"/>
          <w:color w:val="008000"/>
          <w:rtl/>
        </w:rPr>
        <w:t>فَجَعَلُوا</w:t>
      </w:r>
      <w:r w:rsidRPr="006B59CF">
        <w:rPr>
          <w:color w:val="008000"/>
          <w:rtl/>
        </w:rPr>
        <w:t xml:space="preserve"> </w:t>
      </w:r>
      <w:r w:rsidRPr="006B59CF">
        <w:rPr>
          <w:rFonts w:hint="cs"/>
          <w:color w:val="008000"/>
          <w:rtl/>
        </w:rPr>
        <w:t>يَتَنَاوَلُونَ</w:t>
      </w:r>
      <w:r w:rsidRPr="006B59CF">
        <w:rPr>
          <w:color w:val="008000"/>
          <w:rtl/>
        </w:rPr>
        <w:t xml:space="preserve"> </w:t>
      </w:r>
      <w:r w:rsidRPr="006B59CF">
        <w:rPr>
          <w:rFonts w:hint="cs"/>
          <w:color w:val="008000"/>
          <w:rtl/>
        </w:rPr>
        <w:t>مِنْ</w:t>
      </w:r>
      <w:r w:rsidRPr="006B59CF">
        <w:rPr>
          <w:color w:val="008000"/>
          <w:rtl/>
        </w:rPr>
        <w:t xml:space="preserve"> </w:t>
      </w:r>
      <w:r w:rsidRPr="006B59CF">
        <w:rPr>
          <w:rFonts w:hint="cs"/>
          <w:color w:val="008000"/>
          <w:rtl/>
        </w:rPr>
        <w:t>حَشَفِ</w:t>
      </w:r>
      <w:r w:rsidRPr="006B59CF">
        <w:rPr>
          <w:color w:val="008000"/>
          <w:rtl/>
        </w:rPr>
        <w:t xml:space="preserve"> </w:t>
      </w:r>
      <w:r w:rsidRPr="006B59CF">
        <w:rPr>
          <w:rFonts w:hint="cs"/>
          <w:color w:val="008000"/>
          <w:rtl/>
        </w:rPr>
        <w:t>النَّخْلِ</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رَسُولُ</w:t>
      </w:r>
      <w:r w:rsidRPr="006B59CF">
        <w:rPr>
          <w:color w:val="008000"/>
          <w:rtl/>
        </w:rPr>
        <w:t xml:space="preserve"> </w:t>
      </w:r>
      <w:r w:rsidRPr="006B59CF">
        <w:rPr>
          <w:rFonts w:hint="cs"/>
          <w:color w:val="008000"/>
          <w:rtl/>
        </w:rPr>
        <w:t>اللَّهِ</w:t>
      </w:r>
      <w:r w:rsidRPr="006B59CF">
        <w:rPr>
          <w:color w:val="008000"/>
          <w:rtl/>
        </w:rPr>
        <w:t xml:space="preserve"> </w:t>
      </w:r>
      <w:r w:rsidRPr="006B59CF">
        <w:rPr>
          <w:rFonts w:hint="cs"/>
          <w:color w:val="008000"/>
          <w:rtl/>
        </w:rPr>
        <w:t>ص</w:t>
      </w:r>
      <w:r w:rsidRPr="006B59CF">
        <w:rPr>
          <w:color w:val="008000"/>
          <w:rtl/>
        </w:rPr>
        <w:t xml:space="preserve"> </w:t>
      </w:r>
      <w:r w:rsidRPr="006B59CF">
        <w:rPr>
          <w:rFonts w:hint="cs"/>
          <w:color w:val="008000"/>
          <w:rtl/>
        </w:rPr>
        <w:t>يَقُولُ</w:t>
      </w:r>
      <w:r w:rsidRPr="006B59CF">
        <w:rPr>
          <w:color w:val="008000"/>
          <w:rtl/>
        </w:rPr>
        <w:t xml:space="preserve"> </w:t>
      </w:r>
      <w:r w:rsidRPr="006B59CF">
        <w:rPr>
          <w:rFonts w:hint="cs"/>
          <w:color w:val="008000"/>
          <w:rtl/>
        </w:rPr>
        <w:t>لَهُمْ</w:t>
      </w:r>
      <w:r w:rsidRPr="006B59CF">
        <w:rPr>
          <w:color w:val="008000"/>
          <w:rtl/>
        </w:rPr>
        <w:t xml:space="preserve"> </w:t>
      </w:r>
      <w:r w:rsidRPr="006B59CF">
        <w:rPr>
          <w:rFonts w:hint="cs"/>
          <w:color w:val="008000"/>
          <w:rtl/>
        </w:rPr>
        <w:t>كُلُوا</w:t>
      </w:r>
      <w:r w:rsidRPr="006B59CF">
        <w:rPr>
          <w:color w:val="008000"/>
          <w:rtl/>
        </w:rPr>
        <w:t xml:space="preserve"> </w:t>
      </w:r>
      <w:r w:rsidRPr="006B59CF">
        <w:rPr>
          <w:rFonts w:hint="cs"/>
          <w:color w:val="008000"/>
          <w:rtl/>
        </w:rPr>
        <w:t>الْحَشَفَ</w:t>
      </w:r>
      <w:r w:rsidRPr="006B59CF">
        <w:rPr>
          <w:color w:val="008000"/>
          <w:rtl/>
        </w:rPr>
        <w:t xml:space="preserve"> </w:t>
      </w:r>
      <w:r w:rsidRPr="006B59CF">
        <w:rPr>
          <w:rFonts w:hint="cs"/>
          <w:color w:val="008000"/>
          <w:rtl/>
        </w:rPr>
        <w:t>وَ</w:t>
      </w:r>
      <w:r w:rsidRPr="006B59CF">
        <w:rPr>
          <w:color w:val="008000"/>
          <w:rtl/>
        </w:rPr>
        <w:t xml:space="preserve"> </w:t>
      </w:r>
      <w:r w:rsidRPr="006B59CF">
        <w:rPr>
          <w:rFonts w:hint="cs"/>
          <w:color w:val="008000"/>
          <w:rtl/>
        </w:rPr>
        <w:t>لَا</w:t>
      </w:r>
      <w:r w:rsidRPr="006B59CF">
        <w:rPr>
          <w:color w:val="008000"/>
          <w:rtl/>
        </w:rPr>
        <w:t xml:space="preserve"> </w:t>
      </w:r>
      <w:r w:rsidRPr="006B59CF">
        <w:rPr>
          <w:rFonts w:hint="cs"/>
          <w:color w:val="008000"/>
          <w:rtl/>
        </w:rPr>
        <w:t>تُفْسِدُوا</w:t>
      </w:r>
      <w:r w:rsidRPr="006B59CF">
        <w:rPr>
          <w:color w:val="008000"/>
          <w:rtl/>
        </w:rPr>
        <w:t xml:space="preserve"> </w:t>
      </w:r>
      <w:r w:rsidRPr="006B59CF">
        <w:rPr>
          <w:rFonts w:hint="cs"/>
          <w:color w:val="008000"/>
          <w:rtl/>
        </w:rPr>
        <w:t>عَلَى</w:t>
      </w:r>
      <w:r w:rsidRPr="006B59CF">
        <w:rPr>
          <w:color w:val="008000"/>
          <w:rtl/>
        </w:rPr>
        <w:t xml:space="preserve"> </w:t>
      </w:r>
      <w:r w:rsidRPr="006B59CF">
        <w:rPr>
          <w:rFonts w:hint="cs"/>
          <w:color w:val="008000"/>
          <w:rtl/>
        </w:rPr>
        <w:t>الْقَوْمِ</w:t>
      </w:r>
      <w:r w:rsidRPr="006B59CF">
        <w:rPr>
          <w:color w:val="008000"/>
          <w:rtl/>
        </w:rPr>
        <w:t xml:space="preserve"> </w:t>
      </w:r>
      <w:r w:rsidRPr="006B59CF">
        <w:rPr>
          <w:rFonts w:hint="cs"/>
          <w:color w:val="008000"/>
          <w:rtl/>
        </w:rPr>
        <w:t>شَيْئاً</w:t>
      </w:r>
      <w:r>
        <w:rPr>
          <w:rStyle w:val="FootnoteReference"/>
          <w:color w:val="008000"/>
          <w:rtl/>
        </w:rPr>
        <w:footnoteReference w:id="10"/>
      </w:r>
    </w:p>
    <w:p w:rsidR="006B59CF" w:rsidRDefault="006B59CF" w:rsidP="006964FF">
      <w:pPr>
        <w:jc w:val="both"/>
        <w:rPr>
          <w:rtl/>
        </w:rPr>
      </w:pPr>
      <w:r>
        <w:rPr>
          <w:rFonts w:hint="cs"/>
          <w:rtl/>
        </w:rPr>
        <w:t xml:space="preserve">روایت به واسطه «عمن ذکره» مرسل است. </w:t>
      </w:r>
    </w:p>
    <w:p w:rsidR="006B59CF" w:rsidRDefault="006B59CF" w:rsidP="006964FF">
      <w:pPr>
        <w:jc w:val="both"/>
        <w:rPr>
          <w:color w:val="000080"/>
          <w:rtl/>
        </w:rPr>
      </w:pPr>
      <w:r>
        <w:rPr>
          <w:rFonts w:hint="cs"/>
          <w:rtl/>
        </w:rPr>
        <w:t xml:space="preserve">در پاورقی جامع الاحادیث «الحَشَف» اینگونه معنا شده است: </w:t>
      </w:r>
      <w:r w:rsidRPr="006B59CF">
        <w:rPr>
          <w:rFonts w:hint="cs"/>
          <w:color w:val="000080"/>
          <w:rtl/>
        </w:rPr>
        <w:t xml:space="preserve">الحَشَف اردأ التمر </w:t>
      </w:r>
      <w:r>
        <w:rPr>
          <w:rFonts w:hint="cs"/>
          <w:color w:val="000080"/>
          <w:rtl/>
        </w:rPr>
        <w:t xml:space="preserve">او </w:t>
      </w:r>
      <w:r w:rsidRPr="006B59CF">
        <w:rPr>
          <w:rFonts w:hint="cs"/>
          <w:color w:val="000080"/>
          <w:rtl/>
        </w:rPr>
        <w:t>الیابس الفاسد منه</w:t>
      </w:r>
      <w:r>
        <w:rPr>
          <w:rFonts w:hint="cs"/>
          <w:color w:val="000080"/>
          <w:rtl/>
        </w:rPr>
        <w:t xml:space="preserve"> </w:t>
      </w:r>
    </w:p>
    <w:p w:rsidR="006B59CF" w:rsidRDefault="006B59CF" w:rsidP="006964FF">
      <w:pPr>
        <w:jc w:val="both"/>
        <w:rPr>
          <w:rtl/>
        </w:rPr>
      </w:pPr>
      <w:r>
        <w:rPr>
          <w:rFonts w:hint="cs"/>
          <w:rtl/>
        </w:rPr>
        <w:t>پیامبر صلی الله علیه و آله بیان کردند که از خرماهای خراب بخورید. بیان شد: به احتمال زیاد به علت وجود رضایت نوعی در این موارد، تجویز شده است. باید دقت داشت: رفتارهای حضرت ص بر خاسته از علم غیب نیست و اصل اولی در رفتارهای ایشان این است که مانند انسان عادی رفتار می کرده است. در این موارد برای انسان عادی علم به رضایت ن</w:t>
      </w:r>
      <w:r w:rsidR="006964FF">
        <w:rPr>
          <w:rFonts w:hint="cs"/>
          <w:rtl/>
        </w:rPr>
        <w:t>وعی وجود دارد و بر همین اساس، امر به خوردن از</w:t>
      </w:r>
      <w:r>
        <w:rPr>
          <w:rFonts w:hint="cs"/>
          <w:rtl/>
        </w:rPr>
        <w:t xml:space="preserve"> خرماها </w:t>
      </w:r>
      <w:r w:rsidR="006964FF">
        <w:rPr>
          <w:rFonts w:hint="cs"/>
          <w:rtl/>
        </w:rPr>
        <w:t>دادند</w:t>
      </w:r>
      <w:r>
        <w:rPr>
          <w:rFonts w:hint="cs"/>
          <w:rtl/>
        </w:rPr>
        <w:t xml:space="preserve">. </w:t>
      </w:r>
      <w:r w:rsidR="006B7F60">
        <w:rPr>
          <w:rFonts w:hint="cs"/>
          <w:rtl/>
        </w:rPr>
        <w:t xml:space="preserve">تأکید حضرت ص در این روایت، عدم افساد است و جواز اکل از خرماهای ریخته شده به علت رضایت نوعی، مسلم بوده است. </w:t>
      </w:r>
      <w:r w:rsidR="00D76660">
        <w:rPr>
          <w:rFonts w:hint="cs"/>
          <w:rtl/>
        </w:rPr>
        <w:t xml:space="preserve">البته از این روایت نمی شود به میوه های دیگری مانند سیب و گردو که روی زمین ریخته، تعدّی کرد. </w:t>
      </w:r>
    </w:p>
    <w:p w:rsidR="00D76660" w:rsidRDefault="00D76660" w:rsidP="006964FF">
      <w:pPr>
        <w:jc w:val="both"/>
        <w:rPr>
          <w:rtl/>
        </w:rPr>
      </w:pPr>
      <w:r>
        <w:rPr>
          <w:rFonts w:hint="cs"/>
          <w:rtl/>
        </w:rPr>
        <w:t xml:space="preserve">به هر حال این روایت ارتباطی به بحث ما ندارد. </w:t>
      </w:r>
    </w:p>
    <w:p w:rsidR="00D76660" w:rsidRDefault="00D76660" w:rsidP="006964FF">
      <w:pPr>
        <w:jc w:val="both"/>
        <w:rPr>
          <w:rtl/>
        </w:rPr>
      </w:pPr>
      <w:r>
        <w:rPr>
          <w:rFonts w:hint="cs"/>
          <w:rtl/>
        </w:rPr>
        <w:lastRenderedPageBreak/>
        <w:t xml:space="preserve">تا اینجا روایاتی خوانده شد که دلیل بر ثبوت حق الماره فی الجمله بود که برخی صریح در عدم اختصاص به مضطر بود و برخی مطلق بود. </w:t>
      </w:r>
      <w:r w:rsidR="00E75316">
        <w:rPr>
          <w:rFonts w:hint="cs"/>
          <w:rtl/>
        </w:rPr>
        <w:t xml:space="preserve">صرف نظر از بحث سندی </w:t>
      </w:r>
      <w:r>
        <w:rPr>
          <w:rFonts w:hint="cs"/>
          <w:rtl/>
        </w:rPr>
        <w:t xml:space="preserve">در مجموع 9 روایت است: مرسله ابن ابی عمیر، روایت داود صرمی، مرسله یونس، صحیحه عبد الله بن سنان، روایت ابی الربیع شامی، مسائل علی بن جعفر، مرسله فقیه، مکاتبه محمد بن جعفر اسدی، روایت محمد بن مروان. </w:t>
      </w:r>
    </w:p>
    <w:p w:rsidR="00E75316" w:rsidRDefault="00E75316" w:rsidP="006964FF">
      <w:pPr>
        <w:jc w:val="both"/>
        <w:rPr>
          <w:rtl/>
        </w:rPr>
      </w:pPr>
      <w:r>
        <w:rPr>
          <w:rFonts w:hint="cs"/>
          <w:rtl/>
        </w:rPr>
        <w:t xml:space="preserve">روایت مرسله یونس او غیره، روایت دعائم الاسلام، روایت عبد الله بن القاسم الجعفری، روایت اسلام سلمان روایاتی هستند که یا ربطی به بحث ندارند یا حداقل وجه تجویز در آنها مبهم است. بیان شد: دستور تخریب دیوار در روایت عبد الله بن القاسم الجعفری روشن نیست برای مطلق مارّه است یا مارّه ای که ضرورت به اکل دارد؟ </w:t>
      </w:r>
    </w:p>
    <w:p w:rsidR="00D76660" w:rsidRPr="006B59CF" w:rsidRDefault="003C547F" w:rsidP="006964FF">
      <w:pPr>
        <w:jc w:val="both"/>
        <w:rPr>
          <w:rtl/>
        </w:rPr>
      </w:pPr>
      <w:r>
        <w:rPr>
          <w:rFonts w:hint="cs"/>
          <w:rtl/>
        </w:rPr>
        <w:t>از طرف مقابل روایاتی وجود دارد که دالّ بر حرمت ا</w:t>
      </w:r>
      <w:r w:rsidR="004E3117">
        <w:rPr>
          <w:rFonts w:hint="cs"/>
          <w:rtl/>
        </w:rPr>
        <w:t xml:space="preserve">کل است یا قیوداتی را ذکر کردند که در جلسه آنها را خواهیم خواند. همچنین سریع روایات عامه را بدون بحث سندی، مرور می کنیم. </w:t>
      </w:r>
    </w:p>
    <w:sectPr w:rsidR="00D76660" w:rsidRPr="006B59C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4E" w:rsidRDefault="007E604E" w:rsidP="008B750B">
      <w:pPr>
        <w:spacing w:line="240" w:lineRule="auto"/>
      </w:pPr>
      <w:r>
        <w:separator/>
      </w:r>
    </w:p>
  </w:endnote>
  <w:endnote w:type="continuationSeparator" w:id="0">
    <w:p w:rsidR="007E604E" w:rsidRDefault="007E60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36681" w:rsidRPr="0033668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64CDE" w:rsidP="001B6799">
          <w:pPr>
            <w:pStyle w:val="Footer"/>
            <w:bidi w:val="0"/>
            <w:rPr>
              <w:color w:val="808080" w:themeColor="background1" w:themeShade="80"/>
              <w:rtl/>
            </w:rPr>
          </w:pPr>
          <w:bookmarkStart w:id="15" w:name="BokAdres"/>
          <w:bookmarkEnd w:id="15"/>
          <w:r>
            <w:rPr>
              <w:color w:val="808080" w:themeColor="background1" w:themeShade="80"/>
            </w:rPr>
            <w:t>F1js1_14000808-015_mk3_mfeb.ir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4E" w:rsidRDefault="007E604E" w:rsidP="008B750B">
      <w:pPr>
        <w:spacing w:line="240" w:lineRule="auto"/>
      </w:pPr>
      <w:r>
        <w:separator/>
      </w:r>
    </w:p>
  </w:footnote>
  <w:footnote w:type="continuationSeparator" w:id="0">
    <w:p w:rsidR="007E604E" w:rsidRDefault="007E604E" w:rsidP="008B750B">
      <w:pPr>
        <w:spacing w:line="240" w:lineRule="auto"/>
      </w:pPr>
      <w:r>
        <w:continuationSeparator/>
      </w:r>
    </w:p>
  </w:footnote>
  <w:footnote w:id="1">
    <w:p w:rsidR="00422BC0" w:rsidRPr="00D22787" w:rsidRDefault="00422BC0" w:rsidP="00422BC0">
      <w:pPr>
        <w:pStyle w:val="FootnoteText"/>
      </w:pPr>
      <w:r w:rsidRPr="00D22787">
        <w:footnoteRef/>
      </w:r>
      <w:r w:rsidRPr="00D22787">
        <w:rPr>
          <w:rtl/>
        </w:rPr>
        <w:t xml:space="preserve"> </w:t>
      </w:r>
      <w:hyperlink r:id="rId1" w:history="1">
        <w:r w:rsidRPr="00D22787">
          <w:rPr>
            <w:rStyle w:val="Hyperlink"/>
            <w:rtl/>
          </w:rPr>
          <w:t>الکاف</w:t>
        </w:r>
        <w:r w:rsidRPr="00D22787">
          <w:rPr>
            <w:rStyle w:val="Hyperlink"/>
            <w:rFonts w:hint="cs"/>
            <w:rtl/>
          </w:rPr>
          <w:t>ی</w:t>
        </w:r>
        <w:r w:rsidRPr="00D22787">
          <w:rPr>
            <w:rStyle w:val="Hyperlink"/>
            <w:rFonts w:hint="eastAsia"/>
            <w:rtl/>
          </w:rPr>
          <w:t>،</w:t>
        </w:r>
        <w:r w:rsidRPr="00D22787">
          <w:rPr>
            <w:rStyle w:val="Hyperlink"/>
            <w:rtl/>
          </w:rPr>
          <w:t xml:space="preserve"> محمد بن </w:t>
        </w:r>
        <w:r w:rsidRPr="00D22787">
          <w:rPr>
            <w:rStyle w:val="Hyperlink"/>
            <w:rFonts w:hint="cs"/>
            <w:rtl/>
          </w:rPr>
          <w:t>ی</w:t>
        </w:r>
        <w:r w:rsidRPr="00D22787">
          <w:rPr>
            <w:rStyle w:val="Hyperlink"/>
            <w:rFonts w:hint="eastAsia"/>
            <w:rtl/>
          </w:rPr>
          <w:t>عقوب</w:t>
        </w:r>
        <w:r w:rsidRPr="00D22787">
          <w:rPr>
            <w:rStyle w:val="Hyperlink"/>
            <w:rtl/>
          </w:rPr>
          <w:t xml:space="preserve"> کل</w:t>
        </w:r>
        <w:r w:rsidRPr="00D22787">
          <w:rPr>
            <w:rStyle w:val="Hyperlink"/>
            <w:rFonts w:hint="cs"/>
            <w:rtl/>
          </w:rPr>
          <w:t>ی</w:t>
        </w:r>
        <w:r w:rsidRPr="00D22787">
          <w:rPr>
            <w:rStyle w:val="Hyperlink"/>
            <w:rFonts w:hint="eastAsia"/>
            <w:rtl/>
          </w:rPr>
          <w:t>ن</w:t>
        </w:r>
        <w:r w:rsidRPr="00D22787">
          <w:rPr>
            <w:rStyle w:val="Hyperlink"/>
            <w:rFonts w:hint="cs"/>
            <w:rtl/>
          </w:rPr>
          <w:t>ی</w:t>
        </w:r>
        <w:r w:rsidRPr="00D22787">
          <w:rPr>
            <w:rStyle w:val="Hyperlink"/>
            <w:rFonts w:hint="eastAsia"/>
            <w:rtl/>
          </w:rPr>
          <w:t>،</w:t>
        </w:r>
        <w:r w:rsidRPr="00D22787">
          <w:rPr>
            <w:rStyle w:val="Hyperlink"/>
            <w:rtl/>
          </w:rPr>
          <w:t xml:space="preserve"> ج3، ص569</w:t>
        </w:r>
        <w:r w:rsidRPr="00D22787">
          <w:rPr>
            <w:rStyle w:val="Hyperlink"/>
          </w:rPr>
          <w:t>.</w:t>
        </w:r>
      </w:hyperlink>
    </w:p>
  </w:footnote>
  <w:footnote w:id="2">
    <w:p w:rsidR="00EC0654" w:rsidRPr="00EC0654" w:rsidRDefault="00EC0654" w:rsidP="00EC0654">
      <w:pPr>
        <w:pStyle w:val="FootnoteText"/>
      </w:pPr>
      <w:r w:rsidRPr="00EC0654">
        <w:footnoteRef/>
      </w:r>
      <w:r w:rsidRPr="00EC0654">
        <w:rPr>
          <w:rtl/>
        </w:rPr>
        <w:t xml:space="preserve"> </w:t>
      </w:r>
      <w:hyperlink r:id="rId2" w:history="1">
        <w:r w:rsidRPr="00EC0654">
          <w:rPr>
            <w:rStyle w:val="Hyperlink"/>
            <w:rtl/>
          </w:rPr>
          <w:t>الکاف</w:t>
        </w:r>
        <w:r w:rsidRPr="00EC0654">
          <w:rPr>
            <w:rStyle w:val="Hyperlink"/>
            <w:rFonts w:hint="cs"/>
            <w:rtl/>
          </w:rPr>
          <w:t>ی</w:t>
        </w:r>
        <w:r w:rsidRPr="00EC0654">
          <w:rPr>
            <w:rStyle w:val="Hyperlink"/>
            <w:rFonts w:hint="eastAsia"/>
            <w:rtl/>
          </w:rPr>
          <w:t>،</w:t>
        </w:r>
        <w:r w:rsidRPr="00EC0654">
          <w:rPr>
            <w:rStyle w:val="Hyperlink"/>
            <w:rtl/>
          </w:rPr>
          <w:t xml:space="preserve"> محمد بن </w:t>
        </w:r>
        <w:r w:rsidRPr="00EC0654">
          <w:rPr>
            <w:rStyle w:val="Hyperlink"/>
            <w:rFonts w:hint="cs"/>
            <w:rtl/>
          </w:rPr>
          <w:t>ی</w:t>
        </w:r>
        <w:r w:rsidRPr="00EC0654">
          <w:rPr>
            <w:rStyle w:val="Hyperlink"/>
            <w:rFonts w:hint="eastAsia"/>
            <w:rtl/>
          </w:rPr>
          <w:t>عقوب</w:t>
        </w:r>
        <w:r w:rsidRPr="00EC0654">
          <w:rPr>
            <w:rStyle w:val="Hyperlink"/>
            <w:rtl/>
          </w:rPr>
          <w:t xml:space="preserve"> کل</w:t>
        </w:r>
        <w:r w:rsidRPr="00EC0654">
          <w:rPr>
            <w:rStyle w:val="Hyperlink"/>
            <w:rFonts w:hint="cs"/>
            <w:rtl/>
          </w:rPr>
          <w:t>ی</w:t>
        </w:r>
        <w:r w:rsidRPr="00EC0654">
          <w:rPr>
            <w:rStyle w:val="Hyperlink"/>
            <w:rFonts w:hint="eastAsia"/>
            <w:rtl/>
          </w:rPr>
          <w:t>ن</w:t>
        </w:r>
        <w:r w:rsidRPr="00EC0654">
          <w:rPr>
            <w:rStyle w:val="Hyperlink"/>
            <w:rFonts w:hint="cs"/>
            <w:rtl/>
          </w:rPr>
          <w:t>ی</w:t>
        </w:r>
        <w:r w:rsidRPr="00EC0654">
          <w:rPr>
            <w:rStyle w:val="Hyperlink"/>
            <w:rFonts w:hint="eastAsia"/>
            <w:rtl/>
          </w:rPr>
          <w:t>،</w:t>
        </w:r>
        <w:r w:rsidRPr="00EC0654">
          <w:rPr>
            <w:rStyle w:val="Hyperlink"/>
            <w:rtl/>
          </w:rPr>
          <w:t xml:space="preserve"> ج3، ص569</w:t>
        </w:r>
        <w:r w:rsidRPr="00EC0654">
          <w:rPr>
            <w:rStyle w:val="Hyperlink"/>
          </w:rPr>
          <w:t>.</w:t>
        </w:r>
      </w:hyperlink>
    </w:p>
  </w:footnote>
  <w:footnote w:id="3">
    <w:p w:rsidR="00170F0D" w:rsidRPr="00170F0D" w:rsidRDefault="00170F0D" w:rsidP="00170F0D">
      <w:pPr>
        <w:pStyle w:val="FootnoteText"/>
      </w:pPr>
      <w:r w:rsidRPr="00170F0D">
        <w:footnoteRef/>
      </w:r>
      <w:r w:rsidRPr="00170F0D">
        <w:rPr>
          <w:rtl/>
        </w:rPr>
        <w:t xml:space="preserve"> </w:t>
      </w:r>
      <w:hyperlink r:id="rId3" w:history="1">
        <w:r w:rsidRPr="00170F0D">
          <w:rPr>
            <w:rStyle w:val="Hyperlink"/>
            <w:rtl/>
          </w:rPr>
          <w:t>المحاسن، احمد بن محمد بن خالد برق</w:t>
        </w:r>
        <w:r w:rsidRPr="00170F0D">
          <w:rPr>
            <w:rStyle w:val="Hyperlink"/>
            <w:rFonts w:hint="cs"/>
            <w:rtl/>
          </w:rPr>
          <w:t>ی</w:t>
        </w:r>
        <w:r w:rsidRPr="00170F0D">
          <w:rPr>
            <w:rStyle w:val="Hyperlink"/>
            <w:rFonts w:hint="eastAsia"/>
            <w:rtl/>
          </w:rPr>
          <w:t>،</w:t>
        </w:r>
        <w:r w:rsidRPr="00170F0D">
          <w:rPr>
            <w:rStyle w:val="Hyperlink"/>
            <w:rtl/>
          </w:rPr>
          <w:t xml:space="preserve"> ج2، ص528</w:t>
        </w:r>
        <w:r w:rsidRPr="00170F0D">
          <w:rPr>
            <w:rStyle w:val="Hyperlink"/>
          </w:rPr>
          <w:t>.</w:t>
        </w:r>
      </w:hyperlink>
    </w:p>
  </w:footnote>
  <w:footnote w:id="4">
    <w:p w:rsidR="00B94A83" w:rsidRPr="00B94A83" w:rsidRDefault="00B94A83" w:rsidP="00B94A83">
      <w:pPr>
        <w:pStyle w:val="FootnoteText"/>
      </w:pPr>
      <w:r w:rsidRPr="00B94A83">
        <w:footnoteRef/>
      </w:r>
      <w:r w:rsidRPr="00B94A83">
        <w:rPr>
          <w:rtl/>
        </w:rPr>
        <w:t xml:space="preserve"> </w:t>
      </w:r>
      <w:hyperlink r:id="rId4" w:history="1">
        <w:r w:rsidRPr="00B94A83">
          <w:rPr>
            <w:rStyle w:val="Hyperlink"/>
            <w:rtl/>
          </w:rPr>
          <w:t>رجال النجاش</w:t>
        </w:r>
        <w:r w:rsidRPr="00B94A83">
          <w:rPr>
            <w:rStyle w:val="Hyperlink"/>
            <w:rFonts w:hint="cs"/>
            <w:rtl/>
          </w:rPr>
          <w:t>ی</w:t>
        </w:r>
        <w:r w:rsidRPr="00B94A83">
          <w:rPr>
            <w:rStyle w:val="Hyperlink"/>
            <w:rFonts w:hint="eastAsia"/>
            <w:rtl/>
          </w:rPr>
          <w:t>،</w:t>
        </w:r>
        <w:r w:rsidRPr="00B94A83">
          <w:rPr>
            <w:rStyle w:val="Hyperlink"/>
            <w:rtl/>
          </w:rPr>
          <w:t xml:space="preserve"> ش</w:t>
        </w:r>
        <w:r w:rsidRPr="00B94A83">
          <w:rPr>
            <w:rStyle w:val="Hyperlink"/>
            <w:rFonts w:hint="cs"/>
            <w:rtl/>
          </w:rPr>
          <w:t>ی</w:t>
        </w:r>
        <w:r w:rsidRPr="00B94A83">
          <w:rPr>
            <w:rStyle w:val="Hyperlink"/>
            <w:rFonts w:hint="eastAsia"/>
            <w:rtl/>
          </w:rPr>
          <w:t>خ</w:t>
        </w:r>
        <w:r w:rsidRPr="00B94A83">
          <w:rPr>
            <w:rStyle w:val="Hyperlink"/>
            <w:rtl/>
          </w:rPr>
          <w:t xml:space="preserve"> النجاش</w:t>
        </w:r>
        <w:r w:rsidRPr="00B94A83">
          <w:rPr>
            <w:rStyle w:val="Hyperlink"/>
            <w:rFonts w:hint="cs"/>
            <w:rtl/>
          </w:rPr>
          <w:t>ی</w:t>
        </w:r>
        <w:r w:rsidRPr="00B94A83">
          <w:rPr>
            <w:rStyle w:val="Hyperlink"/>
            <w:rFonts w:hint="eastAsia"/>
            <w:rtl/>
          </w:rPr>
          <w:t>،</w:t>
        </w:r>
        <w:r w:rsidRPr="00B94A83">
          <w:rPr>
            <w:rStyle w:val="Hyperlink"/>
            <w:rtl/>
          </w:rPr>
          <w:t xml:space="preserve"> ج، ص336</w:t>
        </w:r>
        <w:r w:rsidRPr="00B94A83">
          <w:rPr>
            <w:rStyle w:val="Hyperlink"/>
          </w:rPr>
          <w:t>.</w:t>
        </w:r>
      </w:hyperlink>
    </w:p>
  </w:footnote>
  <w:footnote w:id="5">
    <w:p w:rsidR="00B94A83" w:rsidRPr="00B94A83" w:rsidRDefault="00B94A83" w:rsidP="00B94A83">
      <w:pPr>
        <w:pStyle w:val="FootnoteText"/>
      </w:pPr>
      <w:r w:rsidRPr="00B94A83">
        <w:footnoteRef/>
      </w:r>
      <w:r w:rsidRPr="00B94A83">
        <w:rPr>
          <w:rtl/>
        </w:rPr>
        <w:t xml:space="preserve"> </w:t>
      </w:r>
      <w:hyperlink r:id="rId5" w:history="1">
        <w:r w:rsidRPr="00B94A83">
          <w:rPr>
            <w:rStyle w:val="Hyperlink"/>
            <w:rtl/>
          </w:rPr>
          <w:t>رجال الطوس</w:t>
        </w:r>
        <w:r w:rsidRPr="00B94A83">
          <w:rPr>
            <w:rStyle w:val="Hyperlink"/>
            <w:rFonts w:hint="cs"/>
            <w:rtl/>
          </w:rPr>
          <w:t>ی</w:t>
        </w:r>
        <w:r w:rsidRPr="00B94A83">
          <w:rPr>
            <w:rStyle w:val="Hyperlink"/>
            <w:rFonts w:hint="eastAsia"/>
            <w:rtl/>
          </w:rPr>
          <w:t>،</w:t>
        </w:r>
        <w:r w:rsidRPr="00B94A83">
          <w:rPr>
            <w:rStyle w:val="Hyperlink"/>
            <w:rtl/>
          </w:rPr>
          <w:t xml:space="preserve"> ش</w:t>
        </w:r>
        <w:r w:rsidRPr="00B94A83">
          <w:rPr>
            <w:rStyle w:val="Hyperlink"/>
            <w:rFonts w:hint="cs"/>
            <w:rtl/>
          </w:rPr>
          <w:t>ی</w:t>
        </w:r>
        <w:r w:rsidRPr="00B94A83">
          <w:rPr>
            <w:rStyle w:val="Hyperlink"/>
            <w:rFonts w:hint="eastAsia"/>
            <w:rtl/>
          </w:rPr>
          <w:t>خ</w:t>
        </w:r>
        <w:r w:rsidRPr="00B94A83">
          <w:rPr>
            <w:rStyle w:val="Hyperlink"/>
            <w:rtl/>
          </w:rPr>
          <w:t xml:space="preserve"> طوس</w:t>
        </w:r>
        <w:r w:rsidRPr="00B94A83">
          <w:rPr>
            <w:rStyle w:val="Hyperlink"/>
            <w:rFonts w:hint="cs"/>
            <w:rtl/>
          </w:rPr>
          <w:t>ی</w:t>
        </w:r>
        <w:r w:rsidRPr="00B94A83">
          <w:rPr>
            <w:rStyle w:val="Hyperlink"/>
            <w:rFonts w:hint="eastAsia"/>
            <w:rtl/>
          </w:rPr>
          <w:t>،</w:t>
        </w:r>
        <w:r w:rsidRPr="00B94A83">
          <w:rPr>
            <w:rStyle w:val="Hyperlink"/>
            <w:rtl/>
          </w:rPr>
          <w:t xml:space="preserve"> ج، ص363</w:t>
        </w:r>
        <w:r w:rsidRPr="00B94A83">
          <w:rPr>
            <w:rStyle w:val="Hyperlink"/>
          </w:rPr>
          <w:t>.</w:t>
        </w:r>
      </w:hyperlink>
    </w:p>
  </w:footnote>
  <w:footnote w:id="6">
    <w:p w:rsidR="00B94A83" w:rsidRPr="00B94A83" w:rsidRDefault="00B94A83" w:rsidP="00B94A83">
      <w:pPr>
        <w:pStyle w:val="FootnoteText"/>
      </w:pPr>
      <w:r>
        <w:rPr>
          <w:rStyle w:val="FootnoteReference"/>
        </w:rPr>
        <w:footnoteRef/>
      </w:r>
      <w:r>
        <w:rPr>
          <w:rtl/>
        </w:rPr>
        <w:t xml:space="preserve"> </w:t>
      </w:r>
      <w:r w:rsidRPr="00B94A83">
        <w:rPr>
          <w:rtl/>
        </w:rPr>
        <w:t xml:space="preserve"> ابن‏الغضائري ج : 1  ص :  39</w:t>
      </w:r>
    </w:p>
  </w:footnote>
  <w:footnote w:id="7">
    <w:p w:rsidR="005A2D4E" w:rsidRDefault="005A2D4E">
      <w:pPr>
        <w:pStyle w:val="FootnoteText"/>
      </w:pPr>
      <w:r>
        <w:rPr>
          <w:rStyle w:val="FootnoteReference"/>
        </w:rPr>
        <w:footnoteRef/>
      </w:r>
      <w:r>
        <w:rPr>
          <w:rtl/>
        </w:rPr>
        <w:t xml:space="preserve"> </w:t>
      </w:r>
      <w:r>
        <w:rPr>
          <w:rFonts w:hint="cs"/>
          <w:rtl/>
        </w:rPr>
        <w:t xml:space="preserve">مثلا طبری در تاریخ طبری سعه مشرب بیشتری نسبت به تفسیر طبری دارد. علت آن نیز اهتمام موجود در تفسیر است بر خلاف تاریخ که همین باعث می شود در تاریخ از منابعی اخذ شود که در تفسیر از آنها اخذ نمی شود. البته در تفسیر طبری نیز منقولات ناتمام وجود دارد اما در مقایسه با تاریخ طبری، سعه مشرب تاریخی طبری بیش از تفسیر است.  </w:t>
      </w:r>
    </w:p>
  </w:footnote>
  <w:footnote w:id="8">
    <w:p w:rsidR="00801255" w:rsidRPr="00801255" w:rsidRDefault="00801255" w:rsidP="00801255">
      <w:pPr>
        <w:pStyle w:val="FootnoteText"/>
      </w:pPr>
      <w:r w:rsidRPr="00801255">
        <w:footnoteRef/>
      </w:r>
      <w:r w:rsidRPr="00801255">
        <w:rPr>
          <w:rtl/>
        </w:rPr>
        <w:t xml:space="preserve"> </w:t>
      </w:r>
      <w:hyperlink r:id="rId6" w:history="1">
        <w:r w:rsidRPr="00801255">
          <w:rPr>
            <w:rStyle w:val="Hyperlink"/>
            <w:rtl/>
          </w:rPr>
          <w:t>الکاف</w:t>
        </w:r>
        <w:r w:rsidRPr="00801255">
          <w:rPr>
            <w:rStyle w:val="Hyperlink"/>
            <w:rFonts w:hint="cs"/>
            <w:rtl/>
          </w:rPr>
          <w:t>ی</w:t>
        </w:r>
        <w:r w:rsidRPr="00801255">
          <w:rPr>
            <w:rStyle w:val="Hyperlink"/>
            <w:rFonts w:hint="eastAsia"/>
            <w:rtl/>
          </w:rPr>
          <w:t>،</w:t>
        </w:r>
        <w:r w:rsidRPr="00801255">
          <w:rPr>
            <w:rStyle w:val="Hyperlink"/>
            <w:rtl/>
          </w:rPr>
          <w:t xml:space="preserve"> محمد بن </w:t>
        </w:r>
        <w:r w:rsidRPr="00801255">
          <w:rPr>
            <w:rStyle w:val="Hyperlink"/>
            <w:rFonts w:hint="cs"/>
            <w:rtl/>
          </w:rPr>
          <w:t>ی</w:t>
        </w:r>
        <w:r w:rsidRPr="00801255">
          <w:rPr>
            <w:rStyle w:val="Hyperlink"/>
            <w:rFonts w:hint="eastAsia"/>
            <w:rtl/>
          </w:rPr>
          <w:t>عقوب</w:t>
        </w:r>
        <w:r w:rsidRPr="00801255">
          <w:rPr>
            <w:rStyle w:val="Hyperlink"/>
            <w:rtl/>
          </w:rPr>
          <w:t xml:space="preserve"> کل</w:t>
        </w:r>
        <w:r w:rsidRPr="00801255">
          <w:rPr>
            <w:rStyle w:val="Hyperlink"/>
            <w:rFonts w:hint="cs"/>
            <w:rtl/>
          </w:rPr>
          <w:t>ی</w:t>
        </w:r>
        <w:r w:rsidRPr="00801255">
          <w:rPr>
            <w:rStyle w:val="Hyperlink"/>
            <w:rFonts w:hint="eastAsia"/>
            <w:rtl/>
          </w:rPr>
          <w:t>ن</w:t>
        </w:r>
        <w:r w:rsidRPr="00801255">
          <w:rPr>
            <w:rStyle w:val="Hyperlink"/>
            <w:rFonts w:hint="cs"/>
            <w:rtl/>
          </w:rPr>
          <w:t>ی</w:t>
        </w:r>
        <w:r w:rsidRPr="00801255">
          <w:rPr>
            <w:rStyle w:val="Hyperlink"/>
            <w:rFonts w:hint="eastAsia"/>
            <w:rtl/>
          </w:rPr>
          <w:t>،</w:t>
        </w:r>
        <w:r w:rsidRPr="00801255">
          <w:rPr>
            <w:rStyle w:val="Hyperlink"/>
            <w:rtl/>
          </w:rPr>
          <w:t xml:space="preserve"> ج3، ص569</w:t>
        </w:r>
        <w:r w:rsidRPr="00801255">
          <w:rPr>
            <w:rStyle w:val="Hyperlink"/>
          </w:rPr>
          <w:t>.</w:t>
        </w:r>
      </w:hyperlink>
    </w:p>
  </w:footnote>
  <w:footnote w:id="9">
    <w:p w:rsidR="006269F8" w:rsidRPr="006269F8" w:rsidRDefault="006269F8" w:rsidP="006269F8">
      <w:pPr>
        <w:pStyle w:val="FootnoteText"/>
      </w:pPr>
      <w:r w:rsidRPr="006269F8">
        <w:footnoteRef/>
      </w:r>
      <w:r w:rsidRPr="006269F8">
        <w:rPr>
          <w:rtl/>
        </w:rPr>
        <w:t xml:space="preserve"> </w:t>
      </w:r>
      <w:hyperlink r:id="rId7" w:history="1">
        <w:r w:rsidRPr="006269F8">
          <w:rPr>
            <w:rStyle w:val="Hyperlink"/>
            <w:rFonts w:hint="cs"/>
            <w:rtl/>
          </w:rPr>
          <w:t>دعائم</w:t>
        </w:r>
        <w:r w:rsidRPr="006269F8">
          <w:rPr>
            <w:rStyle w:val="Hyperlink"/>
            <w:rtl/>
          </w:rPr>
          <w:t xml:space="preserve"> </w:t>
        </w:r>
        <w:r w:rsidRPr="006269F8">
          <w:rPr>
            <w:rStyle w:val="Hyperlink"/>
            <w:rFonts w:hint="cs"/>
            <w:rtl/>
          </w:rPr>
          <w:t>الاسلام،</w:t>
        </w:r>
        <w:r w:rsidRPr="006269F8">
          <w:rPr>
            <w:rStyle w:val="Hyperlink"/>
            <w:rtl/>
          </w:rPr>
          <w:t xml:space="preserve"> </w:t>
        </w:r>
        <w:r w:rsidRPr="006269F8">
          <w:rPr>
            <w:rStyle w:val="Hyperlink"/>
            <w:rFonts w:hint="cs"/>
            <w:rtl/>
          </w:rPr>
          <w:t>قاضی</w:t>
        </w:r>
        <w:r w:rsidRPr="006269F8">
          <w:rPr>
            <w:rStyle w:val="Hyperlink"/>
            <w:rtl/>
          </w:rPr>
          <w:t xml:space="preserve"> </w:t>
        </w:r>
        <w:r w:rsidRPr="006269F8">
          <w:rPr>
            <w:rStyle w:val="Hyperlink"/>
            <w:rFonts w:hint="cs"/>
            <w:rtl/>
          </w:rPr>
          <w:t>نعمان</w:t>
        </w:r>
        <w:r w:rsidRPr="006269F8">
          <w:rPr>
            <w:rStyle w:val="Hyperlink"/>
            <w:rtl/>
          </w:rPr>
          <w:t xml:space="preserve"> </w:t>
        </w:r>
        <w:r w:rsidRPr="006269F8">
          <w:rPr>
            <w:rStyle w:val="Hyperlink"/>
            <w:rFonts w:hint="cs"/>
            <w:rtl/>
          </w:rPr>
          <w:t>مغربی،</w:t>
        </w:r>
        <w:r w:rsidRPr="006269F8">
          <w:rPr>
            <w:rStyle w:val="Hyperlink"/>
            <w:rtl/>
          </w:rPr>
          <w:t xml:space="preserve"> </w:t>
        </w:r>
        <w:r w:rsidRPr="006269F8">
          <w:rPr>
            <w:rStyle w:val="Hyperlink"/>
            <w:rFonts w:hint="cs"/>
            <w:rtl/>
          </w:rPr>
          <w:t>ج</w:t>
        </w:r>
        <w:r w:rsidRPr="006269F8">
          <w:rPr>
            <w:rStyle w:val="Hyperlink"/>
            <w:rtl/>
          </w:rPr>
          <w:t>2</w:t>
        </w:r>
        <w:r w:rsidRPr="006269F8">
          <w:rPr>
            <w:rStyle w:val="Hyperlink"/>
            <w:rFonts w:hint="cs"/>
            <w:rtl/>
          </w:rPr>
          <w:t>،</w:t>
        </w:r>
        <w:r w:rsidRPr="006269F8">
          <w:rPr>
            <w:rStyle w:val="Hyperlink"/>
            <w:rtl/>
          </w:rPr>
          <w:t xml:space="preserve"> </w:t>
        </w:r>
        <w:r w:rsidRPr="006269F8">
          <w:rPr>
            <w:rStyle w:val="Hyperlink"/>
            <w:rFonts w:hint="cs"/>
            <w:rtl/>
          </w:rPr>
          <w:t>ص</w:t>
        </w:r>
        <w:r w:rsidRPr="006269F8">
          <w:rPr>
            <w:rStyle w:val="Hyperlink"/>
            <w:rtl/>
          </w:rPr>
          <w:t>108</w:t>
        </w:r>
        <w:r w:rsidRPr="006269F8">
          <w:rPr>
            <w:rStyle w:val="Hyperlink"/>
          </w:rPr>
          <w:t>.</w:t>
        </w:r>
      </w:hyperlink>
    </w:p>
  </w:footnote>
  <w:footnote w:id="10">
    <w:p w:rsidR="006B59CF" w:rsidRDefault="006B59CF">
      <w:pPr>
        <w:pStyle w:val="FootnoteText"/>
      </w:pPr>
      <w:r>
        <w:rPr>
          <w:rStyle w:val="FootnoteReference"/>
        </w:rPr>
        <w:footnoteRef/>
      </w:r>
      <w:r>
        <w:rPr>
          <w:rtl/>
        </w:rPr>
        <w:t xml:space="preserve"> </w:t>
      </w:r>
      <w:r>
        <w:rPr>
          <w:rFonts w:hint="cs"/>
          <w:rtl/>
        </w:rPr>
        <w:t xml:space="preserve">کمال الدین؛ ج 1، ص: 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D64CDE">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D64CD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D64CDE">
      <w:rPr>
        <w:b/>
        <w:bCs/>
        <w:color w:val="632423" w:themeColor="accent2" w:themeShade="80"/>
        <w:sz w:val="20"/>
        <w:szCs w:val="24"/>
        <w:rtl/>
      </w:rPr>
      <w:t>س</w:t>
    </w:r>
    <w:r w:rsidR="00D64CDE">
      <w:rPr>
        <w:rFonts w:hint="cs"/>
        <w:b/>
        <w:bCs/>
        <w:color w:val="632423" w:themeColor="accent2" w:themeShade="80"/>
        <w:sz w:val="20"/>
        <w:szCs w:val="24"/>
        <w:rtl/>
      </w:rPr>
      <w:t>ی</w:t>
    </w:r>
    <w:r w:rsidR="00D64CDE">
      <w:rPr>
        <w:rFonts w:hint="eastAsia"/>
        <w:b/>
        <w:bCs/>
        <w:color w:val="632423" w:themeColor="accent2" w:themeShade="80"/>
        <w:sz w:val="20"/>
        <w:szCs w:val="24"/>
        <w:rtl/>
      </w:rPr>
      <w:t>د</w:t>
    </w:r>
    <w:r w:rsidR="00D64CDE">
      <w:rPr>
        <w:b/>
        <w:bCs/>
        <w:color w:val="632423" w:themeColor="accent2" w:themeShade="80"/>
        <w:sz w:val="20"/>
        <w:szCs w:val="24"/>
        <w:rtl/>
      </w:rPr>
      <w:t xml:space="preserve"> محمد جواد شب</w:t>
    </w:r>
    <w:r w:rsidR="00D64CDE">
      <w:rPr>
        <w:rFonts w:hint="cs"/>
        <w:b/>
        <w:bCs/>
        <w:color w:val="632423" w:themeColor="accent2" w:themeShade="80"/>
        <w:sz w:val="20"/>
        <w:szCs w:val="24"/>
        <w:rtl/>
      </w:rPr>
      <w:t>ی</w:t>
    </w:r>
    <w:r w:rsidR="00D64CDE">
      <w:rPr>
        <w:rFonts w:hint="eastAsia"/>
        <w:b/>
        <w:bCs/>
        <w:color w:val="632423" w:themeColor="accent2" w:themeShade="80"/>
        <w:sz w:val="20"/>
        <w:szCs w:val="24"/>
        <w:rtl/>
      </w:rPr>
      <w:t>ر</w:t>
    </w:r>
    <w:r w:rsidR="00D64CD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D64CDE">
      <w:rPr>
        <w:sz w:val="24"/>
        <w:szCs w:val="24"/>
        <w:rtl/>
      </w:rPr>
      <w:t>8 /8 /1400</w:t>
    </w:r>
  </w:p>
  <w:p w:rsidR="00FA3B17" w:rsidRPr="00F16B53" w:rsidRDefault="00935A55" w:rsidP="00F0119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D64CDE">
      <w:rPr>
        <w:color w:val="000000" w:themeColor="text1"/>
        <w:sz w:val="24"/>
        <w:szCs w:val="24"/>
        <w:rtl/>
      </w:rPr>
      <w:t>وجود حق مال</w:t>
    </w:r>
    <w:r w:rsidR="00D64CDE">
      <w:rPr>
        <w:rFonts w:hint="cs"/>
        <w:color w:val="000000" w:themeColor="text1"/>
        <w:sz w:val="24"/>
        <w:szCs w:val="24"/>
        <w:rtl/>
      </w:rPr>
      <w:t>ی</w:t>
    </w:r>
    <w:r w:rsidR="00D64CDE">
      <w:rPr>
        <w:color w:val="000000" w:themeColor="text1"/>
        <w:sz w:val="24"/>
        <w:szCs w:val="24"/>
        <w:rtl/>
      </w:rPr>
      <w:t xml:space="preserve"> د</w:t>
    </w:r>
    <w:r w:rsidR="00D64CDE">
      <w:rPr>
        <w:rFonts w:hint="cs"/>
        <w:color w:val="000000" w:themeColor="text1"/>
        <w:sz w:val="24"/>
        <w:szCs w:val="24"/>
        <w:rtl/>
      </w:rPr>
      <w:t>ی</w:t>
    </w:r>
    <w:r w:rsidR="00D64CDE">
      <w:rPr>
        <w:rFonts w:hint="eastAsia"/>
        <w:color w:val="000000" w:themeColor="text1"/>
        <w:sz w:val="24"/>
        <w:szCs w:val="24"/>
        <w:rtl/>
      </w:rPr>
      <w:t>گر</w:t>
    </w:r>
    <w:r w:rsidR="00D64CDE">
      <w:rPr>
        <w:rFonts w:hint="cs"/>
        <w:color w:val="000000" w:themeColor="text1"/>
        <w:sz w:val="24"/>
        <w:szCs w:val="24"/>
        <w:rtl/>
      </w:rPr>
      <w:t>ی</w:t>
    </w:r>
    <w:r w:rsidR="00D64CDE">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F0119D">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D64CDE">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90B55"/>
    <w:multiLevelType w:val="hybridMultilevel"/>
    <w:tmpl w:val="63124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F0D"/>
    <w:rsid w:val="00173FA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7BD4"/>
    <w:rsid w:val="0024121B"/>
    <w:rsid w:val="00247D2F"/>
    <w:rsid w:val="00256560"/>
    <w:rsid w:val="0027605E"/>
    <w:rsid w:val="00277597"/>
    <w:rsid w:val="00281E00"/>
    <w:rsid w:val="00294A52"/>
    <w:rsid w:val="002B575F"/>
    <w:rsid w:val="002B729B"/>
    <w:rsid w:val="002C23B5"/>
    <w:rsid w:val="002C53A2"/>
    <w:rsid w:val="002C58F6"/>
    <w:rsid w:val="002D0040"/>
    <w:rsid w:val="002D2FA8"/>
    <w:rsid w:val="002E220F"/>
    <w:rsid w:val="00307311"/>
    <w:rsid w:val="0032100F"/>
    <w:rsid w:val="0033402C"/>
    <w:rsid w:val="00336681"/>
    <w:rsid w:val="00340521"/>
    <w:rsid w:val="00345C73"/>
    <w:rsid w:val="00354A99"/>
    <w:rsid w:val="00360311"/>
    <w:rsid w:val="00361922"/>
    <w:rsid w:val="0037339B"/>
    <w:rsid w:val="00386C11"/>
    <w:rsid w:val="00397466"/>
    <w:rsid w:val="003A6148"/>
    <w:rsid w:val="003B72B7"/>
    <w:rsid w:val="003C33F6"/>
    <w:rsid w:val="003C3D2E"/>
    <w:rsid w:val="003C43A5"/>
    <w:rsid w:val="003C547F"/>
    <w:rsid w:val="003E1C5C"/>
    <w:rsid w:val="003E6650"/>
    <w:rsid w:val="003F5B46"/>
    <w:rsid w:val="00401363"/>
    <w:rsid w:val="00402E47"/>
    <w:rsid w:val="00422BC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3117"/>
    <w:rsid w:val="004E66FB"/>
    <w:rsid w:val="004F470A"/>
    <w:rsid w:val="004F4C59"/>
    <w:rsid w:val="00500C8F"/>
    <w:rsid w:val="00501909"/>
    <w:rsid w:val="00507BBB"/>
    <w:rsid w:val="005128DF"/>
    <w:rsid w:val="0051592A"/>
    <w:rsid w:val="005206FE"/>
    <w:rsid w:val="005257ED"/>
    <w:rsid w:val="005306F8"/>
    <w:rsid w:val="0054023D"/>
    <w:rsid w:val="005426BF"/>
    <w:rsid w:val="00543358"/>
    <w:rsid w:val="0056213C"/>
    <w:rsid w:val="0057378B"/>
    <w:rsid w:val="005806F7"/>
    <w:rsid w:val="00580C24"/>
    <w:rsid w:val="005968EF"/>
    <w:rsid w:val="00596C1E"/>
    <w:rsid w:val="005A2D4E"/>
    <w:rsid w:val="005A2E26"/>
    <w:rsid w:val="005B7BCA"/>
    <w:rsid w:val="005C0DAE"/>
    <w:rsid w:val="005C188E"/>
    <w:rsid w:val="005D2349"/>
    <w:rsid w:val="005E1B60"/>
    <w:rsid w:val="005E5507"/>
    <w:rsid w:val="005E607B"/>
    <w:rsid w:val="005F0A8D"/>
    <w:rsid w:val="005F447B"/>
    <w:rsid w:val="00601229"/>
    <w:rsid w:val="00603B67"/>
    <w:rsid w:val="006162A2"/>
    <w:rsid w:val="006240DA"/>
    <w:rsid w:val="006269F8"/>
    <w:rsid w:val="0063256E"/>
    <w:rsid w:val="00633F04"/>
    <w:rsid w:val="00635219"/>
    <w:rsid w:val="00635EC0"/>
    <w:rsid w:val="00640B58"/>
    <w:rsid w:val="00651B02"/>
    <w:rsid w:val="00651B19"/>
    <w:rsid w:val="00660A29"/>
    <w:rsid w:val="00695519"/>
    <w:rsid w:val="006964FF"/>
    <w:rsid w:val="006A4134"/>
    <w:rsid w:val="006A5DDA"/>
    <w:rsid w:val="006A6701"/>
    <w:rsid w:val="006B21F4"/>
    <w:rsid w:val="006B3753"/>
    <w:rsid w:val="006B59CF"/>
    <w:rsid w:val="006B7AD6"/>
    <w:rsid w:val="006B7F60"/>
    <w:rsid w:val="006C50FD"/>
    <w:rsid w:val="006D14A4"/>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022D"/>
    <w:rsid w:val="007E1564"/>
    <w:rsid w:val="007E1E87"/>
    <w:rsid w:val="007E5B3F"/>
    <w:rsid w:val="007E604E"/>
    <w:rsid w:val="007F2257"/>
    <w:rsid w:val="0080091D"/>
    <w:rsid w:val="00801255"/>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201E"/>
    <w:rsid w:val="00923C34"/>
    <w:rsid w:val="00924152"/>
    <w:rsid w:val="0092513D"/>
    <w:rsid w:val="00927A9F"/>
    <w:rsid w:val="009335CC"/>
    <w:rsid w:val="00935A55"/>
    <w:rsid w:val="00941CEB"/>
    <w:rsid w:val="0094720F"/>
    <w:rsid w:val="00952B3D"/>
    <w:rsid w:val="00953B28"/>
    <w:rsid w:val="00954322"/>
    <w:rsid w:val="00957CAA"/>
    <w:rsid w:val="0096778A"/>
    <w:rsid w:val="00971788"/>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A6C"/>
    <w:rsid w:val="00AC6FE2"/>
    <w:rsid w:val="00AF3925"/>
    <w:rsid w:val="00B1296B"/>
    <w:rsid w:val="00B2292F"/>
    <w:rsid w:val="00B43169"/>
    <w:rsid w:val="00B433F3"/>
    <w:rsid w:val="00B501A8"/>
    <w:rsid w:val="00B55AE4"/>
    <w:rsid w:val="00B70B46"/>
    <w:rsid w:val="00B739B0"/>
    <w:rsid w:val="00B814A3"/>
    <w:rsid w:val="00B94A8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4B93"/>
    <w:rsid w:val="00C57B5C"/>
    <w:rsid w:val="00C57C7C"/>
    <w:rsid w:val="00C61049"/>
    <w:rsid w:val="00C63FFE"/>
    <w:rsid w:val="00C67C2E"/>
    <w:rsid w:val="00C91EB6"/>
    <w:rsid w:val="00CA10B0"/>
    <w:rsid w:val="00CA2F8E"/>
    <w:rsid w:val="00CA3EE2"/>
    <w:rsid w:val="00CA7FD5"/>
    <w:rsid w:val="00CB3287"/>
    <w:rsid w:val="00CB33E2"/>
    <w:rsid w:val="00CB3C06"/>
    <w:rsid w:val="00CB4E68"/>
    <w:rsid w:val="00CC2733"/>
    <w:rsid w:val="00CD0050"/>
    <w:rsid w:val="00CE7481"/>
    <w:rsid w:val="00CF0A8F"/>
    <w:rsid w:val="00D048CE"/>
    <w:rsid w:val="00D10998"/>
    <w:rsid w:val="00D15CBD"/>
    <w:rsid w:val="00D221CB"/>
    <w:rsid w:val="00D23391"/>
    <w:rsid w:val="00D31805"/>
    <w:rsid w:val="00D552B9"/>
    <w:rsid w:val="00D64CDE"/>
    <w:rsid w:val="00D735B2"/>
    <w:rsid w:val="00D74021"/>
    <w:rsid w:val="00D76660"/>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316"/>
    <w:rsid w:val="00E75920"/>
    <w:rsid w:val="00E80D96"/>
    <w:rsid w:val="00E871FA"/>
    <w:rsid w:val="00E936A4"/>
    <w:rsid w:val="00E954BB"/>
    <w:rsid w:val="00EA45E7"/>
    <w:rsid w:val="00EB78E3"/>
    <w:rsid w:val="00EB7BE3"/>
    <w:rsid w:val="00EC0654"/>
    <w:rsid w:val="00EC1C4B"/>
    <w:rsid w:val="00EC735A"/>
    <w:rsid w:val="00ED5F38"/>
    <w:rsid w:val="00EF27FE"/>
    <w:rsid w:val="00F0119D"/>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8D0"/>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78B"/>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943873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0182666">
      <w:bodyDiv w:val="1"/>
      <w:marLeft w:val="0"/>
      <w:marRight w:val="0"/>
      <w:marTop w:val="0"/>
      <w:marBottom w:val="0"/>
      <w:divBdr>
        <w:top w:val="none" w:sz="0" w:space="0" w:color="auto"/>
        <w:left w:val="none" w:sz="0" w:space="0" w:color="auto"/>
        <w:bottom w:val="none" w:sz="0" w:space="0" w:color="auto"/>
        <w:right w:val="none" w:sz="0" w:space="0" w:color="auto"/>
      </w:divBdr>
    </w:div>
    <w:div w:id="115437207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425092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0274376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004004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146784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101/2/528/" TargetMode="External"/><Relationship Id="rId7" Type="http://schemas.openxmlformats.org/officeDocument/2006/relationships/hyperlink" Target="http://lib.eshia.ir/71542/2/108/" TargetMode="External"/><Relationship Id="rId2" Type="http://schemas.openxmlformats.org/officeDocument/2006/relationships/hyperlink" Target="http://lib.eshia.ir/11005/3/569/" TargetMode="External"/><Relationship Id="rId1" Type="http://schemas.openxmlformats.org/officeDocument/2006/relationships/hyperlink" Target="http://lib.eshia.ir/11005/3/569/" TargetMode="External"/><Relationship Id="rId6" Type="http://schemas.openxmlformats.org/officeDocument/2006/relationships/hyperlink" Target="http://lib.eshia.ir/11005/3/569/" TargetMode="External"/><Relationship Id="rId5" Type="http://schemas.openxmlformats.org/officeDocument/2006/relationships/hyperlink" Target="http://lib.eshia.ir/14027//363/" TargetMode="External"/><Relationship Id="rId4" Type="http://schemas.openxmlformats.org/officeDocument/2006/relationships/hyperlink" Target="http://lib.eshia.ir/14028//3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949B-1C6C-411B-B2E2-9235DD20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173</TotalTime>
  <Pages>8</Pages>
  <Words>2169</Words>
  <Characters>12368</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34</cp:revision>
  <cp:lastPrinted>2021-11-01T03:04:00Z</cp:lastPrinted>
  <dcterms:created xsi:type="dcterms:W3CDTF">2021-10-31T23:46:00Z</dcterms:created>
  <dcterms:modified xsi:type="dcterms:W3CDTF">2021-11-01T03:28:00Z</dcterms:modified>
  <cp:contentStatus>ویرایش 2.5</cp:contentStatus>
  <cp:version>2.7</cp:version>
</cp:coreProperties>
</file>