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777" w:rsidRDefault="00CA7777" w:rsidP="00CA7777">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CA7777" w:rsidRDefault="00CA7777" w:rsidP="00735D2B">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010</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27</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7</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sidR="00735D2B">
        <w:rPr>
          <w:rFonts w:ascii="IRANSans" w:hAnsi="IRANSans" w:cs="IRANSans" w:hint="cs"/>
          <w:b/>
          <w:bCs/>
          <w:color w:val="0101FF"/>
          <w:sz w:val="24"/>
          <w:szCs w:val="24"/>
          <w:shd w:val="clear" w:color="auto" w:fill="FFFFFF"/>
          <w:rtl/>
        </w:rPr>
        <w:t>الماره</w:t>
      </w:r>
      <w:bookmarkStart w:id="0" w:name="_GoBack"/>
      <w:bookmarkEnd w:id="0"/>
      <w:r w:rsidRPr="00CC5CBC">
        <w:rPr>
          <w:rFonts w:ascii="IRANSans" w:hAnsi="IRANSans" w:cs="IRANSans"/>
          <w:b/>
          <w:bCs/>
          <w:color w:val="0101FF"/>
          <w:sz w:val="24"/>
          <w:szCs w:val="24"/>
          <w:shd w:val="clear" w:color="auto" w:fill="FFFFFF"/>
          <w:rtl/>
        </w:rPr>
        <w:t xml:space="preserve">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8F20BC">
      <w:pPr>
        <w:jc w:val="both"/>
        <w:rPr>
          <w:rStyle w:val="Emphasis"/>
          <w:b/>
          <w:bCs w:val="0"/>
          <w:rtl/>
        </w:rPr>
      </w:pPr>
      <w:r w:rsidRPr="009C66D5">
        <w:rPr>
          <w:rStyle w:val="Emphasis"/>
          <w:rFonts w:hint="cs"/>
          <w:b/>
          <w:bCs w:val="0"/>
          <w:rtl/>
        </w:rPr>
        <w:t>خلاصه مباحث گذشته</w:t>
      </w:r>
      <w:r w:rsidR="007E0B2E">
        <w:rPr>
          <w:rStyle w:val="Emphasis"/>
          <w:rFonts w:hint="cs"/>
          <w:b/>
          <w:bCs w:val="0"/>
          <w:rtl/>
        </w:rPr>
        <w:t xml:space="preserve"> و جلسه امروز</w:t>
      </w:r>
      <w:r w:rsidRPr="009C66D5">
        <w:rPr>
          <w:rStyle w:val="Emphasis"/>
          <w:rFonts w:hint="cs"/>
          <w:b/>
          <w:bCs w:val="0"/>
          <w:rtl/>
        </w:rPr>
        <w:t>:</w:t>
      </w:r>
    </w:p>
    <w:p w:rsidR="003A6148" w:rsidRDefault="007E0B2E" w:rsidP="00E66071">
      <w:pPr>
        <w:pBdr>
          <w:bottom w:val="double" w:sz="6" w:space="1" w:color="auto"/>
        </w:pBdr>
        <w:jc w:val="both"/>
        <w:rPr>
          <w:rtl/>
        </w:rPr>
      </w:pPr>
      <w:r>
        <w:rPr>
          <w:rFonts w:hint="cs"/>
          <w:rtl/>
        </w:rPr>
        <w:t xml:space="preserve">در جلسات گذشته از حق یوم معلوم و حق یوم الحصاد به عنوان حقوق </w:t>
      </w:r>
      <w:r w:rsidR="00E66071">
        <w:rPr>
          <w:rFonts w:hint="cs"/>
          <w:rtl/>
        </w:rPr>
        <w:t xml:space="preserve">مالی غیر از زکات بحث صورت گرفت که نتیجه آن استحباب حق یوم معلوم و وجوب حق یوم الحصاد بود. </w:t>
      </w:r>
    </w:p>
    <w:p w:rsidR="007E0B2E" w:rsidRDefault="00B25676" w:rsidP="00E66071">
      <w:pPr>
        <w:pBdr>
          <w:bottom w:val="double" w:sz="6" w:space="1" w:color="auto"/>
        </w:pBdr>
        <w:jc w:val="both"/>
        <w:rPr>
          <w:rtl/>
        </w:rPr>
      </w:pPr>
      <w:r>
        <w:rPr>
          <w:rFonts w:hint="cs"/>
          <w:rtl/>
        </w:rPr>
        <w:t>در</w:t>
      </w:r>
      <w:r w:rsidR="007E0B2E">
        <w:rPr>
          <w:rFonts w:hint="cs"/>
          <w:rtl/>
        </w:rPr>
        <w:t xml:space="preserve"> جلسه امروز درباره حق الماره به عنوان سومین حق مالی که</w:t>
      </w:r>
      <w:r w:rsidR="00E66071">
        <w:rPr>
          <w:rFonts w:hint="cs"/>
          <w:rtl/>
        </w:rPr>
        <w:t xml:space="preserve"> به جز زکات مطرح شده، بحث شده و روایاتی که در این باره وارد شده است، مرور می شود</w:t>
      </w:r>
      <w:r w:rsidR="007E0B2E">
        <w:rPr>
          <w:rFonts w:hint="cs"/>
          <w:rtl/>
        </w:rPr>
        <w:t xml:space="preserve">. </w:t>
      </w:r>
    </w:p>
    <w:p w:rsidR="00247D2F" w:rsidRPr="003A6148" w:rsidRDefault="00247D2F" w:rsidP="008F20BC">
      <w:pPr>
        <w:pBdr>
          <w:bottom w:val="double" w:sz="6" w:space="1" w:color="auto"/>
        </w:pBdr>
        <w:jc w:val="both"/>
      </w:pPr>
    </w:p>
    <w:p w:rsidR="008F5B4D" w:rsidRDefault="008F5B4D" w:rsidP="008F20BC">
      <w:pPr>
        <w:jc w:val="both"/>
      </w:pPr>
    </w:p>
    <w:p w:rsidR="003E6650" w:rsidRDefault="007E0B2E" w:rsidP="008F20BC">
      <w:pPr>
        <w:pStyle w:val="Heading1"/>
        <w:jc w:val="both"/>
        <w:rPr>
          <w:rtl/>
        </w:rPr>
      </w:pPr>
      <w:bookmarkStart w:id="1" w:name="_Toc85698481"/>
      <w:r>
        <w:rPr>
          <w:rFonts w:hint="cs"/>
          <w:rtl/>
        </w:rPr>
        <w:t>حق المارّه</w:t>
      </w:r>
      <w:bookmarkEnd w:id="1"/>
    </w:p>
    <w:p w:rsidR="007E0B2E" w:rsidRDefault="00E66071" w:rsidP="00E66071">
      <w:pPr>
        <w:jc w:val="both"/>
        <w:rPr>
          <w:rtl/>
        </w:rPr>
      </w:pPr>
      <w:r>
        <w:rPr>
          <w:rFonts w:hint="cs"/>
          <w:rtl/>
        </w:rPr>
        <w:t xml:space="preserve">غالب یا تمام علمای متقدم قائل به ثبوت بودند اما </w:t>
      </w:r>
      <w:r w:rsidR="007E0B2E">
        <w:rPr>
          <w:rFonts w:hint="cs"/>
          <w:rtl/>
        </w:rPr>
        <w:t xml:space="preserve">در ثبوت حق المارّه بین علمای متأخر، اختلاف وجود دارد. ابتدا مروری بر کل روایات این بحث داریم و مباحث فقه الحدیثی و سندی روایات را دنبال می کنیم و پس از آن وارد بحث فقهی از آنها خواهیم شد. </w:t>
      </w:r>
    </w:p>
    <w:p w:rsidR="007E0B2E" w:rsidRDefault="007E0B2E" w:rsidP="008F20BC">
      <w:pPr>
        <w:jc w:val="both"/>
        <w:rPr>
          <w:rtl/>
        </w:rPr>
      </w:pPr>
      <w:r>
        <w:rPr>
          <w:rFonts w:hint="cs"/>
          <w:rtl/>
        </w:rPr>
        <w:t xml:space="preserve">بنده به ترتیب جامع الاحادیث روایات را مرور می کنم. این روایات در جامع الاحادیث در باب حکم اکل الماره من الثمار و استحباب ثلم الحیطان المشتمل علیها اذا ادرکت ج 9 ص 203 وارد شده است. </w:t>
      </w:r>
    </w:p>
    <w:p w:rsidR="00BF403A" w:rsidRDefault="00BF403A" w:rsidP="006E2302">
      <w:pPr>
        <w:pStyle w:val="Heading2"/>
        <w:rPr>
          <w:rtl/>
        </w:rPr>
      </w:pPr>
      <w:bookmarkStart w:id="2" w:name="_Toc85698482"/>
      <w:r>
        <w:rPr>
          <w:rFonts w:hint="cs"/>
          <w:rtl/>
        </w:rPr>
        <w:t>روایت اول: مرسله ابن ابی عمیر</w:t>
      </w:r>
      <w:bookmarkEnd w:id="2"/>
      <w:r>
        <w:rPr>
          <w:rFonts w:hint="cs"/>
          <w:rtl/>
        </w:rPr>
        <w:t xml:space="preserve"> </w:t>
      </w:r>
    </w:p>
    <w:p w:rsidR="007E0B2E" w:rsidRPr="007E0B2E" w:rsidRDefault="007E0B2E" w:rsidP="008F20BC">
      <w:pPr>
        <w:jc w:val="both"/>
        <w:rPr>
          <w:color w:val="008000"/>
          <w:rtl/>
        </w:rPr>
      </w:pPr>
      <w:r w:rsidRPr="007E0B2E">
        <w:rPr>
          <w:color w:val="008000"/>
          <w:rtl/>
        </w:rPr>
        <w:t>الْحُسَيْنُ بْنُ سَعِيدٍ عَنِ ابْنِ أَبِي عُمَيْرٍ عَنْ بَعْضِ أَصْحَابِنَا عَنْ أَبِي عَبْدِ اللَّهِ ع قَالَ: سَأَلْتُهُ عَنِ الرَّجُلِ يَمُرُّ بِالنَّخْلِ وَ السُّنْبُلِ وَ الثَّمَرِ فَيَجُوزُ لَهُ أَنْ يَأْكُلَ مِنْهَا مِنْ غَيْرِ إِذْنِ صَاحِبِهَا مِنْ ضَرُورَةٍ أَوْ غَيْرِ ضَرُورَةٍ قَالَ لَا بَأْسَ.</w:t>
      </w:r>
      <w:r>
        <w:rPr>
          <w:rStyle w:val="FootnoteReference"/>
          <w:color w:val="008000"/>
          <w:rtl/>
        </w:rPr>
        <w:footnoteReference w:id="1"/>
      </w:r>
    </w:p>
    <w:p w:rsidR="00E66071" w:rsidRDefault="00E66071" w:rsidP="00E66071">
      <w:pPr>
        <w:pStyle w:val="Heading3"/>
        <w:rPr>
          <w:rtl/>
        </w:rPr>
      </w:pPr>
      <w:bookmarkStart w:id="3" w:name="_Toc85698483"/>
      <w:r>
        <w:rPr>
          <w:rFonts w:hint="cs"/>
          <w:rtl/>
        </w:rPr>
        <w:t>سند روایت</w:t>
      </w:r>
      <w:bookmarkEnd w:id="3"/>
      <w:r>
        <w:rPr>
          <w:rFonts w:hint="cs"/>
          <w:rtl/>
        </w:rPr>
        <w:t xml:space="preserve"> </w:t>
      </w:r>
    </w:p>
    <w:p w:rsidR="007E0B2E" w:rsidRDefault="007E0B2E" w:rsidP="008F20BC">
      <w:pPr>
        <w:jc w:val="both"/>
        <w:rPr>
          <w:rtl/>
        </w:rPr>
      </w:pPr>
      <w:r>
        <w:rPr>
          <w:rFonts w:hint="cs"/>
          <w:rtl/>
        </w:rPr>
        <w:t>این روایت از جهت سندی دو بحث دارد:</w:t>
      </w:r>
    </w:p>
    <w:p w:rsidR="007E0B2E" w:rsidRDefault="007E0B2E" w:rsidP="00E66071">
      <w:pPr>
        <w:jc w:val="both"/>
        <w:rPr>
          <w:rtl/>
        </w:rPr>
      </w:pPr>
      <w:r>
        <w:rPr>
          <w:rFonts w:hint="cs"/>
          <w:rtl/>
        </w:rPr>
        <w:lastRenderedPageBreak/>
        <w:t xml:space="preserve">اول طریق به حسین بن سعید؛ ما به طور کلی نیازی به بررسی سندی طریق به کتب نمی بینیم به خصوص کتب مشهوری مانند کتاب حسین بن سعید که جزء مشهورترین کتاب های طایفه بوده و بسیاری از کتب دیگر، به وسیله کتب حسین بن سعید معرفی می شدند. در ترجمه برخی از </w:t>
      </w:r>
      <w:r w:rsidR="00E66071">
        <w:rPr>
          <w:rFonts w:hint="cs"/>
          <w:rtl/>
        </w:rPr>
        <w:t>راویان</w:t>
      </w:r>
      <w:r>
        <w:rPr>
          <w:rFonts w:hint="cs"/>
          <w:rtl/>
        </w:rPr>
        <w:t xml:space="preserve"> آمده: «له کتب مثل کتب حسین بن سعید». کتب حسین بن سعید محور</w:t>
      </w:r>
      <w:r w:rsidR="00E66071">
        <w:rPr>
          <w:rFonts w:hint="cs"/>
          <w:rtl/>
        </w:rPr>
        <w:t xml:space="preserve"> طایفه</w:t>
      </w:r>
      <w:r>
        <w:rPr>
          <w:rFonts w:hint="cs"/>
          <w:rtl/>
        </w:rPr>
        <w:t xml:space="preserve"> بوده و</w:t>
      </w:r>
      <w:r w:rsidR="00E66071">
        <w:rPr>
          <w:rFonts w:hint="cs"/>
          <w:rtl/>
        </w:rPr>
        <w:t xml:space="preserve"> حتی</w:t>
      </w:r>
      <w:r>
        <w:rPr>
          <w:rFonts w:hint="cs"/>
          <w:rtl/>
        </w:rPr>
        <w:t xml:space="preserve"> تدریس می شده است. </w:t>
      </w:r>
      <w:r w:rsidR="00E66071">
        <w:rPr>
          <w:rFonts w:hint="cs"/>
          <w:rtl/>
        </w:rPr>
        <w:t>هر چند به نظر ما،</w:t>
      </w:r>
      <w:r>
        <w:rPr>
          <w:rFonts w:hint="cs"/>
          <w:rtl/>
        </w:rPr>
        <w:t xml:space="preserve"> </w:t>
      </w:r>
      <w:r w:rsidR="00E66071">
        <w:rPr>
          <w:rFonts w:hint="cs"/>
          <w:rtl/>
        </w:rPr>
        <w:t xml:space="preserve">نیاز به بررسی سندی طریق به کتب، به کتب مشهور اختصاص ندارد </w:t>
      </w:r>
      <w:r>
        <w:rPr>
          <w:rFonts w:hint="cs"/>
          <w:rtl/>
        </w:rPr>
        <w:t xml:space="preserve">اما مطلب در کتب مشهور، واضح تر است. </w:t>
      </w:r>
    </w:p>
    <w:p w:rsidR="007E0B2E" w:rsidRDefault="007E0B2E" w:rsidP="00E66071">
      <w:pPr>
        <w:jc w:val="both"/>
        <w:rPr>
          <w:rtl/>
        </w:rPr>
      </w:pPr>
      <w:r>
        <w:rPr>
          <w:rFonts w:hint="cs"/>
          <w:rtl/>
        </w:rPr>
        <w:t xml:space="preserve">دوم این سند مرسله ابن ابی عمیر است و اعتبار آن مبتنی بر پذیرش </w:t>
      </w:r>
      <w:r w:rsidR="00E66071">
        <w:rPr>
          <w:rFonts w:hint="cs"/>
          <w:rtl/>
        </w:rPr>
        <w:t>مرسلات</w:t>
      </w:r>
      <w:r>
        <w:rPr>
          <w:rFonts w:hint="cs"/>
          <w:rtl/>
        </w:rPr>
        <w:t xml:space="preserve"> ابن ابی عمیر و صفوان و بزنطی است که ما این مبنا را قبول داریم.</w:t>
      </w:r>
    </w:p>
    <w:p w:rsidR="00E66071" w:rsidRDefault="00E66071" w:rsidP="00E66071">
      <w:pPr>
        <w:pStyle w:val="Heading3"/>
        <w:rPr>
          <w:rtl/>
        </w:rPr>
      </w:pPr>
      <w:bookmarkStart w:id="4" w:name="_Toc85698484"/>
      <w:r>
        <w:rPr>
          <w:rFonts w:hint="cs"/>
          <w:rtl/>
        </w:rPr>
        <w:t>دلالت روایت</w:t>
      </w:r>
      <w:bookmarkEnd w:id="4"/>
      <w:r>
        <w:rPr>
          <w:rFonts w:hint="cs"/>
          <w:rtl/>
        </w:rPr>
        <w:t xml:space="preserve"> </w:t>
      </w:r>
    </w:p>
    <w:p w:rsidR="007E0B2E" w:rsidRDefault="007E0B2E" w:rsidP="008F20BC">
      <w:pPr>
        <w:jc w:val="both"/>
        <w:rPr>
          <w:rtl/>
        </w:rPr>
      </w:pPr>
      <w:r>
        <w:rPr>
          <w:rFonts w:hint="cs"/>
          <w:rtl/>
        </w:rPr>
        <w:t>چند نکته درباره مفاد این روایت وجود دارد:</w:t>
      </w:r>
    </w:p>
    <w:p w:rsidR="007E0B2E" w:rsidRPr="007E0B2E" w:rsidRDefault="007E0B2E" w:rsidP="00E66071">
      <w:pPr>
        <w:jc w:val="both"/>
        <w:rPr>
          <w:rtl/>
        </w:rPr>
      </w:pPr>
      <w:r>
        <w:rPr>
          <w:rFonts w:hint="cs"/>
          <w:rtl/>
        </w:rPr>
        <w:t xml:space="preserve">اول: این روایت هم درباره نخل وارد شده و هم درباره ثمر که میوه درخت است و هم درباره سنبل که </w:t>
      </w:r>
      <w:r w:rsidR="00E66071">
        <w:rPr>
          <w:rFonts w:hint="cs"/>
          <w:rtl/>
        </w:rPr>
        <w:t xml:space="preserve">محصول </w:t>
      </w:r>
      <w:r>
        <w:rPr>
          <w:rFonts w:hint="cs"/>
          <w:rtl/>
        </w:rPr>
        <w:t xml:space="preserve">زراعت است. سایر روایات متفاوت هستند برخی </w:t>
      </w:r>
      <w:r w:rsidR="00E66071">
        <w:rPr>
          <w:rFonts w:hint="cs"/>
          <w:rtl/>
        </w:rPr>
        <w:t>به ثمره اختصاص دارند و</w:t>
      </w:r>
      <w:r w:rsidR="00BF403A">
        <w:rPr>
          <w:rFonts w:hint="cs"/>
          <w:rtl/>
        </w:rPr>
        <w:t xml:space="preserve"> برخی به حائط یا بستان اختصاص دارند. </w:t>
      </w:r>
      <w:r w:rsidR="00E66071">
        <w:rPr>
          <w:rFonts w:hint="cs"/>
          <w:rtl/>
        </w:rPr>
        <w:t xml:space="preserve">روشن به نظر می رسد که </w:t>
      </w:r>
      <w:r w:rsidR="00BF403A">
        <w:rPr>
          <w:rFonts w:hint="cs"/>
          <w:rtl/>
        </w:rPr>
        <w:t xml:space="preserve">به مزرعه بستان اطلاق نمی شود و </w:t>
      </w:r>
      <w:r w:rsidR="00E66071">
        <w:rPr>
          <w:rFonts w:hint="cs"/>
          <w:rtl/>
        </w:rPr>
        <w:t>به زمینی که در آن درختان میوه وجود دارد، بستان گفته می شود و حداکثر بتوان بستان را شامل نخل نیز دانست.</w:t>
      </w:r>
      <w:r w:rsidR="00BF403A">
        <w:rPr>
          <w:rFonts w:hint="cs"/>
          <w:rtl/>
        </w:rPr>
        <w:t xml:space="preserve"> </w:t>
      </w:r>
    </w:p>
    <w:p w:rsidR="001A1EA5" w:rsidRDefault="00BF403A" w:rsidP="00E66071">
      <w:pPr>
        <w:jc w:val="both"/>
        <w:rPr>
          <w:rtl/>
        </w:rPr>
      </w:pPr>
      <w:r>
        <w:rPr>
          <w:rFonts w:hint="cs"/>
          <w:rtl/>
        </w:rPr>
        <w:t xml:space="preserve">دوم: در برخی از روایات حق الماره، اکل در فرض ضرورت تجویز </w:t>
      </w:r>
      <w:r w:rsidR="00E66071">
        <w:rPr>
          <w:rFonts w:hint="cs"/>
          <w:rtl/>
        </w:rPr>
        <w:t>شده</w:t>
      </w:r>
      <w:r>
        <w:rPr>
          <w:rFonts w:hint="cs"/>
          <w:rtl/>
        </w:rPr>
        <w:t xml:space="preserve"> است و مورد برخی از روایات عامه نیز ضرورت است در حالی که مرسله ابن ابی عمیر، اطلاق دارد و در غیر ضرورت نیز اجازه داده است. </w:t>
      </w:r>
    </w:p>
    <w:p w:rsidR="00BF403A" w:rsidRDefault="00BF403A" w:rsidP="00720336">
      <w:pPr>
        <w:jc w:val="both"/>
        <w:rPr>
          <w:rtl/>
        </w:rPr>
      </w:pPr>
      <w:r>
        <w:rPr>
          <w:rFonts w:hint="cs"/>
          <w:rtl/>
        </w:rPr>
        <w:t xml:space="preserve">سوم: یکی از مباحث این است که آیا با نهی صریح مالک حق الماره ثابت است؟ این روایت و روایات شبیه به آن به اطلاق خود صورت نهی صریح مالک را شامل است. به خصوص </w:t>
      </w:r>
      <w:r w:rsidR="00E66071">
        <w:rPr>
          <w:rFonts w:hint="cs"/>
          <w:rtl/>
        </w:rPr>
        <w:t>آنکه مرسله ابن ابی عمیر</w:t>
      </w:r>
      <w:r>
        <w:rPr>
          <w:rFonts w:hint="cs"/>
          <w:rtl/>
        </w:rPr>
        <w:t xml:space="preserve"> عد</w:t>
      </w:r>
      <w:r w:rsidR="00E66071">
        <w:rPr>
          <w:rFonts w:hint="cs"/>
          <w:rtl/>
        </w:rPr>
        <w:t>م نیاز به اذن مالک را بیان کرده و همین باعث می شود</w:t>
      </w:r>
      <w:r>
        <w:rPr>
          <w:rFonts w:hint="cs"/>
          <w:rtl/>
        </w:rPr>
        <w:t xml:space="preserve"> اطلاق قوی تری </w:t>
      </w:r>
      <w:r w:rsidR="00E66071">
        <w:rPr>
          <w:rFonts w:hint="cs"/>
          <w:rtl/>
        </w:rPr>
        <w:t>در شمول</w:t>
      </w:r>
      <w:r>
        <w:rPr>
          <w:rFonts w:hint="cs"/>
          <w:rtl/>
        </w:rPr>
        <w:t xml:space="preserve"> صورت نهی مالک </w:t>
      </w:r>
      <w:r w:rsidR="00E66071">
        <w:rPr>
          <w:rFonts w:hint="cs"/>
          <w:rtl/>
        </w:rPr>
        <w:t>داشته باشد</w:t>
      </w:r>
      <w:r>
        <w:rPr>
          <w:rFonts w:hint="cs"/>
          <w:rtl/>
        </w:rPr>
        <w:t xml:space="preserve"> زیرا با ذکر عدم نیاز به اذن صاحب، </w:t>
      </w:r>
      <w:r w:rsidR="00720336">
        <w:rPr>
          <w:rFonts w:hint="cs"/>
          <w:rtl/>
        </w:rPr>
        <w:t>روایت</w:t>
      </w:r>
      <w:r w:rsidR="00E66071">
        <w:rPr>
          <w:rFonts w:hint="cs"/>
          <w:rtl/>
        </w:rPr>
        <w:t xml:space="preserve"> </w:t>
      </w:r>
      <w:r>
        <w:rPr>
          <w:rFonts w:hint="cs"/>
          <w:rtl/>
        </w:rPr>
        <w:t xml:space="preserve">در مقام بیان این ویژگی ها هست و اگر </w:t>
      </w:r>
      <w:r w:rsidR="001A3FB5">
        <w:rPr>
          <w:rFonts w:hint="cs"/>
          <w:rtl/>
        </w:rPr>
        <w:t>عدم نهی معتبر بود</w:t>
      </w:r>
      <w:r>
        <w:rPr>
          <w:rFonts w:hint="cs"/>
          <w:rtl/>
        </w:rPr>
        <w:t xml:space="preserve">، باید </w:t>
      </w:r>
      <w:r w:rsidR="001A3FB5">
        <w:rPr>
          <w:rFonts w:hint="cs"/>
          <w:rtl/>
        </w:rPr>
        <w:t>به طور طبیعی ذکر می ش</w:t>
      </w:r>
      <w:r>
        <w:rPr>
          <w:rFonts w:hint="cs"/>
          <w:rtl/>
        </w:rPr>
        <w:t xml:space="preserve">د. </w:t>
      </w:r>
    </w:p>
    <w:p w:rsidR="00BF403A" w:rsidRDefault="00BF403A" w:rsidP="008F20BC">
      <w:pPr>
        <w:pStyle w:val="Heading2"/>
        <w:jc w:val="both"/>
        <w:rPr>
          <w:rtl/>
        </w:rPr>
      </w:pPr>
      <w:bookmarkStart w:id="5" w:name="_Toc85698485"/>
      <w:r>
        <w:rPr>
          <w:rFonts w:hint="cs"/>
          <w:rtl/>
        </w:rPr>
        <w:lastRenderedPageBreak/>
        <w:t>روایت دوم:</w:t>
      </w:r>
      <w:r w:rsidR="001A3FB5">
        <w:rPr>
          <w:rFonts w:hint="cs"/>
          <w:rtl/>
        </w:rPr>
        <w:t xml:space="preserve"> روایت مستطرفات سرائر</w:t>
      </w:r>
      <w:bookmarkEnd w:id="5"/>
      <w:r w:rsidR="001A3FB5">
        <w:rPr>
          <w:rFonts w:hint="cs"/>
          <w:rtl/>
        </w:rPr>
        <w:t xml:space="preserve"> </w:t>
      </w:r>
    </w:p>
    <w:p w:rsidR="00BF403A" w:rsidRDefault="001A3FB5" w:rsidP="008F20BC">
      <w:pPr>
        <w:jc w:val="both"/>
        <w:rPr>
          <w:color w:val="008000"/>
          <w:rtl/>
        </w:rPr>
      </w:pPr>
      <w:r>
        <w:rPr>
          <w:rFonts w:hint="cs"/>
          <w:color w:val="008000"/>
          <w:rtl/>
        </w:rPr>
        <w:t xml:space="preserve">و من ذلک ما استطرفناه </w:t>
      </w:r>
      <w:r w:rsidRPr="001A3FB5">
        <w:rPr>
          <w:color w:val="008000"/>
          <w:rtl/>
        </w:rPr>
        <w:t>مِنْ كِتَابِ مَسَائِلِ الرِّجَالِ وَ مُكَاتَبَاتِهِمْ مَوْلَانَا أَبَا الْحَسَنِ عَلِيَّ بْنَ مُحَمَّدٍ ع مِنْ مَسَائِلِ دَاوُدَ الصَّرْمِيِّ قَالَ: سَأَلْتُهُ عَنْ رَجُلٍ دَخَلَ بُسْتَاناً أَ يَأْكُلُ مِنَ الثَّمَرَةِ مِنْ غَيْرِ عِلْمِ صَاحِبِ الْبُسْتَانِ قَالَ نَعَمْ.</w:t>
      </w:r>
      <w:r>
        <w:rPr>
          <w:rStyle w:val="FootnoteReference"/>
          <w:color w:val="008000"/>
          <w:rtl/>
        </w:rPr>
        <w:footnoteReference w:id="2"/>
      </w:r>
    </w:p>
    <w:p w:rsidR="00720336" w:rsidRDefault="00720336" w:rsidP="00720336">
      <w:pPr>
        <w:pStyle w:val="Heading3"/>
        <w:rPr>
          <w:rtl/>
        </w:rPr>
      </w:pPr>
      <w:bookmarkStart w:id="6" w:name="_Toc85698486"/>
      <w:r>
        <w:rPr>
          <w:rFonts w:hint="cs"/>
          <w:rtl/>
        </w:rPr>
        <w:t>سند روایت</w:t>
      </w:r>
      <w:bookmarkEnd w:id="6"/>
      <w:r>
        <w:rPr>
          <w:rFonts w:hint="cs"/>
          <w:rtl/>
        </w:rPr>
        <w:t xml:space="preserve"> </w:t>
      </w:r>
    </w:p>
    <w:p w:rsidR="00720336" w:rsidRDefault="001A3FB5" w:rsidP="00720336">
      <w:pPr>
        <w:jc w:val="both"/>
        <w:rPr>
          <w:rtl/>
        </w:rPr>
      </w:pPr>
      <w:r>
        <w:rPr>
          <w:rFonts w:hint="cs"/>
          <w:rtl/>
        </w:rPr>
        <w:t>در نقل جامع الاحادیث، داود بن الصرمی آمده اما همچنانچه در حاشیه از وسائل نقل کرده، داود الصرمی صحیح است.</w:t>
      </w:r>
    </w:p>
    <w:p w:rsidR="00720336" w:rsidRDefault="0067482F" w:rsidP="00083639">
      <w:pPr>
        <w:jc w:val="both"/>
        <w:rPr>
          <w:rtl/>
        </w:rPr>
      </w:pPr>
      <w:r>
        <w:rPr>
          <w:rFonts w:hint="cs"/>
          <w:rtl/>
        </w:rPr>
        <w:t>در منقولات مستطرفات سرائر حتما به اصل کتاب مراجعه شود. زیرا ابهاماتی در اسناد و متن ها</w:t>
      </w:r>
      <w:r w:rsidR="00720336">
        <w:rPr>
          <w:rFonts w:hint="cs"/>
          <w:rtl/>
        </w:rPr>
        <w:t>ی مستطرفات</w:t>
      </w:r>
      <w:r>
        <w:rPr>
          <w:rFonts w:hint="cs"/>
          <w:rtl/>
        </w:rPr>
        <w:t xml:space="preserve"> وجود دارد که در بسیاری از موارد، عبارات مستطرفات </w:t>
      </w:r>
      <w:r w:rsidR="008344AA">
        <w:rPr>
          <w:rFonts w:hint="cs"/>
          <w:rtl/>
        </w:rPr>
        <w:t xml:space="preserve">درست </w:t>
      </w:r>
      <w:r>
        <w:rPr>
          <w:rFonts w:hint="cs"/>
          <w:rtl/>
        </w:rPr>
        <w:t xml:space="preserve">فهمیده نشده است. </w:t>
      </w:r>
      <w:r w:rsidR="008344AA">
        <w:rPr>
          <w:rFonts w:hint="cs"/>
          <w:rtl/>
        </w:rPr>
        <w:t xml:space="preserve">علت این امر نیز نحوه نقل مرحوم ابن ادریس است که دقت های حدیثی </w:t>
      </w:r>
      <w:r w:rsidR="00720336">
        <w:rPr>
          <w:rFonts w:hint="cs"/>
          <w:rtl/>
        </w:rPr>
        <w:t xml:space="preserve">متعارف </w:t>
      </w:r>
      <w:r w:rsidR="008344AA">
        <w:rPr>
          <w:rFonts w:hint="cs"/>
          <w:rtl/>
        </w:rPr>
        <w:t xml:space="preserve">را در نقل رعایت نکرده و مطابق با اصول نقل نیست. </w:t>
      </w:r>
      <w:r w:rsidR="00B77FD6">
        <w:rPr>
          <w:rFonts w:hint="cs"/>
          <w:rtl/>
        </w:rPr>
        <w:t>بنده به تناسب در جلد پنجم اصول در بحث تعادل و تراجیح، به برخی از محورهای مشکلات موجو</w:t>
      </w:r>
      <w:r w:rsidR="00083639">
        <w:rPr>
          <w:rFonts w:hint="cs"/>
          <w:rtl/>
        </w:rPr>
        <w:t>د در مستطرفات سرائر اشاره کردم.</w:t>
      </w:r>
    </w:p>
    <w:p w:rsidR="008344AA" w:rsidRDefault="008344AA" w:rsidP="00720336">
      <w:pPr>
        <w:jc w:val="both"/>
        <w:rPr>
          <w:rtl/>
        </w:rPr>
      </w:pPr>
      <w:r>
        <w:rPr>
          <w:rFonts w:hint="cs"/>
          <w:rtl/>
        </w:rPr>
        <w:t>درباره کتاب مسائل الرجال و مکاتباتهم چند بحث وجود دارد:</w:t>
      </w:r>
    </w:p>
    <w:p w:rsidR="008344AA" w:rsidRDefault="008344AA" w:rsidP="008F20BC">
      <w:pPr>
        <w:jc w:val="both"/>
        <w:rPr>
          <w:rtl/>
        </w:rPr>
      </w:pPr>
      <w:r>
        <w:rPr>
          <w:rFonts w:hint="cs"/>
          <w:rtl/>
        </w:rPr>
        <w:t xml:space="preserve">اول: درباره اصل کتاب بحث وجود دارد. مرحوم ابن ادریس این گونه آغاز کرده است: </w:t>
      </w:r>
    </w:p>
    <w:p w:rsidR="008344AA" w:rsidRDefault="008344AA" w:rsidP="008F20BC">
      <w:pPr>
        <w:jc w:val="both"/>
        <w:rPr>
          <w:color w:val="008000"/>
          <w:rtl/>
        </w:rPr>
      </w:pPr>
      <w:r w:rsidRPr="00083639">
        <w:rPr>
          <w:color w:val="000080"/>
          <w:rtl/>
        </w:rPr>
        <w:t>و من ذلك ما استطرفناه من كتاب مسائل الرجال‏</w:t>
      </w:r>
      <w:r w:rsidRPr="00083639">
        <w:rPr>
          <w:rFonts w:hint="cs"/>
          <w:color w:val="000080"/>
          <w:rtl/>
        </w:rPr>
        <w:t xml:space="preserve"> </w:t>
      </w:r>
      <w:r w:rsidRPr="00083639">
        <w:rPr>
          <w:color w:val="000080"/>
          <w:rtl/>
        </w:rPr>
        <w:t>و مكاتباتهم مولانا أبا الحسن علي بن محمد بن علي بن موسى بن جعفر بن محمد بن علي بن الحسين بن علي بن أبي طالب ع</w:t>
      </w:r>
      <w:r w:rsidRPr="00083639">
        <w:rPr>
          <w:rFonts w:hint="cs"/>
          <w:color w:val="000080"/>
          <w:rtl/>
        </w:rPr>
        <w:t>لیهم السلام</w:t>
      </w:r>
      <w:r w:rsidRPr="00083639">
        <w:rPr>
          <w:color w:val="000080"/>
          <w:rtl/>
        </w:rPr>
        <w:t xml:space="preserve"> و الأجوبة عن ذلك‏</w:t>
      </w:r>
      <w:r w:rsidRPr="00083639">
        <w:rPr>
          <w:rFonts w:hint="cs"/>
          <w:color w:val="000080"/>
          <w:rtl/>
        </w:rPr>
        <w:t xml:space="preserve"> </w:t>
      </w:r>
      <w:r w:rsidRPr="00083639">
        <w:rPr>
          <w:color w:val="000080"/>
          <w:rtl/>
        </w:rPr>
        <w:t>رِوَايَةُ أَبِي عَبْدِ اللَّهِ أَحْمَدَ بْنِ مُحَمَّدِ بْنِ عُبَيْدِ اللَّهِ بْنِ الْحَسَنِ بْنِ عَبَّاسٍ</w:t>
      </w:r>
      <w:r w:rsidRPr="008344AA">
        <w:rPr>
          <w:color w:val="008000"/>
          <w:rtl/>
        </w:rPr>
        <w:t xml:space="preserve"> </w:t>
      </w:r>
      <w:r w:rsidRPr="008344AA">
        <w:rPr>
          <w:rFonts w:hint="cs"/>
          <w:rtl/>
        </w:rPr>
        <w:t>(در پاورقی عیاش نقل شده که همان صحیح است.)</w:t>
      </w:r>
      <w:r w:rsidRPr="008344AA">
        <w:rPr>
          <w:rtl/>
        </w:rPr>
        <w:t xml:space="preserve"> </w:t>
      </w:r>
      <w:r w:rsidRPr="00083639">
        <w:rPr>
          <w:color w:val="000080"/>
          <w:rtl/>
        </w:rPr>
        <w:t>الْجَوْهَرِيِّ وَ رِوَايَةُ عَبْدِ اللَّهِ بْنِ جَعْفَرٍ الْحِمْيَرِيِّ رَضِيَ اللَّهُ عَنْهُ مِنْ مَسَائِلِ أَيُّوبَ بْنِ نُوح‏</w:t>
      </w:r>
      <w:r w:rsidRPr="00083639">
        <w:rPr>
          <w:rStyle w:val="FootnoteReference"/>
          <w:color w:val="000080"/>
          <w:rtl/>
        </w:rPr>
        <w:footnoteReference w:id="3"/>
      </w:r>
    </w:p>
    <w:p w:rsidR="008344AA" w:rsidRDefault="008344AA" w:rsidP="008F20BC">
      <w:pPr>
        <w:jc w:val="both"/>
        <w:rPr>
          <w:rtl/>
        </w:rPr>
      </w:pPr>
      <w:r>
        <w:rPr>
          <w:rFonts w:hint="cs"/>
          <w:rtl/>
        </w:rPr>
        <w:t xml:space="preserve">ایشان در ادامه روایاتی را نقل کرده </w:t>
      </w:r>
      <w:r w:rsidR="00B25676">
        <w:rPr>
          <w:rFonts w:hint="cs"/>
          <w:rtl/>
        </w:rPr>
        <w:t>که</w:t>
      </w:r>
      <w:r>
        <w:rPr>
          <w:rFonts w:hint="cs"/>
          <w:rtl/>
        </w:rPr>
        <w:t xml:space="preserve"> روایت مورد نظر نیز بین آنها وجود دارد. </w:t>
      </w:r>
    </w:p>
    <w:p w:rsidR="008344AA" w:rsidRDefault="008344AA" w:rsidP="008F20BC">
      <w:pPr>
        <w:jc w:val="both"/>
        <w:rPr>
          <w:rtl/>
        </w:rPr>
      </w:pPr>
      <w:r w:rsidRPr="008344AA">
        <w:rPr>
          <w:rtl/>
        </w:rPr>
        <w:t>أَبِي عَبْدِ اللَّهِ أَحْمَدَ بْنِ مُحَمَّدِ بْنِ عُبَيْدِ اللّ</w:t>
      </w:r>
      <w:r>
        <w:rPr>
          <w:rtl/>
        </w:rPr>
        <w:t>َهِ بْنِ الْحَسَنِ بْنِ عَ</w:t>
      </w:r>
      <w:r>
        <w:rPr>
          <w:rFonts w:hint="cs"/>
          <w:rtl/>
        </w:rPr>
        <w:t>یاش الجوهری صاحب مقتضب</w:t>
      </w:r>
      <w:r w:rsidR="00636BB8">
        <w:rPr>
          <w:rFonts w:hint="cs"/>
          <w:rtl/>
        </w:rPr>
        <w:t xml:space="preserve"> الاثر</w:t>
      </w:r>
      <w:r w:rsidR="00083639">
        <w:rPr>
          <w:rFonts w:hint="cs"/>
          <w:rtl/>
        </w:rPr>
        <w:t xml:space="preserve"> است</w:t>
      </w:r>
      <w:r w:rsidR="00636BB8">
        <w:rPr>
          <w:rFonts w:hint="cs"/>
          <w:rtl/>
        </w:rPr>
        <w:t xml:space="preserve"> </w:t>
      </w:r>
      <w:r w:rsidR="00B25676">
        <w:rPr>
          <w:rFonts w:hint="cs"/>
          <w:rtl/>
        </w:rPr>
        <w:t>که کتاب او چاپ شده است. ابن عیاش جوهری</w:t>
      </w:r>
      <w:r w:rsidR="00A709CE">
        <w:rPr>
          <w:rFonts w:hint="cs"/>
          <w:rtl/>
        </w:rPr>
        <w:t xml:space="preserve"> مطابق نقل مرحوم نجاشی متوفی 401 هجری قمری است.</w:t>
      </w:r>
      <w:r w:rsidR="00A709CE">
        <w:rPr>
          <w:rStyle w:val="FootnoteReference"/>
          <w:rtl/>
        </w:rPr>
        <w:footnoteReference w:id="4"/>
      </w:r>
      <w:r w:rsidR="00636BB8">
        <w:rPr>
          <w:rFonts w:hint="cs"/>
          <w:rtl/>
        </w:rPr>
        <w:t xml:space="preserve"> ایشان معاصر شیخ مفید است و رفاقتی با نجاشی داشته است. </w:t>
      </w:r>
    </w:p>
    <w:p w:rsidR="00636BB8" w:rsidRDefault="00B25676" w:rsidP="008F20BC">
      <w:pPr>
        <w:jc w:val="both"/>
        <w:rPr>
          <w:rtl/>
        </w:rPr>
      </w:pPr>
      <w:r>
        <w:rPr>
          <w:rFonts w:hint="cs"/>
          <w:rtl/>
        </w:rPr>
        <w:lastRenderedPageBreak/>
        <w:t>عبد الله بن جعفر الحمیری، تقریبا در سال 300 از دنیا رفته است زیرا در برخی از منابع نقل شده در سال 298 زنده بوده و در 307 و 308 توقیعاتی از ناحیه مقدسه به محمد، پسر عبد الله بن جعفر الحمیری وارد شده که از لحن آنها برداشت می شود، عبد الله بن جعفر الحمیری از دنیا رفته است. پس حدود 100 سال بعد از وفات عبد الله بن جعفر الحمیری، ابن عیاش الجوهری از دنیا رفته است. جای این پرسش وجود دارد که چگونه ابن عیاش جوهری از عبد الله بن جعفر حمیری نقل روایت کرده است؟ چه رابطه ای بین ابن عیاش و عبد الله بن جعفر وجود دارد؟ اساسا صاحب کتاب مسائل الرجال کیست؟</w:t>
      </w:r>
    </w:p>
    <w:p w:rsidR="00B25676" w:rsidRDefault="00B25676" w:rsidP="008F20BC">
      <w:pPr>
        <w:jc w:val="both"/>
        <w:rPr>
          <w:rtl/>
        </w:rPr>
      </w:pPr>
      <w:r>
        <w:rPr>
          <w:rFonts w:hint="cs"/>
          <w:rtl/>
        </w:rPr>
        <w:t xml:space="preserve">بنده در کتاب تعلیقات </w:t>
      </w:r>
      <w:r w:rsidR="00EB013A">
        <w:rPr>
          <w:rFonts w:hint="cs"/>
          <w:rtl/>
        </w:rPr>
        <w:t xml:space="preserve">که هنوز منتشر نشده، </w:t>
      </w:r>
      <w:r>
        <w:rPr>
          <w:rFonts w:hint="cs"/>
          <w:rtl/>
        </w:rPr>
        <w:t>به تفصیل در این باره بحث کردم که اجمالی از نتیجه آن را بیان می کنم:</w:t>
      </w:r>
    </w:p>
    <w:p w:rsidR="00EB013A" w:rsidRDefault="00B25676" w:rsidP="00083639">
      <w:pPr>
        <w:jc w:val="both"/>
        <w:rPr>
          <w:rtl/>
        </w:rPr>
      </w:pPr>
      <w:r>
        <w:rPr>
          <w:rFonts w:hint="cs"/>
          <w:rtl/>
        </w:rPr>
        <w:t>تعبیر کتاب مسائل الرجال و مکاتباتهم ابی الحسن الهادی علیه السلام، نام یکی از کتاب های عبد الله بن جعفر حمیری است و در مورد هیچ کس دیگری</w:t>
      </w:r>
      <w:r w:rsidR="005E0711">
        <w:rPr>
          <w:rFonts w:hint="cs"/>
          <w:rtl/>
        </w:rPr>
        <w:t xml:space="preserve"> حتی ابن عیاش الجوهری</w:t>
      </w:r>
      <w:r>
        <w:rPr>
          <w:rFonts w:hint="cs"/>
          <w:rtl/>
        </w:rPr>
        <w:t>، کتابی به این نام وارد نشده است.</w:t>
      </w:r>
      <w:r w:rsidR="005E0711">
        <w:rPr>
          <w:rFonts w:hint="cs"/>
          <w:rtl/>
        </w:rPr>
        <w:t xml:space="preserve"> </w:t>
      </w:r>
      <w:r>
        <w:rPr>
          <w:rFonts w:hint="cs"/>
          <w:rtl/>
        </w:rPr>
        <w:t xml:space="preserve">ابن عیاش جوهری به توسّط احمد بن محمد بن یحیی العطار از عبد الله بن جعفر حمیری، کتاب مسائل الرجال را نقل کرده است. </w:t>
      </w:r>
      <w:r w:rsidR="005E0711">
        <w:rPr>
          <w:rFonts w:hint="cs"/>
          <w:rtl/>
        </w:rPr>
        <w:t xml:space="preserve">تعبیر ابن ادریس نیز نارسا است و تصور می شود که در کتاب مسائل الرجال روایت ابن عیاش جوهری و عبد الله بن جعفر حمیری وجود داشته است. اما </w:t>
      </w:r>
      <w:r w:rsidR="00780997">
        <w:rPr>
          <w:rFonts w:hint="cs"/>
          <w:rtl/>
        </w:rPr>
        <w:t xml:space="preserve">در واقع ابتدای نسخه ای از کتاب که در اختیار ابن ادریس بوده، نام مؤلف کتاب نوشته شده بوده و این نسخه از طریق ابن عیاش جوهری به عبد الله بن جعفر حمیری بوده است. کتاب عبد الله بن جعفر حمیری نیز جمع آوری بوده و مسائلی که افراد از امام هادی علیه السلام سوال کرده بودند و امام علیه السلام پاسخ داده را جمع آوری کرده است. به همین دلیل، کتاب مسائل الرجال از مصادر اولیه یا مسائل شفاهی نقل شده از امام هادی علیه السلام تشکیل شده است. </w:t>
      </w:r>
      <w:r w:rsidR="00EB013A">
        <w:rPr>
          <w:rFonts w:hint="cs"/>
          <w:rtl/>
        </w:rPr>
        <w:t>همین، موجب ابهاماتی در اسناد آن شده که باید با دقت و تأمل بیشتر، ناقل هر یک از مسائل را پیدا کرد.</w:t>
      </w:r>
    </w:p>
    <w:p w:rsidR="005E0711" w:rsidRDefault="005C02CE" w:rsidP="00083639">
      <w:pPr>
        <w:jc w:val="both"/>
        <w:rPr>
          <w:rtl/>
        </w:rPr>
      </w:pPr>
      <w:r>
        <w:rPr>
          <w:rFonts w:hint="cs"/>
          <w:rtl/>
        </w:rPr>
        <w:t xml:space="preserve">این احتمال که ابن عیاش الجوهری کتابی به همین نام داشته، صحیح نیست زیرا اولا: در شرح حال ابن عیاش نام چنین کتابی </w:t>
      </w:r>
      <w:r w:rsidR="00083639">
        <w:rPr>
          <w:rFonts w:hint="cs"/>
          <w:rtl/>
        </w:rPr>
        <w:t>ذکر نشده است</w:t>
      </w:r>
      <w:r>
        <w:rPr>
          <w:rFonts w:hint="cs"/>
          <w:rtl/>
        </w:rPr>
        <w:t xml:space="preserve"> و ثانیا: بسیار بعید است که ابن عیاش نیز مانند عبد الله بن</w:t>
      </w:r>
      <w:r w:rsidR="002D415A">
        <w:rPr>
          <w:rFonts w:hint="cs"/>
          <w:rtl/>
        </w:rPr>
        <w:t xml:space="preserve"> جعفر کتابی به یک نام داشته باش</w:t>
      </w:r>
      <w:r>
        <w:rPr>
          <w:rFonts w:hint="cs"/>
          <w:rtl/>
        </w:rPr>
        <w:t xml:space="preserve">د و دقیقا روایات نقل شده از آن دو کتاب نیز وحدت داشته باشند. </w:t>
      </w:r>
    </w:p>
    <w:p w:rsidR="005C02CE" w:rsidRDefault="002D415A" w:rsidP="008F20BC">
      <w:pPr>
        <w:jc w:val="both"/>
        <w:rPr>
          <w:rtl/>
        </w:rPr>
      </w:pPr>
      <w:r>
        <w:rPr>
          <w:rFonts w:hint="cs"/>
          <w:rtl/>
        </w:rPr>
        <w:t xml:space="preserve">ابن ادریس </w:t>
      </w:r>
      <w:r w:rsidR="00A462BE">
        <w:rPr>
          <w:rFonts w:hint="cs"/>
          <w:rtl/>
        </w:rPr>
        <w:t xml:space="preserve">ابتدا </w:t>
      </w:r>
      <w:r>
        <w:rPr>
          <w:rFonts w:hint="cs"/>
          <w:rtl/>
        </w:rPr>
        <w:t xml:space="preserve">از مسائل ایوب بن نوح مواردی را نقل </w:t>
      </w:r>
      <w:r w:rsidR="00A462BE">
        <w:rPr>
          <w:rFonts w:hint="cs"/>
          <w:rtl/>
        </w:rPr>
        <w:t>کرده</w:t>
      </w:r>
      <w:r>
        <w:rPr>
          <w:rFonts w:hint="cs"/>
          <w:rtl/>
        </w:rPr>
        <w:t xml:space="preserve"> تا </w:t>
      </w:r>
      <w:r w:rsidR="00A462BE">
        <w:rPr>
          <w:rFonts w:hint="cs"/>
          <w:rtl/>
        </w:rPr>
        <w:t>در</w:t>
      </w:r>
      <w:r>
        <w:rPr>
          <w:rFonts w:hint="cs"/>
          <w:rtl/>
        </w:rPr>
        <w:t xml:space="preserve"> ص 582 سرائر، م</w:t>
      </w:r>
      <w:r w:rsidR="00A462BE">
        <w:rPr>
          <w:rFonts w:hint="cs"/>
          <w:rtl/>
        </w:rPr>
        <w:t>سائل داود الصرمی را نقل می کند:</w:t>
      </w:r>
    </w:p>
    <w:p w:rsidR="00A462BE" w:rsidRDefault="00A462BE" w:rsidP="008F20BC">
      <w:pPr>
        <w:jc w:val="both"/>
        <w:rPr>
          <w:rtl/>
        </w:rPr>
      </w:pPr>
      <w:r w:rsidRPr="00083639">
        <w:rPr>
          <w:color w:val="000080"/>
          <w:rtl/>
        </w:rPr>
        <w:t>وَ مِنْ مَسَائِلِ دَاوُدَ الصَّرْمِيِّ قَالَ: وَ سَأَلْتُهُ عَنِ الصَّلَاةِ بِمَكَّةَ فِي أَيِّ مَوْضِعٍ أَفْضَلُ فَقَالَ عِنْدَ مَقَامِ إِبْرَاهِيمَ الْأَوَّلِ فَإِنَّهُ مَقَامُ إِبْرَاهِيمَ وَ إِسْمَاعِيلَ وَ مُحَمَّدٍ ص</w:t>
      </w:r>
      <w:r w:rsidRPr="00A462BE">
        <w:rPr>
          <w:rtl/>
        </w:rPr>
        <w:t>‏</w:t>
      </w:r>
    </w:p>
    <w:p w:rsidR="00A462BE" w:rsidRDefault="00A462BE" w:rsidP="008F20BC">
      <w:pPr>
        <w:jc w:val="both"/>
        <w:rPr>
          <w:color w:val="000000"/>
          <w:rtl/>
        </w:rPr>
      </w:pPr>
      <w:r>
        <w:rPr>
          <w:rFonts w:hint="cs"/>
          <w:color w:val="000000"/>
          <w:rtl/>
        </w:rPr>
        <w:t>سپس نقل می کند:</w:t>
      </w:r>
    </w:p>
    <w:p w:rsidR="00B25676" w:rsidRPr="00083639" w:rsidRDefault="00A462BE" w:rsidP="008F20BC">
      <w:pPr>
        <w:jc w:val="both"/>
        <w:rPr>
          <w:color w:val="000080"/>
          <w:rtl/>
        </w:rPr>
      </w:pPr>
      <w:r w:rsidRPr="00083639">
        <w:rPr>
          <w:color w:val="000080"/>
          <w:rtl/>
        </w:rPr>
        <w:t>قَالَ وَ حَدَّثَنِي بِشْرُ بْنُ بَشَّارٍ النَّيْسَابُورِيُّ قَالَ: سَأَلْتُهُ عَنِ الصَّلَاةِ فِي الْفَنَكِ وَ الْفِرَاءِ وَ السَّمُّورِ وَ السِّنْجَابِ</w:t>
      </w:r>
    </w:p>
    <w:p w:rsidR="00A462BE" w:rsidRDefault="00A462BE" w:rsidP="008F20BC">
      <w:pPr>
        <w:jc w:val="both"/>
        <w:rPr>
          <w:color w:val="000000"/>
          <w:rtl/>
        </w:rPr>
      </w:pPr>
      <w:r>
        <w:rPr>
          <w:rFonts w:hint="cs"/>
          <w:color w:val="000000"/>
          <w:rtl/>
        </w:rPr>
        <w:lastRenderedPageBreak/>
        <w:t>مرجع ضمیر «قال» داود الصرمی است یا کس دیگری است؟ یکی از ابهامات که فراوان در مستطرفات سرائر وجود دارد، ابهام در مرجع ضمیر است که در جلد 5 تعادل و تراجیح درباره آن بحث کردم.</w:t>
      </w:r>
    </w:p>
    <w:p w:rsidR="00A462BE" w:rsidRDefault="00A462BE" w:rsidP="008F20BC">
      <w:pPr>
        <w:jc w:val="both"/>
        <w:rPr>
          <w:color w:val="000000"/>
          <w:rtl/>
        </w:rPr>
      </w:pPr>
      <w:r>
        <w:rPr>
          <w:rFonts w:hint="cs"/>
          <w:color w:val="000000"/>
          <w:rtl/>
        </w:rPr>
        <w:t>در ادامه چند «</w:t>
      </w:r>
      <w:r w:rsidRPr="00A462BE">
        <w:rPr>
          <w:color w:val="000000"/>
          <w:rtl/>
        </w:rPr>
        <w:t>قَالَ: وَ سَأَلْتُهُ ع‏</w:t>
      </w:r>
      <w:r>
        <w:rPr>
          <w:rFonts w:hint="cs"/>
          <w:color w:val="000000"/>
          <w:rtl/>
        </w:rPr>
        <w:t>» پشت سر هم دارد تا «</w:t>
      </w:r>
      <w:r w:rsidRPr="00A462BE">
        <w:rPr>
          <w:color w:val="000000"/>
          <w:rtl/>
        </w:rPr>
        <w:t>مَسَائِلُ مُحَمَّدِ بْنِ عَلِيِّ بْنِ عِيسَى‏</w:t>
      </w:r>
      <w:r>
        <w:rPr>
          <w:rFonts w:hint="cs"/>
          <w:color w:val="000000"/>
          <w:rtl/>
        </w:rPr>
        <w:t xml:space="preserve">» که شناخت مرجع ضمیر «قال» در آنها، در تشخیص اینکه آیا روایت مورد بحث از داود الصرمی هست؟ تأثیر گذار است. در کتب حدیثی متأخر «قال» به داود الصرمی ارجاع داده شده که باید در این باره تأمل کرد و بعد از تتبّع رفقا، در کلاس راهنما درباره آن صحبت خواهیم کرد. </w:t>
      </w:r>
    </w:p>
    <w:p w:rsidR="00083639" w:rsidRDefault="00083639" w:rsidP="00083639">
      <w:pPr>
        <w:pStyle w:val="Heading3"/>
        <w:rPr>
          <w:rtl/>
        </w:rPr>
      </w:pPr>
      <w:bookmarkStart w:id="7" w:name="_Toc85698487"/>
      <w:r>
        <w:rPr>
          <w:rFonts w:hint="cs"/>
          <w:rtl/>
        </w:rPr>
        <w:t>دلالت روایت</w:t>
      </w:r>
      <w:bookmarkEnd w:id="7"/>
      <w:r>
        <w:rPr>
          <w:rFonts w:hint="cs"/>
          <w:rtl/>
        </w:rPr>
        <w:t xml:space="preserve"> </w:t>
      </w:r>
    </w:p>
    <w:p w:rsidR="00886FFE" w:rsidRDefault="00886FFE" w:rsidP="008F20BC">
      <w:pPr>
        <w:jc w:val="both"/>
        <w:rPr>
          <w:color w:val="008000"/>
          <w:rtl/>
        </w:rPr>
      </w:pPr>
      <w:r>
        <w:rPr>
          <w:rFonts w:hint="cs"/>
          <w:color w:val="000000"/>
          <w:rtl/>
        </w:rPr>
        <w:t xml:space="preserve">متن روایت این بود: </w:t>
      </w:r>
      <w:r w:rsidRPr="001A3FB5">
        <w:rPr>
          <w:color w:val="008000"/>
          <w:rtl/>
        </w:rPr>
        <w:t>سَأَلْتُهُ عَنْ رَجُلٍ دَخَلَ بُسْتَاناً أَ يَأْكُلُ مِنَ الثَّمَرَةِ مِنْ غَيْرِ عِلْمِ صَاحِبِ الْبُسْتَانِ قَالَ نَعَمْ</w:t>
      </w:r>
    </w:p>
    <w:p w:rsidR="00886FFE" w:rsidRPr="00886FFE" w:rsidRDefault="00886FFE" w:rsidP="00083639">
      <w:pPr>
        <w:jc w:val="both"/>
        <w:rPr>
          <w:rtl/>
        </w:rPr>
      </w:pPr>
      <w:r>
        <w:rPr>
          <w:rFonts w:hint="cs"/>
          <w:rtl/>
        </w:rPr>
        <w:t xml:space="preserve">این روایت درباره بستان است و ظاهرا به درختان میوه غیر نخل اختصاص ندارد و شامل نخل نیز می شود اما </w:t>
      </w:r>
      <w:r w:rsidR="00753795">
        <w:rPr>
          <w:rFonts w:hint="cs"/>
          <w:rtl/>
        </w:rPr>
        <w:t xml:space="preserve">به مزرعه بستان گفته نمی شود. </w:t>
      </w:r>
      <w:r w:rsidR="00DD117D">
        <w:rPr>
          <w:rFonts w:hint="cs"/>
          <w:rtl/>
        </w:rPr>
        <w:t xml:space="preserve">چنانچه در این روایت، ثمره وارد شده و شامل سنبل نیست. </w:t>
      </w:r>
      <w:r w:rsidR="00083639">
        <w:rPr>
          <w:rFonts w:hint="cs"/>
          <w:rtl/>
        </w:rPr>
        <w:t xml:space="preserve">هر چند </w:t>
      </w:r>
      <w:r w:rsidR="00DD117D">
        <w:rPr>
          <w:rFonts w:hint="cs"/>
          <w:rtl/>
        </w:rPr>
        <w:t>در روایت سابق، ث</w:t>
      </w:r>
      <w:r w:rsidR="00083639">
        <w:rPr>
          <w:rFonts w:hint="cs"/>
          <w:rtl/>
        </w:rPr>
        <w:t>مره مقابل نخل قرار داده شده، اما این باعث نمی شود که ثمره به صورت مطلق بر خرما اطلاق نشود زیرا</w:t>
      </w:r>
      <w:r w:rsidR="00DD117D">
        <w:rPr>
          <w:rFonts w:hint="cs"/>
          <w:rtl/>
        </w:rPr>
        <w:t xml:space="preserve"> خرما بینابین زرع و ثمره تلقی می شود </w:t>
      </w:r>
      <w:r w:rsidR="00083639">
        <w:rPr>
          <w:rFonts w:hint="cs"/>
          <w:rtl/>
        </w:rPr>
        <w:t xml:space="preserve">و به همین دلیل گاهی در کنار ثمره قرار می گیرد اما در مواردی که ثمره به صورت مطلق استعمال می شود، خرما نیز داخل در آن است. </w:t>
      </w:r>
    </w:p>
    <w:p w:rsidR="00A462BE" w:rsidRDefault="00656519" w:rsidP="008F20BC">
      <w:pPr>
        <w:pStyle w:val="Heading2"/>
        <w:jc w:val="both"/>
        <w:rPr>
          <w:rtl/>
        </w:rPr>
      </w:pPr>
      <w:bookmarkStart w:id="8" w:name="_Toc85698488"/>
      <w:r>
        <w:rPr>
          <w:rFonts w:hint="cs"/>
          <w:rtl/>
        </w:rPr>
        <w:t>روایت سوم: مرسله یونس</w:t>
      </w:r>
      <w:bookmarkEnd w:id="8"/>
      <w:r>
        <w:rPr>
          <w:rFonts w:hint="cs"/>
          <w:rtl/>
        </w:rPr>
        <w:t xml:space="preserve"> </w:t>
      </w:r>
    </w:p>
    <w:p w:rsidR="00DD117D" w:rsidRPr="00DD117D" w:rsidRDefault="00DD117D" w:rsidP="008F20BC">
      <w:pPr>
        <w:jc w:val="both"/>
        <w:rPr>
          <w:color w:val="008000"/>
          <w:rtl/>
        </w:rPr>
      </w:pPr>
      <w:r w:rsidRPr="00DD117D">
        <w:rPr>
          <w:color w:val="008000"/>
          <w:rtl/>
        </w:rPr>
        <w:t>مُحَمَّدُ بْنُ أَحْمَدَ بْنِ يَحْيَى‏ عَنْ مُحَمَّدِ بْنِ عِيسَى عَنْ يُونُسَ عَنْ بَعْضِ رِجَالِهِ عَنْ أَبِي عَبْدِ اللَّهِ ع قَالَ: سَأَلْتُهُ عَنِ الرَّجُلِ يَمُرُّ بِالْبُسْتَانِ وَ قَدْ حِيطَ عَلَيْهِ أَوْ لَمْ يُحَطْ عَلَيْهِ هَلْ يَجُوزُ لَهُ أَنْ يَأْكُلَ مِنْ ثَمَرِهِ وَ لَيْسَ يَحْمِلُهُ عَلَى الْأَكْلِ مِنْ ثَمَرِهِ إِلَّا الشَّهْوَةُ وَ لَهُ مَا يُغْنِيهِ عَنِ الْأَكْلِ مِنْ ثَمَرِهِ وَ هَلْ لَهُ أَنْ يَأْكُلَ مِنْهُ مِنْ جُوعٍ قَالَ لَا بَأْسَ أَنْ يَأْكُلَ</w:t>
      </w:r>
      <w:r w:rsidRPr="00DD117D">
        <w:rPr>
          <w:rFonts w:hint="cs"/>
          <w:color w:val="008000"/>
          <w:rtl/>
        </w:rPr>
        <w:t xml:space="preserve"> </w:t>
      </w:r>
      <w:r w:rsidRPr="00DD117D">
        <w:rPr>
          <w:color w:val="008000"/>
          <w:rtl/>
        </w:rPr>
        <w:t>وَ لَا يَحْمِلُهُ وَ لَا يُفْسِدُهُ.</w:t>
      </w:r>
      <w:r>
        <w:rPr>
          <w:rStyle w:val="FootnoteReference"/>
          <w:color w:val="008000"/>
          <w:rtl/>
        </w:rPr>
        <w:footnoteReference w:id="5"/>
      </w:r>
    </w:p>
    <w:p w:rsidR="00083639" w:rsidRDefault="00083639" w:rsidP="00083639">
      <w:pPr>
        <w:pStyle w:val="Heading3"/>
        <w:rPr>
          <w:rtl/>
        </w:rPr>
      </w:pPr>
      <w:bookmarkStart w:id="9" w:name="_Toc85698489"/>
      <w:r>
        <w:rPr>
          <w:rFonts w:hint="cs"/>
          <w:rtl/>
        </w:rPr>
        <w:t>سند روایت</w:t>
      </w:r>
      <w:bookmarkEnd w:id="9"/>
      <w:r>
        <w:rPr>
          <w:rFonts w:hint="cs"/>
          <w:rtl/>
        </w:rPr>
        <w:t xml:space="preserve"> </w:t>
      </w:r>
    </w:p>
    <w:p w:rsidR="00656519" w:rsidRDefault="00656519" w:rsidP="008F20BC">
      <w:pPr>
        <w:jc w:val="both"/>
        <w:rPr>
          <w:rtl/>
        </w:rPr>
      </w:pPr>
      <w:r>
        <w:rPr>
          <w:rFonts w:hint="cs"/>
          <w:rtl/>
        </w:rPr>
        <w:t xml:space="preserve">در سند این روایت </w:t>
      </w:r>
      <w:r w:rsidR="003176A2">
        <w:rPr>
          <w:rFonts w:hint="cs"/>
          <w:rtl/>
        </w:rPr>
        <w:t>سه</w:t>
      </w:r>
      <w:r>
        <w:rPr>
          <w:rFonts w:hint="cs"/>
          <w:rtl/>
        </w:rPr>
        <w:t xml:space="preserve"> بحث وجود دارد: </w:t>
      </w:r>
    </w:p>
    <w:p w:rsidR="00656519" w:rsidRDefault="00656519" w:rsidP="00083639">
      <w:pPr>
        <w:jc w:val="both"/>
        <w:rPr>
          <w:rtl/>
        </w:rPr>
      </w:pPr>
      <w:r>
        <w:rPr>
          <w:rFonts w:hint="cs"/>
          <w:rtl/>
        </w:rPr>
        <w:t>اول، طریق به محمد بن احمد بن یحیی است که همان دو بحثی که درباره طریق به کتاب حسین بن سعید بیان شد، در این مورد نیز تطبیق می شود. علاوه بر آنکه در طریق به کتاب محمد بن احمد بن یحیی</w:t>
      </w:r>
      <w:r w:rsidR="00083639">
        <w:rPr>
          <w:rFonts w:hint="cs"/>
          <w:rtl/>
        </w:rPr>
        <w:t xml:space="preserve"> و همچنین طریق به کتاب حسین بن سعید</w:t>
      </w:r>
      <w:r>
        <w:rPr>
          <w:rFonts w:hint="cs"/>
          <w:rtl/>
        </w:rPr>
        <w:t xml:space="preserve">، </w:t>
      </w:r>
      <w:r>
        <w:rPr>
          <w:rFonts w:hint="cs"/>
          <w:rtl/>
        </w:rPr>
        <w:lastRenderedPageBreak/>
        <w:t xml:space="preserve">طریق صحیح وجود دارد. </w:t>
      </w:r>
      <w:r w:rsidR="00083639">
        <w:rPr>
          <w:rFonts w:hint="cs"/>
          <w:rtl/>
        </w:rPr>
        <w:t xml:space="preserve">پس به این علت که </w:t>
      </w:r>
      <w:r>
        <w:rPr>
          <w:rFonts w:hint="cs"/>
          <w:rtl/>
        </w:rPr>
        <w:t xml:space="preserve">کتاب نوادر الحکمه محمد بن احمد بن یحیی بن عمران اشعری از منابع </w:t>
      </w:r>
      <w:r w:rsidR="00083639">
        <w:rPr>
          <w:rFonts w:hint="cs"/>
          <w:rtl/>
        </w:rPr>
        <w:t>اصلی طایفه پیش از کتب اربعه است، بررسی سندی طریق به آن لازم نیست.</w:t>
      </w:r>
      <w:r>
        <w:rPr>
          <w:rFonts w:hint="cs"/>
          <w:rtl/>
        </w:rPr>
        <w:t xml:space="preserve"> </w:t>
      </w:r>
    </w:p>
    <w:p w:rsidR="00656519" w:rsidRDefault="00656519" w:rsidP="008F20BC">
      <w:pPr>
        <w:jc w:val="both"/>
        <w:rPr>
          <w:rtl/>
        </w:rPr>
      </w:pPr>
      <w:r>
        <w:rPr>
          <w:rFonts w:hint="cs"/>
          <w:rtl/>
        </w:rPr>
        <w:t>دوم، محمد بن عیسی نیز نیازمند بحث است که به اجمال آن اشاره می شود. از قدیم درباره ثقه بودن محمد بن عیسی مباحثی وجود داشته است. مرحوم آقای خویی تصور کرده که بحث درباره خصوص روایات محمد بن عیسی از یونس است نه مطلق روایات محمد بن عیسی. ایشان شواهدی بر این ادعا مطرح کرده که در گذشته در این باره بحث کردیم و بیان کردیم: بحث قدما درباره محمد بن عیسی به صورت عمومی است. حق آن است که محمد بن عیسی ثقه است و دلیل آن نیز مطلبی است که نجاشی نقل می کند: «</w:t>
      </w:r>
      <w:r w:rsidRPr="00656519">
        <w:rPr>
          <w:rtl/>
        </w:rPr>
        <w:t xml:space="preserve"> </w:t>
      </w:r>
      <w:r w:rsidRPr="00656519">
        <w:rPr>
          <w:color w:val="000080"/>
          <w:rtl/>
        </w:rPr>
        <w:t xml:space="preserve">و رأيت أصحابنا ينكرون هذا القول و يقولون: </w:t>
      </w:r>
      <w:r>
        <w:rPr>
          <w:color w:val="000080"/>
          <w:rtl/>
        </w:rPr>
        <w:t xml:space="preserve">من مثل أبي جعفر محمد بن عيسى </w:t>
      </w:r>
      <w:r w:rsidRPr="00656519">
        <w:rPr>
          <w:rFonts w:hint="cs"/>
          <w:color w:val="000080"/>
          <w:rtl/>
        </w:rPr>
        <w:t>سکن بغداد</w:t>
      </w:r>
      <w:r>
        <w:rPr>
          <w:rFonts w:hint="cs"/>
          <w:rtl/>
        </w:rPr>
        <w:t>»</w:t>
      </w:r>
      <w:r>
        <w:rPr>
          <w:rStyle w:val="FootnoteReference"/>
          <w:rtl/>
        </w:rPr>
        <w:footnoteReference w:id="6"/>
      </w:r>
      <w:r>
        <w:rPr>
          <w:rFonts w:hint="cs"/>
          <w:rtl/>
        </w:rPr>
        <w:t xml:space="preserve"> پس در وثاقت محمد بن عیسی تردیدی نیست. </w:t>
      </w:r>
    </w:p>
    <w:p w:rsidR="00083639" w:rsidRDefault="00656519" w:rsidP="008F20BC">
      <w:pPr>
        <w:jc w:val="both"/>
        <w:rPr>
          <w:rtl/>
        </w:rPr>
      </w:pPr>
      <w:r>
        <w:rPr>
          <w:rFonts w:hint="cs"/>
          <w:rtl/>
        </w:rPr>
        <w:t xml:space="preserve">سوم، یونس از بعض رجاله روایت را نقل کرده و مرسل است. پذیرش این روایت مبتنی بر پذیرش مبنای اصحاب اجماع است. درباره اصحاب اجماع سه مبنای معروف وجود دارد: </w:t>
      </w:r>
    </w:p>
    <w:p w:rsidR="00083639" w:rsidRDefault="00656519" w:rsidP="008F20BC">
      <w:pPr>
        <w:jc w:val="both"/>
        <w:rPr>
          <w:rtl/>
        </w:rPr>
      </w:pPr>
      <w:r>
        <w:rPr>
          <w:rFonts w:hint="cs"/>
          <w:rtl/>
        </w:rPr>
        <w:t xml:space="preserve">مبنای اول که به مشهور نسبت داده شده، این است که اگر سند تا اصحاب اجماع صحیح بود، نیازی به بررسی سندی بعد از آن نیست و روایت معتبر است و لو روات بعد از </w:t>
      </w:r>
      <w:r w:rsidR="00083639">
        <w:rPr>
          <w:rFonts w:hint="cs"/>
          <w:rtl/>
        </w:rPr>
        <w:t>اصحاب اجماع ضعیف باشند یا روایت</w:t>
      </w:r>
      <w:r>
        <w:rPr>
          <w:rFonts w:hint="cs"/>
          <w:rtl/>
        </w:rPr>
        <w:t xml:space="preserve"> مرسل باشد. </w:t>
      </w:r>
    </w:p>
    <w:p w:rsidR="00083639" w:rsidRDefault="00656519" w:rsidP="00083639">
      <w:pPr>
        <w:jc w:val="both"/>
        <w:rPr>
          <w:rtl/>
        </w:rPr>
      </w:pPr>
      <w:r>
        <w:rPr>
          <w:rFonts w:hint="cs"/>
          <w:rtl/>
        </w:rPr>
        <w:t>مبنای دوم</w:t>
      </w:r>
      <w:r w:rsidR="00B07853">
        <w:rPr>
          <w:rFonts w:hint="cs"/>
          <w:rtl/>
        </w:rPr>
        <w:t xml:space="preserve"> که حاجی نوری آن را قبول دارد،</w:t>
      </w:r>
      <w:r>
        <w:rPr>
          <w:rFonts w:hint="cs"/>
          <w:rtl/>
        </w:rPr>
        <w:t xml:space="preserve"> این است که روایت اصحاب اجماع دلیل بر ثقه بودن </w:t>
      </w:r>
      <w:r w:rsidR="00B07853">
        <w:rPr>
          <w:rFonts w:hint="cs"/>
          <w:rtl/>
        </w:rPr>
        <w:t xml:space="preserve">راویان بعد از اصحاب اجماع است. مراد از ثقه در تعبیر ایشان، ثقه به معنای عام است و شامل فساد مذهب نیز می شود. </w:t>
      </w:r>
    </w:p>
    <w:p w:rsidR="00083639" w:rsidRDefault="00083639" w:rsidP="00083639">
      <w:pPr>
        <w:jc w:val="both"/>
        <w:rPr>
          <w:rtl/>
        </w:rPr>
      </w:pPr>
      <w:r>
        <w:rPr>
          <w:rFonts w:hint="cs"/>
          <w:rtl/>
        </w:rPr>
        <w:t xml:space="preserve">مطابق مبنای اول، </w:t>
      </w:r>
      <w:r w:rsidR="00B07853">
        <w:rPr>
          <w:rFonts w:hint="cs"/>
          <w:rtl/>
        </w:rPr>
        <w:t xml:space="preserve">مبنای اصحاب اجماع دلیل بر اعتبار روایات است و فایده حدیثی دارد اما طبق مبنای دوم، یکی از توثیقات عام است و فایده رجالی دارد. </w:t>
      </w:r>
    </w:p>
    <w:p w:rsidR="00B07853" w:rsidRDefault="00B07853" w:rsidP="00083639">
      <w:pPr>
        <w:jc w:val="both"/>
        <w:rPr>
          <w:rtl/>
        </w:rPr>
      </w:pPr>
      <w:r>
        <w:rPr>
          <w:rFonts w:hint="cs"/>
          <w:rtl/>
        </w:rPr>
        <w:t xml:space="preserve">مبنای سوم که آیت الله والد نیز آن را قائل است، این است که </w:t>
      </w:r>
      <w:r w:rsidR="00083639">
        <w:rPr>
          <w:rFonts w:hint="cs"/>
          <w:rtl/>
        </w:rPr>
        <w:t>از عبارت کشی، تصحیح روایت و توثیق مشایخ استفاده نمی شود</w:t>
      </w:r>
      <w:r>
        <w:rPr>
          <w:rFonts w:hint="cs"/>
          <w:rtl/>
        </w:rPr>
        <w:t xml:space="preserve">. اصل عبارت کشی شامل عنوان اصحاب اجماع نیست و متأخرین بر آن این نام را قرار دادند. عنوانی که کشی بیان کرده: تسمیه الفقهاست. ایشان سه گروه فقهای اصحاب امام باقر و امام صادق علیهما السلام و فقهای خصوص اصحاب امام صادق علیه السلام و فقهای اصحاب الکاظم و الرضا علیهما السلام را معرفی است و در ضمن آن اشاره می کند که بر فقاهت آنها اجماع وجود دارد و ادامه بحث نیز در راستای همین اجماع بر فقاهت است. از عبارت کشی </w:t>
      </w:r>
      <w:r w:rsidR="008228FE">
        <w:rPr>
          <w:rFonts w:hint="cs"/>
          <w:rtl/>
        </w:rPr>
        <w:t xml:space="preserve">(تصحیح ما یصحّ عنهم) </w:t>
      </w:r>
      <w:r>
        <w:rPr>
          <w:rFonts w:hint="cs"/>
          <w:rtl/>
        </w:rPr>
        <w:t xml:space="preserve">تنها </w:t>
      </w:r>
      <w:r>
        <w:rPr>
          <w:rFonts w:hint="cs"/>
          <w:rtl/>
        </w:rPr>
        <w:lastRenderedPageBreak/>
        <w:t xml:space="preserve">وثاقت این فقها استفاده می شود. </w:t>
      </w:r>
      <w:r w:rsidR="003176A2">
        <w:rPr>
          <w:rFonts w:hint="cs"/>
          <w:rtl/>
        </w:rPr>
        <w:t>طبق مبنای سوم، از عبارت کشی هیچ فایده رجالی یا حدیثی نسبت به غ</w:t>
      </w:r>
      <w:r w:rsidR="003A45C2">
        <w:rPr>
          <w:rFonts w:hint="cs"/>
          <w:rtl/>
        </w:rPr>
        <w:t>یر اصحاب اجماع استفاده نمی شود.</w:t>
      </w:r>
    </w:p>
    <w:p w:rsidR="00886FFE" w:rsidRDefault="00886FFE" w:rsidP="008F20BC">
      <w:pPr>
        <w:jc w:val="both"/>
        <w:rPr>
          <w:rtl/>
        </w:rPr>
      </w:pPr>
      <w:r>
        <w:rPr>
          <w:rFonts w:hint="cs"/>
          <w:rtl/>
        </w:rPr>
        <w:t xml:space="preserve">این اشکال مطرح شده که اگر عبارت کشی تنها اجماع بر وثاقت این افراد باشد، راویانی که اجماع بر وثاقت آنها وجود دارد منحصر در این راویان نیست. </w:t>
      </w:r>
    </w:p>
    <w:p w:rsidR="00886FFE" w:rsidRDefault="00886FFE" w:rsidP="008F20BC">
      <w:pPr>
        <w:jc w:val="both"/>
        <w:rPr>
          <w:rtl/>
        </w:rPr>
      </w:pPr>
      <w:r>
        <w:rPr>
          <w:rFonts w:hint="cs"/>
          <w:rtl/>
        </w:rPr>
        <w:t>در پاسخ باید گفت: اجماع مورد ادعای کشی، اجماع بر فقاهت و وثاقت است نه صرفا اجماع بر وثاقت.</w:t>
      </w:r>
      <w:r>
        <w:rPr>
          <w:rStyle w:val="FootnoteReference"/>
          <w:rtl/>
        </w:rPr>
        <w:footnoteReference w:id="7"/>
      </w:r>
      <w:r>
        <w:rPr>
          <w:rFonts w:hint="cs"/>
          <w:rtl/>
        </w:rPr>
        <w:t xml:space="preserve"> </w:t>
      </w:r>
    </w:p>
    <w:p w:rsidR="008228FE" w:rsidRDefault="008228FE" w:rsidP="008228FE">
      <w:pPr>
        <w:pStyle w:val="Heading3"/>
        <w:rPr>
          <w:rtl/>
        </w:rPr>
      </w:pPr>
      <w:bookmarkStart w:id="10" w:name="_Toc85698490"/>
      <w:r>
        <w:rPr>
          <w:rFonts w:hint="cs"/>
          <w:rtl/>
        </w:rPr>
        <w:t>دلالت روایت</w:t>
      </w:r>
      <w:bookmarkEnd w:id="10"/>
      <w:r>
        <w:rPr>
          <w:rFonts w:hint="cs"/>
          <w:rtl/>
        </w:rPr>
        <w:t xml:space="preserve"> </w:t>
      </w:r>
    </w:p>
    <w:p w:rsidR="00833766" w:rsidRDefault="00833766" w:rsidP="008F20BC">
      <w:pPr>
        <w:jc w:val="both"/>
        <w:rPr>
          <w:rtl/>
        </w:rPr>
      </w:pPr>
      <w:r>
        <w:rPr>
          <w:rFonts w:hint="cs"/>
          <w:rtl/>
        </w:rPr>
        <w:t xml:space="preserve">متن مرسله یونس این بود: </w:t>
      </w:r>
    </w:p>
    <w:p w:rsidR="00833766" w:rsidRDefault="00833766" w:rsidP="008F20BC">
      <w:pPr>
        <w:jc w:val="both"/>
        <w:rPr>
          <w:color w:val="008000"/>
          <w:rtl/>
        </w:rPr>
      </w:pPr>
      <w:r w:rsidRPr="00DD117D">
        <w:rPr>
          <w:color w:val="008000"/>
          <w:rtl/>
        </w:rPr>
        <w:t>قَالَ: سَأَلْتُهُ عَنِ الرَّجُلِ يَمُرُّ بِالْبُسْتَانِ وَ قَدْ حِيطَ عَلَيْهِ أَوْ لَمْ يُحَطْ عَلَيْهِ هَلْ يَجُوزُ لَهُ أَنْ يَأْكُلَ مِنْ ثَمَرِهِ وَ لَيْسَ يَحْمِلُهُ عَلَى الْأَكْلِ مِنْ ثَمَرِهِ إِلَّا الشَّهْوَةُ وَ لَهُ مَا يُغْنِيهِ عَنِ الْأَكْلِ مِنْ ثَمَرِهِ وَ هَلْ لَهُ أَنْ يَأْكُلَ مِنْهُ مِنْ جُوعٍ قَالَ لَا بَأْسَ أَنْ يَأْكُلَ</w:t>
      </w:r>
      <w:r w:rsidRPr="00DD117D">
        <w:rPr>
          <w:rFonts w:hint="cs"/>
          <w:color w:val="008000"/>
          <w:rtl/>
        </w:rPr>
        <w:t xml:space="preserve"> </w:t>
      </w:r>
      <w:r w:rsidRPr="00DD117D">
        <w:rPr>
          <w:color w:val="008000"/>
          <w:rtl/>
        </w:rPr>
        <w:t>وَ لَا يَحْمِلُهُ وَ لَا يُفْسِدُهُ.</w:t>
      </w:r>
      <w:r>
        <w:rPr>
          <w:rStyle w:val="FootnoteReference"/>
          <w:color w:val="008000"/>
          <w:rtl/>
        </w:rPr>
        <w:footnoteReference w:id="8"/>
      </w:r>
    </w:p>
    <w:p w:rsidR="00833766" w:rsidRDefault="00833766" w:rsidP="008228FE">
      <w:pPr>
        <w:jc w:val="both"/>
        <w:rPr>
          <w:rtl/>
        </w:rPr>
      </w:pPr>
      <w:r>
        <w:rPr>
          <w:rFonts w:hint="cs"/>
          <w:rtl/>
        </w:rPr>
        <w:t xml:space="preserve">«قد حیط علیه او لم یحط علیه» به این معناست که بستان دیوار دار باشد یا دیوار نداشته باشد. بسیاری از مواقع بین بستان هایی که دیوار داشتند نیز مسیرهایی بوده که از آنجا عبور و مرور می شده یا شاخه های درختان خارج از دیوار قرار می گرفتند. </w:t>
      </w:r>
      <w:r w:rsidR="004B6D52">
        <w:rPr>
          <w:rFonts w:hint="cs"/>
          <w:rtl/>
        </w:rPr>
        <w:t xml:space="preserve">پس مرور به بستان‌های دیواردار نیز صادق است. </w:t>
      </w:r>
    </w:p>
    <w:p w:rsidR="002B106F" w:rsidRPr="00833766" w:rsidRDefault="002B106F" w:rsidP="008228FE">
      <w:pPr>
        <w:jc w:val="both"/>
        <w:rPr>
          <w:rtl/>
        </w:rPr>
      </w:pPr>
      <w:r>
        <w:rPr>
          <w:rFonts w:hint="cs"/>
          <w:rtl/>
        </w:rPr>
        <w:t xml:space="preserve">در این روایت تصریح شده که گاهی تنها دلیل بر اکل، هوس شخص است. در بحث حق یوم الحصاد بیان شد: یکی از علل حق یوم الحصاد، تأمین هوس فقرایی است که از کنار مزرعه رد می شوند. همچنین از جواز اکل در صورت گرسنگی پرسش شده است. امام علیه السلام نیز در پاسخ فرمود: «لا بأس ان یأکل» که ظهور در این دارد که فرقی بین اکل از روی هوس یا گرسنگی وجود ندارد. در این روایت از حمل و فاسد کردن نهی کرده است. </w:t>
      </w:r>
      <w:r w:rsidR="008F20BC">
        <w:rPr>
          <w:rFonts w:hint="cs"/>
          <w:rtl/>
        </w:rPr>
        <w:t xml:space="preserve">اطلاق این روایت شامل صورت نهی مالک نیز می شود. </w:t>
      </w:r>
    </w:p>
    <w:p w:rsidR="00A462BE" w:rsidRDefault="008F20BC" w:rsidP="008F20BC">
      <w:pPr>
        <w:pStyle w:val="Heading2"/>
        <w:rPr>
          <w:rtl/>
        </w:rPr>
      </w:pPr>
      <w:bookmarkStart w:id="11" w:name="_Toc85698491"/>
      <w:r>
        <w:rPr>
          <w:rFonts w:hint="cs"/>
          <w:rtl/>
        </w:rPr>
        <w:lastRenderedPageBreak/>
        <w:t>روایت چهارم: صحیحه عبد الله بن سنان</w:t>
      </w:r>
      <w:bookmarkEnd w:id="11"/>
    </w:p>
    <w:p w:rsidR="008F20BC" w:rsidRPr="008F20BC" w:rsidRDefault="008F20BC" w:rsidP="008F20BC">
      <w:pPr>
        <w:rPr>
          <w:color w:val="008000"/>
          <w:rtl/>
        </w:rPr>
      </w:pPr>
      <w:r w:rsidRPr="008F20BC">
        <w:rPr>
          <w:color w:val="008000"/>
          <w:rtl/>
        </w:rPr>
        <w:t>عَلِيُّ بْنُ إِبْرَاهِيمَ عَنْ أَبِيهِ عَنْ إِسْمَاعِيلَ بْنِ مَرَّارٍ عَنْ يُونُسَ عَنْ عَبْدِ اللَّهِ بْنِ سِنَانٍ عَنْ أَبِي عَبْدِ اللَّهِ ع قَالَ: لَا بَأْسَ بِالرَّجُلِ يَمُرُّ عَلَى الثَّمَرَةِ وَ يَأْكُلُ مِنْهَا وَ لَا يُفْسِدُ قَدْ نَهَى رَسُولُ اللَّهِ ص أَنْ تُبْنَى الْحِيطَانُ بِالْمَدِينَةِ لِمَكَانِ الْمَارَّةِ قَالَ وَ كَانَ إِذَا بَلَغَ نَخْلَةٌ أَمَرَ بِالْحِيطَانِ فَخُرِقَتْ لِمَكَانِ الْمَارَّةِ.</w:t>
      </w:r>
      <w:r>
        <w:rPr>
          <w:rStyle w:val="FootnoteReference"/>
          <w:color w:val="008000"/>
          <w:rtl/>
        </w:rPr>
        <w:footnoteReference w:id="9"/>
      </w:r>
    </w:p>
    <w:p w:rsidR="00A462BE" w:rsidRDefault="008F20BC" w:rsidP="008F20BC">
      <w:pPr>
        <w:jc w:val="both"/>
        <w:rPr>
          <w:color w:val="000000"/>
          <w:rtl/>
        </w:rPr>
      </w:pPr>
      <w:r>
        <w:rPr>
          <w:rFonts w:hint="cs"/>
          <w:color w:val="000000"/>
          <w:rtl/>
        </w:rPr>
        <w:t xml:space="preserve">پیامبر صلی الله علیه و آله </w:t>
      </w:r>
      <w:r w:rsidR="008C41B8">
        <w:rPr>
          <w:rFonts w:hint="cs"/>
          <w:color w:val="000000"/>
          <w:rtl/>
        </w:rPr>
        <w:t xml:space="preserve">موقع رسیدن محصول، </w:t>
      </w:r>
      <w:r>
        <w:rPr>
          <w:rFonts w:hint="cs"/>
          <w:color w:val="000000"/>
          <w:rtl/>
        </w:rPr>
        <w:t>امر به تخریب دیوار بستان</w:t>
      </w:r>
      <w:r w:rsidR="008C41B8">
        <w:rPr>
          <w:rFonts w:hint="cs"/>
          <w:color w:val="000000"/>
          <w:rtl/>
        </w:rPr>
        <w:t xml:space="preserve"> یا سوراخ کردن آن</w:t>
      </w:r>
      <w:r>
        <w:rPr>
          <w:rFonts w:hint="cs"/>
          <w:color w:val="000000"/>
          <w:rtl/>
        </w:rPr>
        <w:t xml:space="preserve"> می کردند تا مار</w:t>
      </w:r>
      <w:r w:rsidR="008C41B8">
        <w:rPr>
          <w:rFonts w:hint="cs"/>
          <w:color w:val="000000"/>
          <w:rtl/>
        </w:rPr>
        <w:t xml:space="preserve">ّه از مسیر طبیعی خود مرور کنند و وارد باغ شوند و بتوانند از حقّ خود استفاده کنند. </w:t>
      </w:r>
    </w:p>
    <w:p w:rsidR="008228FE" w:rsidRDefault="008228FE" w:rsidP="008228FE">
      <w:pPr>
        <w:pStyle w:val="Heading3"/>
        <w:rPr>
          <w:rtl/>
        </w:rPr>
      </w:pPr>
      <w:bookmarkStart w:id="12" w:name="_Toc85698492"/>
      <w:r>
        <w:rPr>
          <w:rFonts w:hint="cs"/>
          <w:rtl/>
        </w:rPr>
        <w:t>سند روایت</w:t>
      </w:r>
      <w:bookmarkEnd w:id="12"/>
      <w:r>
        <w:rPr>
          <w:rFonts w:hint="cs"/>
          <w:rtl/>
        </w:rPr>
        <w:t xml:space="preserve"> </w:t>
      </w:r>
    </w:p>
    <w:p w:rsidR="006E2302" w:rsidRDefault="008F20BC" w:rsidP="006E2302">
      <w:pPr>
        <w:jc w:val="both"/>
        <w:rPr>
          <w:color w:val="000000"/>
          <w:rtl/>
        </w:rPr>
      </w:pPr>
      <w:r>
        <w:rPr>
          <w:rFonts w:hint="cs"/>
          <w:color w:val="000000"/>
          <w:rtl/>
        </w:rPr>
        <w:t xml:space="preserve">در سند این روایت، ابراهیم بن هاشم است که بنابر تحقیق متأخرین در وثاقت و جلالت قدر و امامی بودن او بحثی نیست. </w:t>
      </w:r>
      <w:r w:rsidR="008C41B8">
        <w:rPr>
          <w:rFonts w:hint="cs"/>
          <w:color w:val="000000"/>
          <w:rtl/>
        </w:rPr>
        <w:t>علامه حلی و پس از ایشان، روایات ابراهیم بن هاشم را حسنه تعبیر می کردند اما بنابر تحقیق روایات او را باید صحیحه تلقّی کرد. اسماعیل بن مرار نیز</w:t>
      </w:r>
      <w:r w:rsidR="006E2302">
        <w:rPr>
          <w:rFonts w:hint="cs"/>
          <w:color w:val="000000"/>
          <w:rtl/>
        </w:rPr>
        <w:t xml:space="preserve"> به نظر ما،</w:t>
      </w:r>
      <w:r w:rsidR="008C41B8">
        <w:rPr>
          <w:rFonts w:hint="cs"/>
          <w:color w:val="000000"/>
          <w:rtl/>
        </w:rPr>
        <w:t xml:space="preserve"> ثقه است. </w:t>
      </w:r>
    </w:p>
    <w:p w:rsidR="006E2302" w:rsidRPr="006E2302" w:rsidRDefault="006E2302" w:rsidP="006E2302">
      <w:pPr>
        <w:jc w:val="both"/>
        <w:rPr>
          <w:color w:val="000000"/>
          <w:rtl/>
        </w:rPr>
      </w:pPr>
      <w:r>
        <w:rPr>
          <w:rFonts w:hint="cs"/>
          <w:color w:val="000000"/>
          <w:rtl/>
        </w:rPr>
        <w:t xml:space="preserve">ذیل روایت، روایت ابی الریبع الشامی نقل شده است: </w:t>
      </w:r>
    </w:p>
    <w:p w:rsidR="006E2302" w:rsidRDefault="006E2302" w:rsidP="006E2302">
      <w:pPr>
        <w:rPr>
          <w:color w:val="008000"/>
          <w:rtl/>
        </w:rPr>
      </w:pPr>
      <w:r w:rsidRPr="006E2302">
        <w:rPr>
          <w:color w:val="008000"/>
          <w:rtl/>
        </w:rPr>
        <w:t>مُحَمَّدُ بْنُ يَحْيَى عَنْ أَحْمَدَ بْنِ مُحَمَّدٍ عَنِ الْحَسَنِ بْنِ مَحْبُوبٍ عَنْ خَالِدِ بْنِ جَرِيرٍ عَنْ أَبِي الرَّبِيعِ الشَّامِيِّ عَنْ أَبِي عَبْدِ اللَّهِ ع نَحْوَهُ إِلَّا أَنَّهُ قَالَ وَ لَا يُفْسِدُ وَ لَا يَحْمِلُ.</w:t>
      </w:r>
    </w:p>
    <w:p w:rsidR="006E2302" w:rsidRDefault="006E2302" w:rsidP="006E2302">
      <w:pPr>
        <w:rPr>
          <w:rtl/>
        </w:rPr>
      </w:pPr>
      <w:r>
        <w:rPr>
          <w:rFonts w:hint="cs"/>
          <w:rtl/>
        </w:rPr>
        <w:t xml:space="preserve">این روایت مانند روایت عبد الله بن سنان است و تنها «لا یحمل» را اضافه دارد. </w:t>
      </w:r>
    </w:p>
    <w:p w:rsidR="006E2302" w:rsidRDefault="008228FE" w:rsidP="008228FE">
      <w:pPr>
        <w:rPr>
          <w:rtl/>
        </w:rPr>
      </w:pPr>
      <w:r>
        <w:rPr>
          <w:rFonts w:hint="cs"/>
          <w:rtl/>
        </w:rPr>
        <w:t xml:space="preserve">ذیل این روایت، روایت عبد الله بن سنان در محاسن نقل شده </w:t>
      </w:r>
      <w:r w:rsidR="006E2302">
        <w:rPr>
          <w:rFonts w:hint="cs"/>
          <w:rtl/>
        </w:rPr>
        <w:t>است:</w:t>
      </w:r>
    </w:p>
    <w:p w:rsidR="006E2302" w:rsidRDefault="006E2302" w:rsidP="006E2302">
      <w:pPr>
        <w:rPr>
          <w:color w:val="008000"/>
          <w:rtl/>
        </w:rPr>
      </w:pPr>
      <w:r>
        <w:rPr>
          <w:rFonts w:hint="cs"/>
          <w:color w:val="008000"/>
          <w:rtl/>
        </w:rPr>
        <w:t>البرقی</w:t>
      </w:r>
      <w:r w:rsidRPr="006E2302">
        <w:rPr>
          <w:color w:val="008000"/>
          <w:rtl/>
        </w:rPr>
        <w:t xml:space="preserve"> عَنْ أَبِيهِ عَنْ يُونُسَ بْنِ عَبْدِ الرَّحْمَنِ عَنْ عَبْدِ اللَّهِ بْنِ سِنَانٍ عَنْ أَبِي عَبْدِ اللَّهِ ع قَالَ: </w:t>
      </w:r>
      <w:r w:rsidRPr="006E2302">
        <w:rPr>
          <w:rFonts w:hint="cs"/>
          <w:color w:val="008000"/>
          <w:rtl/>
        </w:rPr>
        <w:t xml:space="preserve">مثله الی قوله </w:t>
      </w:r>
      <w:r w:rsidRPr="006E2302">
        <w:rPr>
          <w:color w:val="008000"/>
          <w:rtl/>
        </w:rPr>
        <w:t>وَ لَا يُفْسِدُ قَدْ نَهَى رَسُولُ اللَّ</w:t>
      </w:r>
      <w:r>
        <w:rPr>
          <w:color w:val="008000"/>
          <w:rtl/>
        </w:rPr>
        <w:t>هِ أَنْ تُبْنَى الْحِيطَانُ فَخ</w:t>
      </w:r>
      <w:r>
        <w:rPr>
          <w:rFonts w:hint="cs"/>
          <w:color w:val="008000"/>
          <w:rtl/>
        </w:rPr>
        <w:t>ُ</w:t>
      </w:r>
      <w:r w:rsidRPr="006E2302">
        <w:rPr>
          <w:color w:val="008000"/>
          <w:rtl/>
        </w:rPr>
        <w:t>رِبَتْ لِمَكَانِ الْمَارَّةِ.</w:t>
      </w:r>
      <w:r>
        <w:rPr>
          <w:rStyle w:val="FootnoteReference"/>
          <w:color w:val="008000"/>
          <w:rtl/>
        </w:rPr>
        <w:footnoteReference w:id="10"/>
      </w:r>
    </w:p>
    <w:p w:rsidR="006E2302" w:rsidRDefault="006E2302" w:rsidP="006E2302">
      <w:pPr>
        <w:rPr>
          <w:rtl/>
        </w:rPr>
      </w:pPr>
      <w:r>
        <w:rPr>
          <w:rFonts w:hint="cs"/>
          <w:rtl/>
        </w:rPr>
        <w:t>این همان نقل کافی است که مقداری سقط در آن رخ داده است. روایت در نقل کافی اینگونه وارد شده:</w:t>
      </w:r>
    </w:p>
    <w:p w:rsidR="006E2302" w:rsidRDefault="008228FE" w:rsidP="006E2302">
      <w:pPr>
        <w:rPr>
          <w:color w:val="008000"/>
          <w:rtl/>
        </w:rPr>
      </w:pPr>
      <w:r>
        <w:rPr>
          <w:rFonts w:hint="cs"/>
          <w:color w:val="008000"/>
          <w:rtl/>
        </w:rPr>
        <w:t xml:space="preserve">... </w:t>
      </w:r>
      <w:r w:rsidR="006E2302" w:rsidRPr="008F20BC">
        <w:rPr>
          <w:color w:val="008000"/>
          <w:rtl/>
        </w:rPr>
        <w:t>قَدْ نَهَى رَسُولُ اللَّهِ ص أَنْ تُبْنَى الْحِيطَانُ بِالْمَدِينَةِ لِمَكَانِ الْمَارَّةِ قَالَ وَ كَانَ إِذَا بَلَغَ نَخْلَةٌ أَمَرَ بِالْحِيطَانِ</w:t>
      </w:r>
      <w:r>
        <w:rPr>
          <w:rFonts w:hint="cs"/>
          <w:color w:val="008000"/>
          <w:rtl/>
        </w:rPr>
        <w:t xml:space="preserve"> ...</w:t>
      </w:r>
    </w:p>
    <w:p w:rsidR="006E2302" w:rsidRDefault="006E2302" w:rsidP="006E2302">
      <w:pPr>
        <w:rPr>
          <w:rtl/>
        </w:rPr>
      </w:pPr>
      <w:r>
        <w:rPr>
          <w:rFonts w:hint="cs"/>
          <w:rtl/>
        </w:rPr>
        <w:t xml:space="preserve">به نظر می رسد به علت تکرار «الحیطان» در روایت، نظر ناسخ محاسن از «الحیطان» اول به «الحیطان» دوم پرش کرده است و همین باعث سقط شده است. </w:t>
      </w:r>
    </w:p>
    <w:p w:rsidR="008228FE" w:rsidRPr="006E2302" w:rsidRDefault="006E2302" w:rsidP="008228FE">
      <w:pPr>
        <w:rPr>
          <w:rtl/>
        </w:rPr>
      </w:pPr>
      <w:r>
        <w:rPr>
          <w:rFonts w:hint="cs"/>
          <w:rtl/>
        </w:rPr>
        <w:lastRenderedPageBreak/>
        <w:t xml:space="preserve">تمام اسناد محاسن با ضمیر شروع شده و این ضمیر به مؤلف بر می گردد. علت آن این است که راویان کتاب را می خواندند و شاگردی که می خواسته کتاب را روایت کند، اسم استاد را در ابتدای هر سند قرار داده است. </w:t>
      </w:r>
    </w:p>
    <w:sectPr w:rsidR="008228FE" w:rsidRPr="006E230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214" w:rsidRDefault="00044214" w:rsidP="008B750B">
      <w:pPr>
        <w:spacing w:line="240" w:lineRule="auto"/>
      </w:pPr>
      <w:r>
        <w:separator/>
      </w:r>
    </w:p>
  </w:endnote>
  <w:endnote w:type="continuationSeparator" w:id="0">
    <w:p w:rsidR="00044214" w:rsidRDefault="0004421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35D2B" w:rsidRPr="00735D2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5954CD" w:rsidP="001B6799">
          <w:pPr>
            <w:pStyle w:val="Footer"/>
            <w:bidi w:val="0"/>
            <w:rPr>
              <w:color w:val="808080" w:themeColor="background1" w:themeShade="80"/>
              <w:rtl/>
            </w:rPr>
          </w:pPr>
          <w:bookmarkStart w:id="20" w:name="BokAdres"/>
          <w:bookmarkEnd w:id="20"/>
          <w:r>
            <w:rPr>
              <w:color w:val="808080" w:themeColor="background1" w:themeShade="80"/>
            </w:rPr>
            <w:t>F1js1_14000727-010_mk3_mfeb.ir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214" w:rsidRDefault="00044214" w:rsidP="008B750B">
      <w:pPr>
        <w:spacing w:line="240" w:lineRule="auto"/>
      </w:pPr>
      <w:r>
        <w:separator/>
      </w:r>
    </w:p>
  </w:footnote>
  <w:footnote w:type="continuationSeparator" w:id="0">
    <w:p w:rsidR="00044214" w:rsidRDefault="00044214" w:rsidP="008B750B">
      <w:pPr>
        <w:spacing w:line="240" w:lineRule="auto"/>
      </w:pPr>
      <w:r>
        <w:continuationSeparator/>
      </w:r>
    </w:p>
  </w:footnote>
  <w:footnote w:id="1">
    <w:p w:rsidR="007E0B2E" w:rsidRPr="007E0B2E" w:rsidRDefault="007E0B2E" w:rsidP="007E0B2E">
      <w:pPr>
        <w:pStyle w:val="FootnoteText"/>
      </w:pPr>
      <w:r w:rsidRPr="007E0B2E">
        <w:footnoteRef/>
      </w:r>
      <w:r w:rsidRPr="007E0B2E">
        <w:rPr>
          <w:rtl/>
        </w:rPr>
        <w:t xml:space="preserve"> </w:t>
      </w:r>
      <w:hyperlink r:id="rId1" w:history="1">
        <w:r w:rsidRPr="007E0B2E">
          <w:rPr>
            <w:rStyle w:val="Hyperlink"/>
            <w:rtl/>
          </w:rPr>
          <w:t>تهذ</w:t>
        </w:r>
        <w:r w:rsidRPr="007E0B2E">
          <w:rPr>
            <w:rStyle w:val="Hyperlink"/>
            <w:rFonts w:hint="cs"/>
            <w:rtl/>
          </w:rPr>
          <w:t>ی</w:t>
        </w:r>
        <w:r w:rsidRPr="007E0B2E">
          <w:rPr>
            <w:rStyle w:val="Hyperlink"/>
            <w:rFonts w:hint="eastAsia"/>
            <w:rtl/>
          </w:rPr>
          <w:t>ب</w:t>
        </w:r>
        <w:r w:rsidRPr="007E0B2E">
          <w:rPr>
            <w:rStyle w:val="Hyperlink"/>
            <w:rtl/>
          </w:rPr>
          <w:t xml:space="preserve"> الاحکام، ش</w:t>
        </w:r>
        <w:r w:rsidRPr="007E0B2E">
          <w:rPr>
            <w:rStyle w:val="Hyperlink"/>
            <w:rFonts w:hint="cs"/>
            <w:rtl/>
          </w:rPr>
          <w:t>ی</w:t>
        </w:r>
        <w:r w:rsidRPr="007E0B2E">
          <w:rPr>
            <w:rStyle w:val="Hyperlink"/>
            <w:rFonts w:hint="eastAsia"/>
            <w:rtl/>
          </w:rPr>
          <w:t>خ</w:t>
        </w:r>
        <w:r w:rsidRPr="007E0B2E">
          <w:rPr>
            <w:rStyle w:val="Hyperlink"/>
            <w:rtl/>
          </w:rPr>
          <w:t xml:space="preserve"> طوس</w:t>
        </w:r>
        <w:r w:rsidRPr="007E0B2E">
          <w:rPr>
            <w:rStyle w:val="Hyperlink"/>
            <w:rFonts w:hint="cs"/>
            <w:rtl/>
          </w:rPr>
          <w:t>ی</w:t>
        </w:r>
        <w:r w:rsidRPr="007E0B2E">
          <w:rPr>
            <w:rStyle w:val="Hyperlink"/>
            <w:rFonts w:hint="eastAsia"/>
            <w:rtl/>
          </w:rPr>
          <w:t>،</w:t>
        </w:r>
        <w:r w:rsidRPr="007E0B2E">
          <w:rPr>
            <w:rStyle w:val="Hyperlink"/>
            <w:rtl/>
          </w:rPr>
          <w:t xml:space="preserve"> ج7، ص93</w:t>
        </w:r>
        <w:r w:rsidRPr="007E0B2E">
          <w:rPr>
            <w:rStyle w:val="Hyperlink"/>
          </w:rPr>
          <w:t>.</w:t>
        </w:r>
      </w:hyperlink>
    </w:p>
  </w:footnote>
  <w:footnote w:id="2">
    <w:p w:rsidR="001A3FB5" w:rsidRPr="001A3FB5" w:rsidRDefault="001A3FB5" w:rsidP="001A3FB5">
      <w:pPr>
        <w:pStyle w:val="FootnoteText"/>
      </w:pPr>
      <w:r w:rsidRPr="001A3FB5">
        <w:footnoteRef/>
      </w:r>
      <w:r w:rsidRPr="001A3FB5">
        <w:rPr>
          <w:rtl/>
        </w:rPr>
        <w:t xml:space="preserve"> </w:t>
      </w:r>
      <w:hyperlink r:id="rId2" w:history="1">
        <w:r w:rsidRPr="001A3FB5">
          <w:rPr>
            <w:rStyle w:val="Hyperlink"/>
            <w:rFonts w:hint="eastAsia"/>
            <w:rtl/>
          </w:rPr>
          <w:t>وسائل</w:t>
        </w:r>
        <w:r w:rsidRPr="001A3FB5">
          <w:rPr>
            <w:rStyle w:val="Hyperlink"/>
            <w:rtl/>
          </w:rPr>
          <w:t xml:space="preserve"> الش</w:t>
        </w:r>
        <w:r w:rsidRPr="001A3FB5">
          <w:rPr>
            <w:rStyle w:val="Hyperlink"/>
            <w:rFonts w:hint="cs"/>
            <w:rtl/>
          </w:rPr>
          <w:t>ی</w:t>
        </w:r>
        <w:r w:rsidRPr="001A3FB5">
          <w:rPr>
            <w:rStyle w:val="Hyperlink"/>
            <w:rFonts w:hint="eastAsia"/>
            <w:rtl/>
          </w:rPr>
          <w:t>عة،</w:t>
        </w:r>
        <w:r w:rsidRPr="001A3FB5">
          <w:rPr>
            <w:rStyle w:val="Hyperlink"/>
            <w:rtl/>
          </w:rPr>
          <w:t xml:space="preserve"> الش</w:t>
        </w:r>
        <w:r w:rsidRPr="001A3FB5">
          <w:rPr>
            <w:rStyle w:val="Hyperlink"/>
            <w:rFonts w:hint="cs"/>
            <w:rtl/>
          </w:rPr>
          <w:t>ی</w:t>
        </w:r>
        <w:r w:rsidRPr="001A3FB5">
          <w:rPr>
            <w:rStyle w:val="Hyperlink"/>
            <w:rFonts w:hint="eastAsia"/>
            <w:rtl/>
          </w:rPr>
          <w:t>خ</w:t>
        </w:r>
        <w:r w:rsidRPr="001A3FB5">
          <w:rPr>
            <w:rStyle w:val="Hyperlink"/>
            <w:rtl/>
          </w:rPr>
          <w:t xml:space="preserve"> الحر العاملي، ج18، ص229، أبواب ب</w:t>
        </w:r>
        <w:r w:rsidRPr="001A3FB5">
          <w:rPr>
            <w:rStyle w:val="Hyperlink"/>
            <w:rFonts w:hint="cs"/>
            <w:rtl/>
          </w:rPr>
          <w:t>ی</w:t>
        </w:r>
        <w:r w:rsidRPr="001A3FB5">
          <w:rPr>
            <w:rStyle w:val="Hyperlink"/>
            <w:rFonts w:hint="eastAsia"/>
            <w:rtl/>
          </w:rPr>
          <w:t>ع</w:t>
        </w:r>
        <w:r w:rsidRPr="001A3FB5">
          <w:rPr>
            <w:rStyle w:val="Hyperlink"/>
            <w:rtl/>
          </w:rPr>
          <w:t xml:space="preserve"> الثمار، باب8، ح11، ط آل البيت.</w:t>
        </w:r>
      </w:hyperlink>
    </w:p>
  </w:footnote>
  <w:footnote w:id="3">
    <w:p w:rsidR="008344AA" w:rsidRDefault="008344AA">
      <w:pPr>
        <w:pStyle w:val="FootnoteText"/>
      </w:pPr>
      <w:r>
        <w:rPr>
          <w:rStyle w:val="FootnoteReference"/>
        </w:rPr>
        <w:footnoteRef/>
      </w:r>
      <w:r>
        <w:rPr>
          <w:rtl/>
        </w:rPr>
        <w:t xml:space="preserve"> </w:t>
      </w:r>
      <w:r>
        <w:rPr>
          <w:rFonts w:hint="cs"/>
          <w:rtl/>
        </w:rPr>
        <w:t xml:space="preserve">السرائر، ج 3، ص: 581 </w:t>
      </w:r>
    </w:p>
  </w:footnote>
  <w:footnote w:id="4">
    <w:p w:rsidR="00A709CE" w:rsidRPr="00A709CE" w:rsidRDefault="00A709CE" w:rsidP="00A709CE">
      <w:pPr>
        <w:pStyle w:val="FootnoteText"/>
      </w:pPr>
      <w:r w:rsidRPr="00A709CE">
        <w:footnoteRef/>
      </w:r>
      <w:r w:rsidRPr="00A709CE">
        <w:rPr>
          <w:rtl/>
        </w:rPr>
        <w:t xml:space="preserve"> </w:t>
      </w:r>
      <w:hyperlink r:id="rId3" w:history="1">
        <w:r w:rsidRPr="00A709CE">
          <w:rPr>
            <w:rStyle w:val="Hyperlink"/>
            <w:rtl/>
          </w:rPr>
          <w:t>رجال النجاش</w:t>
        </w:r>
        <w:r w:rsidRPr="00A709CE">
          <w:rPr>
            <w:rStyle w:val="Hyperlink"/>
            <w:rFonts w:hint="cs"/>
            <w:rtl/>
          </w:rPr>
          <w:t>ی</w:t>
        </w:r>
        <w:r w:rsidRPr="00A709CE">
          <w:rPr>
            <w:rStyle w:val="Hyperlink"/>
            <w:rFonts w:hint="eastAsia"/>
            <w:rtl/>
          </w:rPr>
          <w:t>،</w:t>
        </w:r>
        <w:r w:rsidRPr="00A709CE">
          <w:rPr>
            <w:rStyle w:val="Hyperlink"/>
            <w:rtl/>
          </w:rPr>
          <w:t xml:space="preserve"> ش</w:t>
        </w:r>
        <w:r w:rsidRPr="00A709CE">
          <w:rPr>
            <w:rStyle w:val="Hyperlink"/>
            <w:rFonts w:hint="cs"/>
            <w:rtl/>
          </w:rPr>
          <w:t>ی</w:t>
        </w:r>
        <w:r w:rsidRPr="00A709CE">
          <w:rPr>
            <w:rStyle w:val="Hyperlink"/>
            <w:rFonts w:hint="eastAsia"/>
            <w:rtl/>
          </w:rPr>
          <w:t>خ</w:t>
        </w:r>
        <w:r w:rsidRPr="00A709CE">
          <w:rPr>
            <w:rStyle w:val="Hyperlink"/>
            <w:rtl/>
          </w:rPr>
          <w:t xml:space="preserve"> النجاش</w:t>
        </w:r>
        <w:r w:rsidRPr="00A709CE">
          <w:rPr>
            <w:rStyle w:val="Hyperlink"/>
            <w:rFonts w:hint="cs"/>
            <w:rtl/>
          </w:rPr>
          <w:t>ی</w:t>
        </w:r>
        <w:r w:rsidRPr="00A709CE">
          <w:rPr>
            <w:rStyle w:val="Hyperlink"/>
            <w:rFonts w:hint="eastAsia"/>
            <w:rtl/>
          </w:rPr>
          <w:t>،</w:t>
        </w:r>
        <w:r w:rsidRPr="00A709CE">
          <w:rPr>
            <w:rStyle w:val="Hyperlink"/>
            <w:rtl/>
          </w:rPr>
          <w:t xml:space="preserve"> ج، ص85</w:t>
        </w:r>
        <w:r w:rsidRPr="00A709CE">
          <w:rPr>
            <w:rStyle w:val="Hyperlink"/>
          </w:rPr>
          <w:t>.</w:t>
        </w:r>
      </w:hyperlink>
    </w:p>
  </w:footnote>
  <w:footnote w:id="5">
    <w:p w:rsidR="00DD117D" w:rsidRPr="00DD117D" w:rsidRDefault="00DD117D" w:rsidP="00DD117D">
      <w:pPr>
        <w:pStyle w:val="FootnoteText"/>
      </w:pPr>
      <w:r w:rsidRPr="00DD117D">
        <w:footnoteRef/>
      </w:r>
      <w:r w:rsidRPr="00DD117D">
        <w:rPr>
          <w:rtl/>
        </w:rPr>
        <w:t xml:space="preserve"> </w:t>
      </w:r>
      <w:hyperlink r:id="rId4" w:history="1">
        <w:r w:rsidRPr="00DD117D">
          <w:rPr>
            <w:rStyle w:val="Hyperlink"/>
            <w:rtl/>
          </w:rPr>
          <w:t>تهذ</w:t>
        </w:r>
        <w:r w:rsidRPr="00DD117D">
          <w:rPr>
            <w:rStyle w:val="Hyperlink"/>
            <w:rFonts w:hint="cs"/>
            <w:rtl/>
          </w:rPr>
          <w:t>ی</w:t>
        </w:r>
        <w:r w:rsidRPr="00DD117D">
          <w:rPr>
            <w:rStyle w:val="Hyperlink"/>
            <w:rFonts w:hint="eastAsia"/>
            <w:rtl/>
          </w:rPr>
          <w:t>ب</w:t>
        </w:r>
        <w:r w:rsidRPr="00DD117D">
          <w:rPr>
            <w:rStyle w:val="Hyperlink"/>
            <w:rtl/>
          </w:rPr>
          <w:t xml:space="preserve"> الاحکام، ش</w:t>
        </w:r>
        <w:r w:rsidRPr="00DD117D">
          <w:rPr>
            <w:rStyle w:val="Hyperlink"/>
            <w:rFonts w:hint="cs"/>
            <w:rtl/>
          </w:rPr>
          <w:t>ی</w:t>
        </w:r>
        <w:r w:rsidRPr="00DD117D">
          <w:rPr>
            <w:rStyle w:val="Hyperlink"/>
            <w:rFonts w:hint="eastAsia"/>
            <w:rtl/>
          </w:rPr>
          <w:t>خ</w:t>
        </w:r>
        <w:r w:rsidRPr="00DD117D">
          <w:rPr>
            <w:rStyle w:val="Hyperlink"/>
            <w:rtl/>
          </w:rPr>
          <w:t xml:space="preserve"> طوس</w:t>
        </w:r>
        <w:r w:rsidRPr="00DD117D">
          <w:rPr>
            <w:rStyle w:val="Hyperlink"/>
            <w:rFonts w:hint="cs"/>
            <w:rtl/>
          </w:rPr>
          <w:t>ی</w:t>
        </w:r>
        <w:r w:rsidRPr="00DD117D">
          <w:rPr>
            <w:rStyle w:val="Hyperlink"/>
            <w:rFonts w:hint="eastAsia"/>
            <w:rtl/>
          </w:rPr>
          <w:t>،</w:t>
        </w:r>
        <w:r w:rsidRPr="00DD117D">
          <w:rPr>
            <w:rStyle w:val="Hyperlink"/>
            <w:rtl/>
          </w:rPr>
          <w:t xml:space="preserve"> ج6، ص383</w:t>
        </w:r>
        <w:r w:rsidRPr="00DD117D">
          <w:rPr>
            <w:rStyle w:val="Hyperlink"/>
          </w:rPr>
          <w:t>.</w:t>
        </w:r>
      </w:hyperlink>
    </w:p>
  </w:footnote>
  <w:footnote w:id="6">
    <w:p w:rsidR="00656519" w:rsidRPr="00656519" w:rsidRDefault="00656519" w:rsidP="00656519">
      <w:pPr>
        <w:pStyle w:val="FootnoteText"/>
      </w:pPr>
      <w:r w:rsidRPr="00656519">
        <w:footnoteRef/>
      </w:r>
      <w:r w:rsidRPr="00656519">
        <w:rPr>
          <w:rtl/>
        </w:rPr>
        <w:t xml:space="preserve"> </w:t>
      </w:r>
      <w:hyperlink r:id="rId5" w:history="1">
        <w:r w:rsidRPr="00656519">
          <w:rPr>
            <w:rStyle w:val="Hyperlink"/>
            <w:rtl/>
          </w:rPr>
          <w:t>رجال النجاش</w:t>
        </w:r>
        <w:r w:rsidRPr="00656519">
          <w:rPr>
            <w:rStyle w:val="Hyperlink"/>
            <w:rFonts w:hint="cs"/>
            <w:rtl/>
          </w:rPr>
          <w:t>ی</w:t>
        </w:r>
        <w:r w:rsidRPr="00656519">
          <w:rPr>
            <w:rStyle w:val="Hyperlink"/>
            <w:rFonts w:hint="eastAsia"/>
            <w:rtl/>
          </w:rPr>
          <w:t>،</w:t>
        </w:r>
        <w:r w:rsidRPr="00656519">
          <w:rPr>
            <w:rStyle w:val="Hyperlink"/>
            <w:rtl/>
          </w:rPr>
          <w:t xml:space="preserve"> ش</w:t>
        </w:r>
        <w:r w:rsidRPr="00656519">
          <w:rPr>
            <w:rStyle w:val="Hyperlink"/>
            <w:rFonts w:hint="cs"/>
            <w:rtl/>
          </w:rPr>
          <w:t>ی</w:t>
        </w:r>
        <w:r w:rsidRPr="00656519">
          <w:rPr>
            <w:rStyle w:val="Hyperlink"/>
            <w:rFonts w:hint="eastAsia"/>
            <w:rtl/>
          </w:rPr>
          <w:t>خ</w:t>
        </w:r>
        <w:r w:rsidRPr="00656519">
          <w:rPr>
            <w:rStyle w:val="Hyperlink"/>
            <w:rtl/>
          </w:rPr>
          <w:t xml:space="preserve"> النجاش</w:t>
        </w:r>
        <w:r w:rsidRPr="00656519">
          <w:rPr>
            <w:rStyle w:val="Hyperlink"/>
            <w:rFonts w:hint="cs"/>
            <w:rtl/>
          </w:rPr>
          <w:t>ی</w:t>
        </w:r>
        <w:r w:rsidRPr="00656519">
          <w:rPr>
            <w:rStyle w:val="Hyperlink"/>
            <w:rFonts w:hint="eastAsia"/>
            <w:rtl/>
          </w:rPr>
          <w:t>،</w:t>
        </w:r>
        <w:r w:rsidRPr="00656519">
          <w:rPr>
            <w:rStyle w:val="Hyperlink"/>
            <w:rtl/>
          </w:rPr>
          <w:t xml:space="preserve"> ج1، ص334</w:t>
        </w:r>
        <w:r w:rsidRPr="00656519">
          <w:rPr>
            <w:rStyle w:val="Hyperlink"/>
          </w:rPr>
          <w:t>.</w:t>
        </w:r>
      </w:hyperlink>
    </w:p>
  </w:footnote>
  <w:footnote w:id="7">
    <w:p w:rsidR="00886FFE" w:rsidRPr="00886FFE" w:rsidRDefault="00886FFE" w:rsidP="00886FFE">
      <w:pPr>
        <w:pStyle w:val="FootnoteText"/>
      </w:pPr>
      <w:r w:rsidRPr="00886FFE">
        <w:footnoteRef/>
      </w:r>
      <w:r w:rsidRPr="00886FFE">
        <w:rPr>
          <w:rtl/>
        </w:rPr>
        <w:t xml:space="preserve"> </w:t>
      </w:r>
      <w:hyperlink r:id="rId6" w:history="1">
        <w:r w:rsidRPr="00886FFE">
          <w:rPr>
            <w:rStyle w:val="Hyperlink"/>
            <w:rtl/>
          </w:rPr>
          <w:t>اخت</w:t>
        </w:r>
        <w:r w:rsidRPr="00886FFE">
          <w:rPr>
            <w:rStyle w:val="Hyperlink"/>
            <w:rFonts w:hint="cs"/>
            <w:rtl/>
          </w:rPr>
          <w:t>ی</w:t>
        </w:r>
        <w:r w:rsidRPr="00886FFE">
          <w:rPr>
            <w:rStyle w:val="Hyperlink"/>
            <w:rFonts w:hint="eastAsia"/>
            <w:rtl/>
          </w:rPr>
          <w:t>ار</w:t>
        </w:r>
        <w:r w:rsidRPr="00886FFE">
          <w:rPr>
            <w:rStyle w:val="Hyperlink"/>
            <w:rtl/>
          </w:rPr>
          <w:t xml:space="preserve"> معرفة الرجال، ش</w:t>
        </w:r>
        <w:r w:rsidRPr="00886FFE">
          <w:rPr>
            <w:rStyle w:val="Hyperlink"/>
            <w:rFonts w:hint="cs"/>
            <w:rtl/>
          </w:rPr>
          <w:t>ی</w:t>
        </w:r>
        <w:r w:rsidRPr="00886FFE">
          <w:rPr>
            <w:rStyle w:val="Hyperlink"/>
            <w:rFonts w:hint="eastAsia"/>
            <w:rtl/>
          </w:rPr>
          <w:t>خ</w:t>
        </w:r>
        <w:r w:rsidRPr="00886FFE">
          <w:rPr>
            <w:rStyle w:val="Hyperlink"/>
            <w:rtl/>
          </w:rPr>
          <w:t xml:space="preserve"> طوس</w:t>
        </w:r>
        <w:r w:rsidRPr="00886FFE">
          <w:rPr>
            <w:rStyle w:val="Hyperlink"/>
            <w:rFonts w:hint="cs"/>
            <w:rtl/>
          </w:rPr>
          <w:t>ی</w:t>
        </w:r>
        <w:r w:rsidRPr="00886FFE">
          <w:rPr>
            <w:rStyle w:val="Hyperlink"/>
            <w:rFonts w:hint="eastAsia"/>
            <w:rtl/>
          </w:rPr>
          <w:t>،</w:t>
        </w:r>
        <w:r w:rsidRPr="00886FFE">
          <w:rPr>
            <w:rStyle w:val="Hyperlink"/>
            <w:rtl/>
          </w:rPr>
          <w:t xml:space="preserve"> ج1، ص375</w:t>
        </w:r>
        <w:r w:rsidRPr="00886FFE">
          <w:rPr>
            <w:rStyle w:val="Hyperlink"/>
          </w:rPr>
          <w:t>.</w:t>
        </w:r>
      </w:hyperlink>
      <w:r>
        <w:rPr>
          <w:rFonts w:hint="cs"/>
          <w:rtl/>
        </w:rPr>
        <w:t xml:space="preserve"> </w:t>
      </w:r>
      <w:r w:rsidRPr="00886FFE">
        <w:rPr>
          <w:rtl/>
        </w:rPr>
        <w:t xml:space="preserve">أجمعت العصابة على تصحيح ما يصح من هؤلاء و تصديقهم لما يقولون و </w:t>
      </w:r>
      <w:r w:rsidRPr="00886FFE">
        <w:rPr>
          <w:u w:val="single"/>
          <w:rtl/>
        </w:rPr>
        <w:t>أقروا لهم بالفقه</w:t>
      </w:r>
      <w:r w:rsidRPr="00886FFE">
        <w:rPr>
          <w:rtl/>
        </w:rPr>
        <w:t>‏</w:t>
      </w:r>
    </w:p>
  </w:footnote>
  <w:footnote w:id="8">
    <w:p w:rsidR="00833766" w:rsidRPr="00DD117D" w:rsidRDefault="00833766" w:rsidP="00833766">
      <w:pPr>
        <w:pStyle w:val="FootnoteText"/>
      </w:pPr>
      <w:r w:rsidRPr="00DD117D">
        <w:footnoteRef/>
      </w:r>
      <w:r w:rsidRPr="00DD117D">
        <w:rPr>
          <w:rtl/>
        </w:rPr>
        <w:t xml:space="preserve"> </w:t>
      </w:r>
      <w:hyperlink r:id="rId7" w:history="1">
        <w:r w:rsidRPr="00DD117D">
          <w:rPr>
            <w:rStyle w:val="Hyperlink"/>
            <w:rtl/>
          </w:rPr>
          <w:t>تهذ</w:t>
        </w:r>
        <w:r w:rsidRPr="00DD117D">
          <w:rPr>
            <w:rStyle w:val="Hyperlink"/>
            <w:rFonts w:hint="cs"/>
            <w:rtl/>
          </w:rPr>
          <w:t>ی</w:t>
        </w:r>
        <w:r w:rsidRPr="00DD117D">
          <w:rPr>
            <w:rStyle w:val="Hyperlink"/>
            <w:rFonts w:hint="eastAsia"/>
            <w:rtl/>
          </w:rPr>
          <w:t>ب</w:t>
        </w:r>
        <w:r w:rsidRPr="00DD117D">
          <w:rPr>
            <w:rStyle w:val="Hyperlink"/>
            <w:rtl/>
          </w:rPr>
          <w:t xml:space="preserve"> الاحکام، ش</w:t>
        </w:r>
        <w:r w:rsidRPr="00DD117D">
          <w:rPr>
            <w:rStyle w:val="Hyperlink"/>
            <w:rFonts w:hint="cs"/>
            <w:rtl/>
          </w:rPr>
          <w:t>ی</w:t>
        </w:r>
        <w:r w:rsidRPr="00DD117D">
          <w:rPr>
            <w:rStyle w:val="Hyperlink"/>
            <w:rFonts w:hint="eastAsia"/>
            <w:rtl/>
          </w:rPr>
          <w:t>خ</w:t>
        </w:r>
        <w:r w:rsidRPr="00DD117D">
          <w:rPr>
            <w:rStyle w:val="Hyperlink"/>
            <w:rtl/>
          </w:rPr>
          <w:t xml:space="preserve"> طوس</w:t>
        </w:r>
        <w:r w:rsidRPr="00DD117D">
          <w:rPr>
            <w:rStyle w:val="Hyperlink"/>
            <w:rFonts w:hint="cs"/>
            <w:rtl/>
          </w:rPr>
          <w:t>ی</w:t>
        </w:r>
        <w:r w:rsidRPr="00DD117D">
          <w:rPr>
            <w:rStyle w:val="Hyperlink"/>
            <w:rFonts w:hint="eastAsia"/>
            <w:rtl/>
          </w:rPr>
          <w:t>،</w:t>
        </w:r>
        <w:r w:rsidRPr="00DD117D">
          <w:rPr>
            <w:rStyle w:val="Hyperlink"/>
            <w:rtl/>
          </w:rPr>
          <w:t xml:space="preserve"> ج6، ص383</w:t>
        </w:r>
        <w:r w:rsidRPr="00DD117D">
          <w:rPr>
            <w:rStyle w:val="Hyperlink"/>
          </w:rPr>
          <w:t>.</w:t>
        </w:r>
      </w:hyperlink>
    </w:p>
  </w:footnote>
  <w:footnote w:id="9">
    <w:p w:rsidR="008F20BC" w:rsidRPr="008F20BC" w:rsidRDefault="008F20BC" w:rsidP="008F20BC">
      <w:pPr>
        <w:pStyle w:val="FootnoteText"/>
      </w:pPr>
      <w:r w:rsidRPr="008F20BC">
        <w:footnoteRef/>
      </w:r>
      <w:r w:rsidRPr="008F20BC">
        <w:rPr>
          <w:rtl/>
        </w:rPr>
        <w:t xml:space="preserve"> </w:t>
      </w:r>
      <w:hyperlink r:id="rId8" w:history="1">
        <w:r w:rsidRPr="008F20BC">
          <w:rPr>
            <w:rStyle w:val="Hyperlink"/>
            <w:rtl/>
          </w:rPr>
          <w:t>الکاف</w:t>
        </w:r>
        <w:r w:rsidRPr="008F20BC">
          <w:rPr>
            <w:rStyle w:val="Hyperlink"/>
            <w:rFonts w:hint="cs"/>
            <w:rtl/>
          </w:rPr>
          <w:t>ی</w:t>
        </w:r>
        <w:r w:rsidRPr="008F20BC">
          <w:rPr>
            <w:rStyle w:val="Hyperlink"/>
            <w:rFonts w:hint="eastAsia"/>
            <w:rtl/>
          </w:rPr>
          <w:t>،</w:t>
        </w:r>
        <w:r w:rsidRPr="008F20BC">
          <w:rPr>
            <w:rStyle w:val="Hyperlink"/>
            <w:rtl/>
          </w:rPr>
          <w:t xml:space="preserve"> محمد بن </w:t>
        </w:r>
        <w:r w:rsidRPr="008F20BC">
          <w:rPr>
            <w:rStyle w:val="Hyperlink"/>
            <w:rFonts w:hint="cs"/>
            <w:rtl/>
          </w:rPr>
          <w:t>ی</w:t>
        </w:r>
        <w:r w:rsidRPr="008F20BC">
          <w:rPr>
            <w:rStyle w:val="Hyperlink"/>
            <w:rFonts w:hint="eastAsia"/>
            <w:rtl/>
          </w:rPr>
          <w:t>عقوب</w:t>
        </w:r>
        <w:r w:rsidRPr="008F20BC">
          <w:rPr>
            <w:rStyle w:val="Hyperlink"/>
            <w:rtl/>
          </w:rPr>
          <w:t xml:space="preserve"> کل</w:t>
        </w:r>
        <w:r w:rsidRPr="008F20BC">
          <w:rPr>
            <w:rStyle w:val="Hyperlink"/>
            <w:rFonts w:hint="cs"/>
            <w:rtl/>
          </w:rPr>
          <w:t>ی</w:t>
        </w:r>
        <w:r w:rsidRPr="008F20BC">
          <w:rPr>
            <w:rStyle w:val="Hyperlink"/>
            <w:rFonts w:hint="eastAsia"/>
            <w:rtl/>
          </w:rPr>
          <w:t>ن</w:t>
        </w:r>
        <w:r w:rsidRPr="008F20BC">
          <w:rPr>
            <w:rStyle w:val="Hyperlink"/>
            <w:rFonts w:hint="cs"/>
            <w:rtl/>
          </w:rPr>
          <w:t>ی</w:t>
        </w:r>
        <w:r w:rsidRPr="008F20BC">
          <w:rPr>
            <w:rStyle w:val="Hyperlink"/>
            <w:rFonts w:hint="eastAsia"/>
            <w:rtl/>
          </w:rPr>
          <w:t>،</w:t>
        </w:r>
        <w:r w:rsidRPr="008F20BC">
          <w:rPr>
            <w:rStyle w:val="Hyperlink"/>
            <w:rtl/>
          </w:rPr>
          <w:t xml:space="preserve"> ج3، ص569</w:t>
        </w:r>
        <w:r w:rsidRPr="008F20BC">
          <w:rPr>
            <w:rStyle w:val="Hyperlink"/>
          </w:rPr>
          <w:t>.</w:t>
        </w:r>
      </w:hyperlink>
    </w:p>
  </w:footnote>
  <w:footnote w:id="10">
    <w:p w:rsidR="006E2302" w:rsidRPr="006E2302" w:rsidRDefault="006E2302" w:rsidP="006E2302">
      <w:pPr>
        <w:pStyle w:val="FootnoteText"/>
      </w:pPr>
      <w:r w:rsidRPr="006E2302">
        <w:footnoteRef/>
      </w:r>
      <w:r w:rsidRPr="006E2302">
        <w:rPr>
          <w:rtl/>
        </w:rPr>
        <w:t xml:space="preserve"> </w:t>
      </w:r>
      <w:hyperlink r:id="rId9" w:history="1">
        <w:r w:rsidRPr="006E2302">
          <w:rPr>
            <w:rStyle w:val="Hyperlink"/>
            <w:rtl/>
          </w:rPr>
          <w:t>المحاسن، احمد بن محمد بن خالد برق</w:t>
        </w:r>
        <w:r w:rsidRPr="006E2302">
          <w:rPr>
            <w:rStyle w:val="Hyperlink"/>
            <w:rFonts w:hint="cs"/>
            <w:rtl/>
          </w:rPr>
          <w:t>ی</w:t>
        </w:r>
        <w:r w:rsidRPr="006E2302">
          <w:rPr>
            <w:rStyle w:val="Hyperlink"/>
            <w:rFonts w:hint="eastAsia"/>
            <w:rtl/>
          </w:rPr>
          <w:t>،</w:t>
        </w:r>
        <w:r w:rsidRPr="006E2302">
          <w:rPr>
            <w:rStyle w:val="Hyperlink"/>
            <w:rtl/>
          </w:rPr>
          <w:t xml:space="preserve"> ج2، ص528</w:t>
        </w:r>
        <w:r w:rsidRPr="006E2302">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3" w:name="BokNum"/>
    <w:bookmarkEnd w:id="13"/>
    <w:r w:rsidR="005954CD">
      <w:rPr>
        <w:b/>
        <w:bCs/>
        <w:sz w:val="20"/>
        <w:szCs w:val="24"/>
        <w:rtl/>
      </w:rPr>
      <w:t>010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4" w:name="Bokdars"/>
    <w:bookmarkEnd w:id="14"/>
    <w:r w:rsidR="005954CD">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5" w:name="Bokostad"/>
    <w:bookmarkEnd w:id="15"/>
    <w:r w:rsidR="005954CD">
      <w:rPr>
        <w:b/>
        <w:bCs/>
        <w:color w:val="632423" w:themeColor="accent2" w:themeShade="80"/>
        <w:sz w:val="20"/>
        <w:szCs w:val="24"/>
        <w:rtl/>
      </w:rPr>
      <w:t>س</w:t>
    </w:r>
    <w:r w:rsidR="005954CD">
      <w:rPr>
        <w:rFonts w:hint="cs"/>
        <w:b/>
        <w:bCs/>
        <w:color w:val="632423" w:themeColor="accent2" w:themeShade="80"/>
        <w:sz w:val="20"/>
        <w:szCs w:val="24"/>
        <w:rtl/>
      </w:rPr>
      <w:t>ی</w:t>
    </w:r>
    <w:r w:rsidR="005954CD">
      <w:rPr>
        <w:rFonts w:hint="eastAsia"/>
        <w:b/>
        <w:bCs/>
        <w:color w:val="632423" w:themeColor="accent2" w:themeShade="80"/>
        <w:sz w:val="20"/>
        <w:szCs w:val="24"/>
        <w:rtl/>
      </w:rPr>
      <w:t>د</w:t>
    </w:r>
    <w:r w:rsidR="005954CD">
      <w:rPr>
        <w:b/>
        <w:bCs/>
        <w:color w:val="632423" w:themeColor="accent2" w:themeShade="80"/>
        <w:sz w:val="20"/>
        <w:szCs w:val="24"/>
        <w:rtl/>
      </w:rPr>
      <w:t xml:space="preserve"> محمد جواد شب</w:t>
    </w:r>
    <w:r w:rsidR="005954CD">
      <w:rPr>
        <w:rFonts w:hint="cs"/>
        <w:b/>
        <w:bCs/>
        <w:color w:val="632423" w:themeColor="accent2" w:themeShade="80"/>
        <w:sz w:val="20"/>
        <w:szCs w:val="24"/>
        <w:rtl/>
      </w:rPr>
      <w:t>ی</w:t>
    </w:r>
    <w:r w:rsidR="005954CD">
      <w:rPr>
        <w:rFonts w:hint="eastAsia"/>
        <w:b/>
        <w:bCs/>
        <w:color w:val="632423" w:themeColor="accent2" w:themeShade="80"/>
        <w:sz w:val="20"/>
        <w:szCs w:val="24"/>
        <w:rtl/>
      </w:rPr>
      <w:t>ر</w:t>
    </w:r>
    <w:r w:rsidR="005954C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6" w:name="BokTarikh"/>
    <w:bookmarkEnd w:id="16"/>
    <w:r w:rsidR="005954CD">
      <w:rPr>
        <w:sz w:val="24"/>
        <w:szCs w:val="24"/>
        <w:rtl/>
      </w:rPr>
      <w:t>27 /7 /1400</w:t>
    </w:r>
  </w:p>
  <w:p w:rsidR="00FA3B17" w:rsidRPr="00F16B53" w:rsidRDefault="00935A55" w:rsidP="007E0B2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7" w:name="BokSabj"/>
    <w:bookmarkEnd w:id="17"/>
    <w:r w:rsidR="005954CD">
      <w:rPr>
        <w:color w:val="000000" w:themeColor="text1"/>
        <w:sz w:val="24"/>
        <w:szCs w:val="24"/>
        <w:rtl/>
      </w:rPr>
      <w:t>وجود حق مال</w:t>
    </w:r>
    <w:r w:rsidR="005954CD">
      <w:rPr>
        <w:rFonts w:hint="cs"/>
        <w:color w:val="000000" w:themeColor="text1"/>
        <w:sz w:val="24"/>
        <w:szCs w:val="24"/>
        <w:rtl/>
      </w:rPr>
      <w:t>ی</w:t>
    </w:r>
    <w:r w:rsidR="005954CD">
      <w:rPr>
        <w:color w:val="000000" w:themeColor="text1"/>
        <w:sz w:val="24"/>
        <w:szCs w:val="24"/>
        <w:rtl/>
      </w:rPr>
      <w:t xml:space="preserve"> د</w:t>
    </w:r>
    <w:r w:rsidR="005954CD">
      <w:rPr>
        <w:rFonts w:hint="cs"/>
        <w:color w:val="000000" w:themeColor="text1"/>
        <w:sz w:val="24"/>
        <w:szCs w:val="24"/>
        <w:rtl/>
      </w:rPr>
      <w:t>ی</w:t>
    </w:r>
    <w:r w:rsidR="005954CD">
      <w:rPr>
        <w:rFonts w:hint="eastAsia"/>
        <w:color w:val="000000" w:themeColor="text1"/>
        <w:sz w:val="24"/>
        <w:szCs w:val="24"/>
        <w:rtl/>
      </w:rPr>
      <w:t>گر</w:t>
    </w:r>
    <w:r w:rsidR="005954CD">
      <w:rPr>
        <w:rFonts w:hint="cs"/>
        <w:color w:val="000000" w:themeColor="text1"/>
        <w:sz w:val="24"/>
        <w:szCs w:val="24"/>
        <w:rtl/>
      </w:rPr>
      <w:t>ی</w:t>
    </w:r>
    <w:r w:rsidR="005954CD">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8" w:name="Bokmoqarer"/>
    <w:bookmarkEnd w:id="18"/>
    <w:r w:rsidR="007E0B2E">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9" w:name="BokSabj2"/>
    <w:bookmarkEnd w:id="19"/>
    <w:r w:rsidR="005954CD">
      <w:rPr>
        <w:sz w:val="24"/>
        <w:szCs w:val="24"/>
        <w:rtl/>
      </w:rPr>
      <w:t xml:space="preserve">حق الماره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4214"/>
    <w:rsid w:val="00055496"/>
    <w:rsid w:val="00080A41"/>
    <w:rsid w:val="0008299B"/>
    <w:rsid w:val="00083639"/>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3FB5"/>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106F"/>
    <w:rsid w:val="002B575F"/>
    <w:rsid w:val="002B729B"/>
    <w:rsid w:val="002C23B5"/>
    <w:rsid w:val="002C53A2"/>
    <w:rsid w:val="002D0040"/>
    <w:rsid w:val="002D2FA8"/>
    <w:rsid w:val="002D415A"/>
    <w:rsid w:val="002E220F"/>
    <w:rsid w:val="00307311"/>
    <w:rsid w:val="003176A2"/>
    <w:rsid w:val="0032100F"/>
    <w:rsid w:val="0033402C"/>
    <w:rsid w:val="00340521"/>
    <w:rsid w:val="00345C73"/>
    <w:rsid w:val="00354A99"/>
    <w:rsid w:val="00360311"/>
    <w:rsid w:val="00361922"/>
    <w:rsid w:val="0037339B"/>
    <w:rsid w:val="00386C11"/>
    <w:rsid w:val="00397466"/>
    <w:rsid w:val="003A45C2"/>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6D52"/>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54CD"/>
    <w:rsid w:val="005968EF"/>
    <w:rsid w:val="00596C1E"/>
    <w:rsid w:val="005A2E26"/>
    <w:rsid w:val="005B7BCA"/>
    <w:rsid w:val="005C02CE"/>
    <w:rsid w:val="005C0DAE"/>
    <w:rsid w:val="005C188E"/>
    <w:rsid w:val="005D2349"/>
    <w:rsid w:val="005E0711"/>
    <w:rsid w:val="005E1B60"/>
    <w:rsid w:val="005E5507"/>
    <w:rsid w:val="005E607B"/>
    <w:rsid w:val="005F0A8D"/>
    <w:rsid w:val="00601229"/>
    <w:rsid w:val="00603B67"/>
    <w:rsid w:val="006162A2"/>
    <w:rsid w:val="006240DA"/>
    <w:rsid w:val="0063256E"/>
    <w:rsid w:val="00633F04"/>
    <w:rsid w:val="00635219"/>
    <w:rsid w:val="00635EC0"/>
    <w:rsid w:val="00636BB8"/>
    <w:rsid w:val="00640B58"/>
    <w:rsid w:val="00651B02"/>
    <w:rsid w:val="00651B19"/>
    <w:rsid w:val="00656519"/>
    <w:rsid w:val="00660A29"/>
    <w:rsid w:val="0067482F"/>
    <w:rsid w:val="00695519"/>
    <w:rsid w:val="006A4134"/>
    <w:rsid w:val="006A5DDA"/>
    <w:rsid w:val="006A6701"/>
    <w:rsid w:val="006B21F4"/>
    <w:rsid w:val="006B3753"/>
    <w:rsid w:val="006B7AD6"/>
    <w:rsid w:val="006C50FD"/>
    <w:rsid w:val="006D1DD4"/>
    <w:rsid w:val="006D4014"/>
    <w:rsid w:val="006D44C1"/>
    <w:rsid w:val="006E2302"/>
    <w:rsid w:val="006E5651"/>
    <w:rsid w:val="006E5B85"/>
    <w:rsid w:val="006F026A"/>
    <w:rsid w:val="0070265B"/>
    <w:rsid w:val="00704813"/>
    <w:rsid w:val="00720336"/>
    <w:rsid w:val="0072290D"/>
    <w:rsid w:val="00723D6D"/>
    <w:rsid w:val="00724537"/>
    <w:rsid w:val="00731724"/>
    <w:rsid w:val="0073474B"/>
    <w:rsid w:val="00735511"/>
    <w:rsid w:val="00735D2B"/>
    <w:rsid w:val="00737208"/>
    <w:rsid w:val="00744DE6"/>
    <w:rsid w:val="00751BF9"/>
    <w:rsid w:val="00753795"/>
    <w:rsid w:val="00762452"/>
    <w:rsid w:val="007639E0"/>
    <w:rsid w:val="00775507"/>
    <w:rsid w:val="00780997"/>
    <w:rsid w:val="00783473"/>
    <w:rsid w:val="0078594B"/>
    <w:rsid w:val="00795E02"/>
    <w:rsid w:val="007979D0"/>
    <w:rsid w:val="007A4E18"/>
    <w:rsid w:val="007A7B8C"/>
    <w:rsid w:val="007C6D9E"/>
    <w:rsid w:val="007D1C43"/>
    <w:rsid w:val="007D6C53"/>
    <w:rsid w:val="007E0B2E"/>
    <w:rsid w:val="007E1564"/>
    <w:rsid w:val="007E1E87"/>
    <w:rsid w:val="007E5B3F"/>
    <w:rsid w:val="007F2257"/>
    <w:rsid w:val="0080091D"/>
    <w:rsid w:val="00804108"/>
    <w:rsid w:val="00804FC4"/>
    <w:rsid w:val="00816367"/>
    <w:rsid w:val="00816A0B"/>
    <w:rsid w:val="008228FE"/>
    <w:rsid w:val="00824B22"/>
    <w:rsid w:val="00830C53"/>
    <w:rsid w:val="00833766"/>
    <w:rsid w:val="008344AA"/>
    <w:rsid w:val="00837FAA"/>
    <w:rsid w:val="00841F77"/>
    <w:rsid w:val="0085276D"/>
    <w:rsid w:val="00863390"/>
    <w:rsid w:val="0086385C"/>
    <w:rsid w:val="00871916"/>
    <w:rsid w:val="00886FFE"/>
    <w:rsid w:val="008956DD"/>
    <w:rsid w:val="008A510E"/>
    <w:rsid w:val="008A522A"/>
    <w:rsid w:val="008B4464"/>
    <w:rsid w:val="008B750B"/>
    <w:rsid w:val="008C3162"/>
    <w:rsid w:val="008C41B8"/>
    <w:rsid w:val="008D1F14"/>
    <w:rsid w:val="008E3924"/>
    <w:rsid w:val="008F13F7"/>
    <w:rsid w:val="008F20BC"/>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2BE"/>
    <w:rsid w:val="00A46AD0"/>
    <w:rsid w:val="00A47063"/>
    <w:rsid w:val="00A473A8"/>
    <w:rsid w:val="00A513F0"/>
    <w:rsid w:val="00A61AC8"/>
    <w:rsid w:val="00A6366F"/>
    <w:rsid w:val="00A65D4C"/>
    <w:rsid w:val="00A70512"/>
    <w:rsid w:val="00A709CE"/>
    <w:rsid w:val="00AA1F60"/>
    <w:rsid w:val="00AA40D7"/>
    <w:rsid w:val="00AB5F7D"/>
    <w:rsid w:val="00AC0C50"/>
    <w:rsid w:val="00AC6FE2"/>
    <w:rsid w:val="00AF3925"/>
    <w:rsid w:val="00B07853"/>
    <w:rsid w:val="00B1296B"/>
    <w:rsid w:val="00B2292F"/>
    <w:rsid w:val="00B25676"/>
    <w:rsid w:val="00B43169"/>
    <w:rsid w:val="00B501A8"/>
    <w:rsid w:val="00B55AE4"/>
    <w:rsid w:val="00B70B46"/>
    <w:rsid w:val="00B739B0"/>
    <w:rsid w:val="00B77FD6"/>
    <w:rsid w:val="00B814A3"/>
    <w:rsid w:val="00B96F38"/>
    <w:rsid w:val="00BC716B"/>
    <w:rsid w:val="00BD0E74"/>
    <w:rsid w:val="00BD5F8C"/>
    <w:rsid w:val="00BE29DD"/>
    <w:rsid w:val="00BF403A"/>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777"/>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12"/>
    <w:rsid w:val="00D74021"/>
    <w:rsid w:val="00D76D01"/>
    <w:rsid w:val="00D922A9"/>
    <w:rsid w:val="00D9394A"/>
    <w:rsid w:val="00DB0CBB"/>
    <w:rsid w:val="00DB67CC"/>
    <w:rsid w:val="00DC3783"/>
    <w:rsid w:val="00DD117D"/>
    <w:rsid w:val="00DE1070"/>
    <w:rsid w:val="00E00219"/>
    <w:rsid w:val="00E0316B"/>
    <w:rsid w:val="00E25E10"/>
    <w:rsid w:val="00E50B41"/>
    <w:rsid w:val="00E5219B"/>
    <w:rsid w:val="00E52D07"/>
    <w:rsid w:val="00E5518B"/>
    <w:rsid w:val="00E609FE"/>
    <w:rsid w:val="00E630BE"/>
    <w:rsid w:val="00E66071"/>
    <w:rsid w:val="00E75920"/>
    <w:rsid w:val="00E80D96"/>
    <w:rsid w:val="00E871FA"/>
    <w:rsid w:val="00E936A4"/>
    <w:rsid w:val="00E954BB"/>
    <w:rsid w:val="00EA45E7"/>
    <w:rsid w:val="00EB013A"/>
    <w:rsid w:val="00EB78E3"/>
    <w:rsid w:val="00EB7BE3"/>
    <w:rsid w:val="00EC1C4B"/>
    <w:rsid w:val="00EC735A"/>
    <w:rsid w:val="00ED5F38"/>
    <w:rsid w:val="00EF27FE"/>
    <w:rsid w:val="00EF2B38"/>
    <w:rsid w:val="00F07FB6"/>
    <w:rsid w:val="00F149D0"/>
    <w:rsid w:val="00F16B53"/>
    <w:rsid w:val="00F25ECD"/>
    <w:rsid w:val="00F318BE"/>
    <w:rsid w:val="00F33297"/>
    <w:rsid w:val="00F343FB"/>
    <w:rsid w:val="00F359FE"/>
    <w:rsid w:val="00F363A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302"/>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207117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8768448">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137620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482221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31847439">
      <w:bodyDiv w:val="1"/>
      <w:marLeft w:val="0"/>
      <w:marRight w:val="0"/>
      <w:marTop w:val="0"/>
      <w:marBottom w:val="0"/>
      <w:divBdr>
        <w:top w:val="none" w:sz="0" w:space="0" w:color="auto"/>
        <w:left w:val="none" w:sz="0" w:space="0" w:color="auto"/>
        <w:bottom w:val="none" w:sz="0" w:space="0" w:color="auto"/>
        <w:right w:val="none" w:sz="0" w:space="0" w:color="auto"/>
      </w:divBdr>
    </w:div>
    <w:div w:id="792821266">
      <w:bodyDiv w:val="1"/>
      <w:marLeft w:val="0"/>
      <w:marRight w:val="0"/>
      <w:marTop w:val="0"/>
      <w:marBottom w:val="0"/>
      <w:divBdr>
        <w:top w:val="none" w:sz="0" w:space="0" w:color="auto"/>
        <w:left w:val="none" w:sz="0" w:space="0" w:color="auto"/>
        <w:bottom w:val="none" w:sz="0" w:space="0" w:color="auto"/>
        <w:right w:val="none" w:sz="0" w:space="0" w:color="auto"/>
      </w:divBdr>
    </w:div>
    <w:div w:id="1042439895">
      <w:bodyDiv w:val="1"/>
      <w:marLeft w:val="0"/>
      <w:marRight w:val="0"/>
      <w:marTop w:val="0"/>
      <w:marBottom w:val="0"/>
      <w:divBdr>
        <w:top w:val="none" w:sz="0" w:space="0" w:color="auto"/>
        <w:left w:val="none" w:sz="0" w:space="0" w:color="auto"/>
        <w:bottom w:val="none" w:sz="0" w:space="0" w:color="auto"/>
        <w:right w:val="none" w:sz="0" w:space="0" w:color="auto"/>
      </w:divBdr>
    </w:div>
    <w:div w:id="111772045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4985405">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9472652">
      <w:bodyDiv w:val="1"/>
      <w:marLeft w:val="0"/>
      <w:marRight w:val="0"/>
      <w:marTop w:val="0"/>
      <w:marBottom w:val="0"/>
      <w:divBdr>
        <w:top w:val="none" w:sz="0" w:space="0" w:color="auto"/>
        <w:left w:val="none" w:sz="0" w:space="0" w:color="auto"/>
        <w:bottom w:val="none" w:sz="0" w:space="0" w:color="auto"/>
        <w:right w:val="none" w:sz="0" w:space="0" w:color="auto"/>
      </w:divBdr>
    </w:div>
    <w:div w:id="146284526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4708520">
      <w:bodyDiv w:val="1"/>
      <w:marLeft w:val="0"/>
      <w:marRight w:val="0"/>
      <w:marTop w:val="0"/>
      <w:marBottom w:val="0"/>
      <w:divBdr>
        <w:top w:val="none" w:sz="0" w:space="0" w:color="auto"/>
        <w:left w:val="none" w:sz="0" w:space="0" w:color="auto"/>
        <w:bottom w:val="none" w:sz="0" w:space="0" w:color="auto"/>
        <w:right w:val="none" w:sz="0" w:space="0" w:color="auto"/>
      </w:divBdr>
    </w:div>
    <w:div w:id="168212788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200305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69/" TargetMode="External"/><Relationship Id="rId3" Type="http://schemas.openxmlformats.org/officeDocument/2006/relationships/hyperlink" Target="http://lib.eshia.ir/14028//85/" TargetMode="External"/><Relationship Id="rId7" Type="http://schemas.openxmlformats.org/officeDocument/2006/relationships/hyperlink" Target="http://lib.eshia.ir/10083/6/383/" TargetMode="External"/><Relationship Id="rId2" Type="http://schemas.openxmlformats.org/officeDocument/2006/relationships/hyperlink" Target="http://lib.eshia.ir/11025/18/229/&#1575;&#1604;&#1589;&#1585;&#1605;&#1740;%20" TargetMode="External"/><Relationship Id="rId1" Type="http://schemas.openxmlformats.org/officeDocument/2006/relationships/hyperlink" Target="http://lib.eshia.ir/10083/7/93/" TargetMode="External"/><Relationship Id="rId6" Type="http://schemas.openxmlformats.org/officeDocument/2006/relationships/hyperlink" Target="http://lib.eshia.ir/14015/1/375/" TargetMode="External"/><Relationship Id="rId5" Type="http://schemas.openxmlformats.org/officeDocument/2006/relationships/hyperlink" Target="http://lib.eshia.ir/14028/1/334/" TargetMode="External"/><Relationship Id="rId4" Type="http://schemas.openxmlformats.org/officeDocument/2006/relationships/hyperlink" Target="http://lib.eshia.ir/10083/6/383/" TargetMode="External"/><Relationship Id="rId9" Type="http://schemas.openxmlformats.org/officeDocument/2006/relationships/hyperlink" Target="http://lib.eshia.ir/15101/2/5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52FD-30F0-4F72-AB03-FF9B90E3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212</TotalTime>
  <Pages>9</Pages>
  <Words>2174</Words>
  <Characters>12393</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32</cp:revision>
  <dcterms:created xsi:type="dcterms:W3CDTF">2021-10-19T13:34:00Z</dcterms:created>
  <dcterms:modified xsi:type="dcterms:W3CDTF">2021-10-30T03:26:00Z</dcterms:modified>
  <cp:contentStatus>ویرایش 2.5</cp:contentStatus>
  <cp:version>2.7</cp:version>
</cp:coreProperties>
</file>