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13" w:rsidRDefault="00317213" w:rsidP="0031721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317213" w:rsidRDefault="00317213" w:rsidP="0031721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13</w:t>
      </w:r>
      <w:r>
        <w:rPr>
          <w:rFonts w:ascii="IRANSans" w:hAnsi="IRANSans" w:cs="IRANSans"/>
          <w:b/>
          <w:bCs/>
          <w:color w:val="0101FF"/>
          <w:sz w:val="24"/>
          <w:szCs w:val="24"/>
          <w:shd w:val="clear" w:color="auto" w:fill="FFFFFF"/>
          <w:rtl/>
        </w:rPr>
        <w:t xml:space="preserve"> /04/ 1400 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0022AD" w:rsidP="000022AD">
      <w:pPr>
        <w:jc w:val="both"/>
        <w:rPr>
          <w:rtl/>
        </w:rPr>
      </w:pPr>
      <w:r>
        <w:rPr>
          <w:rFonts w:hint="cs"/>
          <w:rtl/>
        </w:rPr>
        <w:t>بحث در روایات مساله بود. به روایت علی بن جعفر رسیدیم.</w:t>
      </w:r>
    </w:p>
    <w:p w:rsidR="000022AD" w:rsidRDefault="000022AD" w:rsidP="000022AD">
      <w:pPr>
        <w:pStyle w:val="Heading1"/>
        <w:rPr>
          <w:rtl/>
        </w:rPr>
      </w:pPr>
      <w:bookmarkStart w:id="1" w:name="_Toc80012013"/>
      <w:bookmarkStart w:id="2" w:name="_Toc80018272"/>
      <w:r>
        <w:rPr>
          <w:rFonts w:hint="cs"/>
          <w:rtl/>
        </w:rPr>
        <w:t>روایات مساله</w:t>
      </w:r>
      <w:bookmarkEnd w:id="1"/>
      <w:bookmarkEnd w:id="2"/>
    </w:p>
    <w:p w:rsidR="000022AD" w:rsidRDefault="000022AD" w:rsidP="000022AD">
      <w:pPr>
        <w:pStyle w:val="Heading2"/>
        <w:rPr>
          <w:rtl/>
        </w:rPr>
      </w:pPr>
      <w:bookmarkStart w:id="3" w:name="_Toc79936556"/>
      <w:bookmarkStart w:id="4" w:name="_Toc79940070"/>
      <w:bookmarkStart w:id="5" w:name="_Toc80012014"/>
      <w:bookmarkStart w:id="6" w:name="_Toc80018273"/>
      <w:r>
        <w:rPr>
          <w:rFonts w:hint="cs"/>
          <w:rtl/>
        </w:rPr>
        <w:t>روایت یازدهم ( روایت علی بن جعفر)</w:t>
      </w:r>
      <w:bookmarkEnd w:id="3"/>
      <w:bookmarkEnd w:id="4"/>
      <w:bookmarkEnd w:id="5"/>
      <w:bookmarkEnd w:id="6"/>
    </w:p>
    <w:p w:rsidR="000022AD" w:rsidRPr="000022AD" w:rsidRDefault="000022AD" w:rsidP="000022AD">
      <w:pPr>
        <w:jc w:val="both"/>
        <w:rPr>
          <w:color w:val="008000"/>
          <w:rtl/>
        </w:rPr>
      </w:pPr>
      <w:r w:rsidRPr="00E45C29">
        <w:rPr>
          <w:rFonts w:hint="cs"/>
          <w:color w:val="008000"/>
          <w:rtl/>
        </w:rPr>
        <w:t>وَ سَأَلْتُهُ عَنِ الطَّعَامِ يُوضَعُ عَلَى سُفْرَةٍ أَوْ خِوَانٍ‏ قَدْ أَصَابَهُ‏ الْخَمْرُ، أَ يُؤْكَلُ عَلَيْهِ؟ قَالَ: «إِذَا كَانَ الْخِوَانُ يَابِساً فَلَا بَأْسَ»</w:t>
      </w:r>
      <w:r>
        <w:rPr>
          <w:rStyle w:val="FootnoteReference"/>
          <w:color w:val="008000"/>
          <w:rtl/>
        </w:rPr>
        <w:footnoteReference w:id="1"/>
      </w:r>
    </w:p>
    <w:p w:rsidR="00247D2F" w:rsidRPr="003A6148" w:rsidRDefault="00247D2F" w:rsidP="003B59AF">
      <w:pPr>
        <w:pBdr>
          <w:bottom w:val="double" w:sz="6" w:space="1" w:color="auto"/>
        </w:pBdr>
        <w:jc w:val="both"/>
      </w:pPr>
    </w:p>
    <w:p w:rsidR="008F5B4D" w:rsidRDefault="008F5B4D" w:rsidP="003B59AF">
      <w:pPr>
        <w:jc w:val="both"/>
      </w:pPr>
    </w:p>
    <w:p w:rsidR="000022AD" w:rsidRDefault="000022AD" w:rsidP="000022AD">
      <w:pPr>
        <w:jc w:val="both"/>
        <w:rPr>
          <w:rtl/>
        </w:rPr>
      </w:pPr>
      <w:r>
        <w:rPr>
          <w:rFonts w:hint="cs"/>
          <w:rtl/>
        </w:rPr>
        <w:t xml:space="preserve">آقای صدر در این جا بحث سندی نکرده است؛ اما چند صفحه بعد به تناسب روایت مشابهی که وارد شده است، اشاره به بحث سندی این روایت کرده است: </w:t>
      </w:r>
    </w:p>
    <w:p w:rsidR="000022AD" w:rsidRPr="000022AD" w:rsidRDefault="000022AD" w:rsidP="000022AD">
      <w:pPr>
        <w:jc w:val="both"/>
        <w:rPr>
          <w:color w:val="000080"/>
        </w:rPr>
      </w:pPr>
      <w:r w:rsidRPr="000022AD">
        <w:rPr>
          <w:rFonts w:hint="cs"/>
          <w:color w:val="000080"/>
          <w:rtl/>
        </w:rPr>
        <w:t>و سندها معتبر بلحاظ نقل صاحب الوسائل لها عن كتاب علي بن جعفر، لا بلحاظ ورودها في قرب الاسناد المشتمل على عبد اللّه بن الحسن.</w:t>
      </w:r>
      <w:r>
        <w:rPr>
          <w:rStyle w:val="FootnoteReference"/>
          <w:color w:val="000080"/>
          <w:rtl/>
        </w:rPr>
        <w:footnoteReference w:id="2"/>
      </w:r>
    </w:p>
    <w:p w:rsidR="000022AD" w:rsidRDefault="00737CF9" w:rsidP="000022AD">
      <w:pPr>
        <w:jc w:val="both"/>
        <w:rPr>
          <w:rtl/>
        </w:rPr>
      </w:pPr>
      <w:r>
        <w:rPr>
          <w:rFonts w:hint="cs"/>
          <w:rtl/>
        </w:rPr>
        <w:t>دو مرحله بحث وجود دارد. ایشان می فرماید: چون صاحب وسائل طریق دارد، این طریق کتاب علی بن جعفر را تصحیح می کند.</w:t>
      </w:r>
    </w:p>
    <w:p w:rsidR="00667632" w:rsidRDefault="00667632" w:rsidP="000022AD">
      <w:pPr>
        <w:jc w:val="both"/>
        <w:rPr>
          <w:rtl/>
        </w:rPr>
      </w:pPr>
      <w:r>
        <w:rPr>
          <w:rFonts w:hint="cs"/>
          <w:rtl/>
        </w:rPr>
        <w:t xml:space="preserve">طریق صاحب وسائل، طریق به یک نسخه‌ی خاص نیست؛ بلکه طریق به کتاب علی بن جعفر به نحو کلی است. این طرق، طرق اجازه ای است و الزاما مشتمل بر </w:t>
      </w:r>
      <w:r w:rsidR="00143F74">
        <w:rPr>
          <w:rFonts w:hint="cs"/>
          <w:rtl/>
        </w:rPr>
        <w:t>یک نسخه‌ی معینی نیست. مشکل، نسخه‌ی موجود کتاب علی بن جعفر است که شواهد روشنی بر اعتبار آن وجود ندارد.</w:t>
      </w:r>
      <w:r w:rsidR="00FB5F53">
        <w:rPr>
          <w:rFonts w:hint="cs"/>
          <w:rtl/>
        </w:rPr>
        <w:t xml:space="preserve"> افرادی که در نسخه‌ی موجود نامشان هست، مجاهیلی هستند که نمی توان اعتبار این نسخه </w:t>
      </w:r>
      <w:r w:rsidR="00FB5F53">
        <w:rPr>
          <w:rFonts w:hint="cs"/>
          <w:rtl/>
        </w:rPr>
        <w:lastRenderedPageBreak/>
        <w:t>را اثبات کرد.</w:t>
      </w:r>
      <w:r w:rsidR="00B46E47">
        <w:rPr>
          <w:rFonts w:hint="cs"/>
          <w:rtl/>
        </w:rPr>
        <w:t xml:space="preserve"> مقارنه‌ی این نسخه با سایر منقولات </w:t>
      </w:r>
      <w:r w:rsidR="007F2DB2">
        <w:rPr>
          <w:rFonts w:hint="cs"/>
          <w:rtl/>
        </w:rPr>
        <w:t>علی بن جعفر نیز برای اثبات وثاقت کافی نیست. نصف روایات نسخه‌ی موجود در کتب دیگر وارد شده است. نسبت روایات علی بن جعفر در این کتاب و س</w:t>
      </w:r>
      <w:r w:rsidR="005C58CC">
        <w:rPr>
          <w:rFonts w:hint="cs"/>
          <w:rtl/>
        </w:rPr>
        <w:t>ایر کتب، عموم و خصوص من وجه است و اعتبار نسخه‌ی موجود قابل اثبات نیست.</w:t>
      </w:r>
      <w:r w:rsidR="009450AD">
        <w:rPr>
          <w:rFonts w:hint="cs"/>
          <w:rtl/>
        </w:rPr>
        <w:t xml:space="preserve"> آیت الله والد احتمال</w:t>
      </w:r>
      <w:r w:rsidR="00172252">
        <w:rPr>
          <w:rFonts w:hint="cs"/>
          <w:rtl/>
        </w:rPr>
        <w:t>ی</w:t>
      </w:r>
      <w:r w:rsidR="009450AD">
        <w:rPr>
          <w:rFonts w:hint="cs"/>
          <w:rtl/>
        </w:rPr>
        <w:t xml:space="preserve"> می دهد که این احتمال جدی است، ممکن است شخصی روایات علی بن جعفر را جمع آوری کرده باشد و کتابی را گردآوری کرده باشد و بر گرفته از یک نسخه‌ی اصیل نباشد.</w:t>
      </w:r>
    </w:p>
    <w:p w:rsidR="00AF7B91" w:rsidRDefault="00AF7B91" w:rsidP="000022AD">
      <w:pPr>
        <w:jc w:val="both"/>
        <w:rPr>
          <w:rtl/>
        </w:rPr>
      </w:pPr>
      <w:r>
        <w:rPr>
          <w:rFonts w:hint="cs"/>
          <w:rtl/>
        </w:rPr>
        <w:t>در کلمات برخی وارد شده است که صاحب وسائل طریق دارد؛ در حالی که طریق صاحب وسائل ارزشی ندارد.</w:t>
      </w:r>
      <w:r w:rsidR="007C3727">
        <w:rPr>
          <w:rFonts w:hint="cs"/>
          <w:rtl/>
        </w:rPr>
        <w:t xml:space="preserve"> به نظر ما طرق شیخ طوسی هم ارزشی ندارد.</w:t>
      </w:r>
    </w:p>
    <w:p w:rsidR="00B4397C" w:rsidRPr="001A27D7" w:rsidRDefault="00B4397C" w:rsidP="000022AD">
      <w:pPr>
        <w:jc w:val="both"/>
        <w:rPr>
          <w:rtl/>
        </w:rPr>
      </w:pPr>
      <w:r>
        <w:rPr>
          <w:rFonts w:hint="cs"/>
          <w:rtl/>
        </w:rPr>
        <w:t xml:space="preserve">شهید صدر می فرماید: </w:t>
      </w:r>
      <w:r w:rsidRPr="000022AD">
        <w:rPr>
          <w:rFonts w:hint="cs"/>
          <w:color w:val="000080"/>
          <w:rtl/>
        </w:rPr>
        <w:t>في قرب الاسناد المشتمل على عبد اللّه بن الحسن</w:t>
      </w:r>
    </w:p>
    <w:p w:rsidR="001A1EA5" w:rsidRDefault="00B4397C" w:rsidP="003B59AF">
      <w:pPr>
        <w:jc w:val="both"/>
        <w:rPr>
          <w:rtl/>
        </w:rPr>
      </w:pPr>
      <w:r>
        <w:rPr>
          <w:rFonts w:hint="cs"/>
          <w:rtl/>
        </w:rPr>
        <w:t>در سند روایت در قرب الاسناد، عبدالله بن الحسن که نوه‌ی علی بن جعفر بوده است، وارد شده است.</w:t>
      </w:r>
    </w:p>
    <w:p w:rsidR="004D2648" w:rsidRDefault="004D2648" w:rsidP="003B59AF">
      <w:pPr>
        <w:jc w:val="both"/>
        <w:rPr>
          <w:rtl/>
        </w:rPr>
      </w:pPr>
      <w:r>
        <w:rPr>
          <w:rFonts w:hint="cs"/>
          <w:rtl/>
        </w:rPr>
        <w:t>دو تقریب برای اثبات اعتبار این روایت وجود دارد.</w:t>
      </w:r>
    </w:p>
    <w:p w:rsidR="004D2648" w:rsidRDefault="004D2648" w:rsidP="003B59AF">
      <w:pPr>
        <w:jc w:val="both"/>
        <w:rPr>
          <w:rtl/>
        </w:rPr>
      </w:pPr>
      <w:r>
        <w:rPr>
          <w:rFonts w:hint="cs"/>
          <w:rtl/>
        </w:rPr>
        <w:t>یک تقریب این است که اکثار روایت عبدالله بن جعفر حمیری از عبدالله بن الحسن، دلیل بر وثاقت عبدالله بن الحسن است.</w:t>
      </w:r>
      <w:r w:rsidR="00CE6288">
        <w:rPr>
          <w:rFonts w:hint="cs"/>
          <w:rtl/>
        </w:rPr>
        <w:t xml:space="preserve"> به نظر ما در موارد قرب الاسناد هم اکثار موجب اثبات وثاقت می شود؛ البته از بیانات آیت الله والد استفاده می شود که ایشان در موارد قرب الاسناد</w:t>
      </w:r>
      <w:r w:rsidR="006D3D7E">
        <w:rPr>
          <w:rFonts w:hint="cs"/>
          <w:rtl/>
        </w:rPr>
        <w:t xml:space="preserve"> که نقل روایت به خاطر کم واسطه بودن نقل می شود</w:t>
      </w:r>
      <w:r w:rsidR="00CE6288">
        <w:rPr>
          <w:rFonts w:hint="cs"/>
          <w:rtl/>
        </w:rPr>
        <w:t>، اکثار اجلاء را قبول ندارد</w:t>
      </w:r>
      <w:r w:rsidR="006D3D7E">
        <w:rPr>
          <w:rFonts w:hint="cs"/>
          <w:rtl/>
        </w:rPr>
        <w:t>.</w:t>
      </w:r>
    </w:p>
    <w:p w:rsidR="006D3D7E" w:rsidRDefault="009349D2" w:rsidP="003B59AF">
      <w:pPr>
        <w:jc w:val="both"/>
        <w:rPr>
          <w:rtl/>
        </w:rPr>
      </w:pPr>
      <w:r>
        <w:rPr>
          <w:rFonts w:hint="cs"/>
          <w:rtl/>
        </w:rPr>
        <w:t>تقریب دیگر را آیت الله والد بیان کرده است. عبدالله جعفر حمیری که روایت علی بن جعفر را از طریق عبدالله بن الحسن اخذ کرده است یا به این جهت است که کتاب علی بن جعفر کتاب مشهوری بوده است و معتبر بوده است و سند و نسخه های خوبی داشته است و نقل عبدالله بن الحسن جنبه‌ی تشریفاتی داشته است.</w:t>
      </w:r>
    </w:p>
    <w:p w:rsidR="009349D2" w:rsidRDefault="009349D2" w:rsidP="003B59AF">
      <w:pPr>
        <w:jc w:val="both"/>
        <w:rPr>
          <w:rtl/>
        </w:rPr>
      </w:pPr>
      <w:r>
        <w:rPr>
          <w:rFonts w:hint="cs"/>
          <w:rtl/>
        </w:rPr>
        <w:t>یا برای اثبات این که این روایت، روایتِ علی بن جعفر بوده است، به نقل عبدالله بن الحسن اعتماد کرده است.</w:t>
      </w:r>
    </w:p>
    <w:p w:rsidR="00F50492" w:rsidRDefault="00F50492" w:rsidP="003B59AF">
      <w:pPr>
        <w:jc w:val="both"/>
        <w:rPr>
          <w:rtl/>
        </w:rPr>
      </w:pPr>
      <w:r>
        <w:rPr>
          <w:rFonts w:hint="cs"/>
          <w:rtl/>
        </w:rPr>
        <w:t>بنا بر احتمال اول نیازی به اثبات وثاقت عبدالله بن الحسن نیست و جنبه‌ی تشریفاتی داشته و با هدف قرب الاسناد بوده است.</w:t>
      </w:r>
    </w:p>
    <w:p w:rsidR="00F50492" w:rsidRDefault="00F50492" w:rsidP="003B59AF">
      <w:pPr>
        <w:jc w:val="both"/>
        <w:rPr>
          <w:rtl/>
        </w:rPr>
      </w:pPr>
      <w:r>
        <w:rPr>
          <w:rFonts w:hint="cs"/>
          <w:rtl/>
        </w:rPr>
        <w:t>بنا بر احتمال دوم همین که عبدالله بن جعفر کتابی را توسط عبدالله بن الحسن نقل کرده است و به او اعتماد کرده است، برای اثبات وثاقت عبدالله بن الحسن کافی است.</w:t>
      </w:r>
    </w:p>
    <w:p w:rsidR="00F50492" w:rsidRDefault="00F50492" w:rsidP="0037278E">
      <w:pPr>
        <w:jc w:val="both"/>
        <w:rPr>
          <w:rtl/>
        </w:rPr>
      </w:pPr>
      <w:r>
        <w:rPr>
          <w:rFonts w:hint="cs"/>
          <w:rtl/>
        </w:rPr>
        <w:t>بنابراین یا نیازی به اثبات وثاقت عبدالله بن الحسن نیست و یا اگر نیاز باشد، او ثقه بوده است. البته در نهایت وثاقت عبدالله بن الحسن اثبات نمی شود؛ اما اعتبار روایات عبدالله بن الحسن که در کتاب قرب الاسناد وارد شده است، اثبات می شود.</w:t>
      </w:r>
      <w:r w:rsidR="00C15C53">
        <w:rPr>
          <w:rFonts w:hint="cs"/>
          <w:rtl/>
        </w:rPr>
        <w:t xml:space="preserve"> اما اگر جای دیگر روایت داشته باشد، اعتبار آن روایت ثابت نمی شود.</w:t>
      </w:r>
    </w:p>
    <w:p w:rsidR="005D20ED" w:rsidRDefault="005D20ED" w:rsidP="003B59AF">
      <w:pPr>
        <w:jc w:val="both"/>
        <w:rPr>
          <w:rtl/>
        </w:rPr>
      </w:pPr>
      <w:r>
        <w:rPr>
          <w:rFonts w:hint="cs"/>
          <w:rtl/>
        </w:rPr>
        <w:lastRenderedPageBreak/>
        <w:t>بیان آیت الله والد در موارد دیگری هم وجود دارد؛ مثلا در بعضی موارد در اسناد صدوق رواتی وجود دارند که صاحب کتاب نیستند؛ مثلا احمد بن محمد بن یحیی العطار که صاحب کتاب نیست</w:t>
      </w:r>
      <w:r w:rsidR="006E7C21">
        <w:rPr>
          <w:rFonts w:hint="cs"/>
          <w:rtl/>
        </w:rPr>
        <w:t>، یا در طریق به کتب قرار دارد و آن کتب صرف نظر از این شخص اعتبارش از جای دیگر اثبات شده بوده و این طریق جنبه‌ی تشریفاتی داشته است و یا جنبه‌ی تشریفاتی نداشته و با این شخص، طریق اثبات می شود.</w:t>
      </w:r>
      <w:r w:rsidR="006E03AC">
        <w:rPr>
          <w:rFonts w:hint="cs"/>
          <w:rtl/>
        </w:rPr>
        <w:t xml:space="preserve"> بنابراین بنا بر هر دو احتمال، اعتبار روایت ثابت می شود.</w:t>
      </w:r>
    </w:p>
    <w:p w:rsidR="000E3BF4" w:rsidRDefault="000E3BF4" w:rsidP="003B59AF">
      <w:pPr>
        <w:jc w:val="both"/>
        <w:rPr>
          <w:rtl/>
        </w:rPr>
      </w:pPr>
      <w:r>
        <w:rPr>
          <w:rFonts w:hint="cs"/>
          <w:rtl/>
        </w:rPr>
        <w:t>بنابراین بر خلاف بیان مرحوم آقای صدر ما به جهت ورود در قرب الاسناد این روایت را تصحیح می کنیم؛ نه به جهت ورود در کتاب مسائل علی بن جعفر.</w:t>
      </w:r>
    </w:p>
    <w:p w:rsidR="003B59AF" w:rsidRDefault="00735F6E" w:rsidP="00CC37FA">
      <w:pPr>
        <w:jc w:val="both"/>
        <w:rPr>
          <w:rtl/>
        </w:rPr>
      </w:pPr>
      <w:r>
        <w:rPr>
          <w:rFonts w:hint="cs"/>
          <w:rtl/>
        </w:rPr>
        <w:t>در جلسات قبل اشاره کردم اگر روایتی دو سند داشته باشد و یکی از دو سند معتبر باشد و دیگری معتبر نباشد، سند غیر معتبر نیز معتبر می شود</w:t>
      </w:r>
      <w:r w:rsidR="002950C1">
        <w:rPr>
          <w:rFonts w:hint="cs"/>
          <w:rtl/>
        </w:rPr>
        <w:t>، به شرطی که تفاوت های بین دو نقل به نحوی نباشد که انگیزه‌ی عقلایی به اضافه یا کم کردن تفاوت ها باشد.</w:t>
      </w:r>
    </w:p>
    <w:p w:rsidR="00CC37FA" w:rsidRDefault="00CC37FA" w:rsidP="00CC37FA">
      <w:pPr>
        <w:jc w:val="both"/>
        <w:rPr>
          <w:rtl/>
        </w:rPr>
      </w:pPr>
      <w:r>
        <w:rPr>
          <w:rFonts w:hint="cs"/>
          <w:rtl/>
        </w:rPr>
        <w:t xml:space="preserve">اختلاف دو نقل در این روایت «علیه» در عبارت </w:t>
      </w:r>
      <w:r>
        <w:rPr>
          <w:rFonts w:hint="cs"/>
          <w:color w:val="008000"/>
          <w:rtl/>
        </w:rPr>
        <w:t>أَ يُؤْكَلُ عَلَيْهِ؟</w:t>
      </w:r>
      <w:r>
        <w:rPr>
          <w:rFonts w:hint="cs"/>
          <w:rtl/>
        </w:rPr>
        <w:t xml:space="preserve"> می باشد</w:t>
      </w:r>
      <w:r w:rsidR="00E46710">
        <w:rPr>
          <w:rFonts w:hint="cs"/>
          <w:rtl/>
        </w:rPr>
        <w:t xml:space="preserve"> و چیزی نیست که انگیزه‌ی عقلایی برای تفاوت این نقل ها باشد.</w:t>
      </w:r>
      <w:r w:rsidR="003924EE">
        <w:rPr>
          <w:rFonts w:hint="cs"/>
          <w:rtl/>
        </w:rPr>
        <w:t xml:space="preserve"> در نتیجه نقل کتاب علی بن جعفر با توجه به اعتبار نقل قرب الاسناد، معتبر می شود و اگر تفاوتی بین </w:t>
      </w:r>
      <w:r w:rsidR="009B35E8">
        <w:rPr>
          <w:rFonts w:hint="cs"/>
          <w:rtl/>
        </w:rPr>
        <w:t>دو نقل باشد، اثر گذار خواهد بود</w:t>
      </w:r>
      <w:r w:rsidR="003924EE">
        <w:rPr>
          <w:rFonts w:hint="cs"/>
          <w:rtl/>
        </w:rPr>
        <w:t xml:space="preserve"> ( البته ما تفاوتی قائل نشدیم بین</w:t>
      </w:r>
      <w:r w:rsidR="002A13E8">
        <w:rPr>
          <w:rFonts w:hint="cs"/>
          <w:rtl/>
        </w:rPr>
        <w:t xml:space="preserve"> مضمون</w:t>
      </w:r>
      <w:r w:rsidR="003924EE">
        <w:rPr>
          <w:rFonts w:hint="cs"/>
          <w:rtl/>
        </w:rPr>
        <w:t xml:space="preserve"> دو نقل)</w:t>
      </w:r>
      <w:r w:rsidR="002A13E8">
        <w:rPr>
          <w:rFonts w:hint="cs"/>
          <w:rtl/>
        </w:rPr>
        <w:t>.</w:t>
      </w:r>
    </w:p>
    <w:p w:rsidR="003B59AF" w:rsidRDefault="009B35E8" w:rsidP="009B35E8">
      <w:pPr>
        <w:pStyle w:val="Heading2"/>
        <w:rPr>
          <w:rtl/>
        </w:rPr>
      </w:pPr>
      <w:bookmarkStart w:id="7" w:name="_Toc80012015"/>
      <w:bookmarkStart w:id="8" w:name="_Toc80018274"/>
      <w:r>
        <w:rPr>
          <w:rFonts w:hint="cs"/>
          <w:rtl/>
        </w:rPr>
        <w:t>روایت دوازدهم ( روایت یونس)</w:t>
      </w:r>
      <w:bookmarkEnd w:id="7"/>
      <w:bookmarkEnd w:id="8"/>
    </w:p>
    <w:p w:rsidR="009B35E8" w:rsidRPr="009B35E8" w:rsidRDefault="009B35E8" w:rsidP="009B35E8">
      <w:pPr>
        <w:jc w:val="both"/>
        <w:rPr>
          <w:color w:val="008000"/>
          <w:rtl/>
        </w:rPr>
      </w:pPr>
      <w:r w:rsidRPr="009B35E8">
        <w:rPr>
          <w:rFonts w:hint="cs"/>
          <w:rtl/>
        </w:rPr>
        <w:t xml:space="preserve">عَلِيُّ بْنُ إِبْرَاهِيمَ عَنْ أَبِيهِ عَنْ إِسْمَاعِيلَ بْنِ مَرَّارٍ عَنْ يُونُسَ عَنْهُمْ ع </w:t>
      </w:r>
      <w:r w:rsidRPr="009B35E8">
        <w:rPr>
          <w:rFonts w:hint="cs"/>
          <w:color w:val="008000"/>
          <w:rtl/>
        </w:rPr>
        <w:t>قَالُوا خَمْسَةُ أَشْيَاءَ ذَكِيَّةٌ مِمَّا فِيهَا مَنَافِعُ الْخَلْقِ الْإِنْفَحَةُ وَ الْبَيْضَةُ وَ الصُّوفُ وَ الشَّعْرُ وَ الْوَبَرُ لَا بَأْسَ بِأَكْلِ الْجُبُنِّ كُلِّهِ مِمَّا عَمِلَهُ مُسْلِمٌ أَوْ غَيْرُهُ وَ إِنَّمَا يُكْرَهُ أَنْ يُؤْكَلَ سِوَى‏ الْإِنْفَحَةِ مِمَّا فِي آنِيَةِ الْمَجُوسِ وَ أَهْلِ الْكِتَابِ لِأَنَّهُمْ لَا يَتَوَقَّوْنَ‏ الْمَيْتَةَ وَ الْخَمْر</w:t>
      </w:r>
      <w:r w:rsidRPr="009B35E8">
        <w:rPr>
          <w:rStyle w:val="FootnoteReference"/>
          <w:color w:val="008000"/>
          <w:rtl/>
        </w:rPr>
        <w:footnoteReference w:id="3"/>
      </w:r>
    </w:p>
    <w:p w:rsidR="009B35E8" w:rsidRDefault="009B35E8" w:rsidP="003B59AF">
      <w:pPr>
        <w:jc w:val="both"/>
        <w:rPr>
          <w:rtl/>
        </w:rPr>
      </w:pPr>
      <w:r>
        <w:rPr>
          <w:rFonts w:hint="cs"/>
          <w:rtl/>
        </w:rPr>
        <w:t>مرحوم آقای صدر می فرماید:</w:t>
      </w:r>
      <w:r w:rsidR="000F1C8C">
        <w:rPr>
          <w:rFonts w:hint="cs"/>
          <w:rtl/>
        </w:rPr>
        <w:t xml:space="preserve"> اگر خمر نجس نباشد، وجهی برای اجتناب از اوانی نخواهد بود:</w:t>
      </w:r>
    </w:p>
    <w:p w:rsidR="008F4428" w:rsidRPr="008F4428" w:rsidRDefault="008F4428" w:rsidP="008F4428">
      <w:pPr>
        <w:jc w:val="both"/>
        <w:rPr>
          <w:color w:val="000080"/>
          <w:rtl/>
        </w:rPr>
      </w:pPr>
      <w:r w:rsidRPr="008F4428">
        <w:rPr>
          <w:rFonts w:hint="cs"/>
          <w:color w:val="000080"/>
          <w:rtl/>
        </w:rPr>
        <w:t>و لو لا نجاسة الخمر لم يكن وجه للاجتناب عن الأواني التي يشرب بها.</w:t>
      </w:r>
    </w:p>
    <w:p w:rsidR="008F4428" w:rsidRPr="008F4428" w:rsidRDefault="000F1C8C" w:rsidP="008F4428">
      <w:pPr>
        <w:jc w:val="both"/>
      </w:pPr>
      <w:r>
        <w:rPr>
          <w:rFonts w:hint="cs"/>
          <w:rtl/>
        </w:rPr>
        <w:t>سپس اشکال می کند که کراهت در روایت، ظهوری در حکم الزامی ندارد:</w:t>
      </w:r>
    </w:p>
    <w:p w:rsidR="008F4428" w:rsidRPr="008F4428" w:rsidRDefault="008F4428" w:rsidP="008F4428">
      <w:pPr>
        <w:jc w:val="both"/>
        <w:rPr>
          <w:color w:val="000080"/>
          <w:rtl/>
        </w:rPr>
      </w:pPr>
      <w:r w:rsidRPr="008F4428">
        <w:rPr>
          <w:rFonts w:hint="cs"/>
          <w:color w:val="000080"/>
          <w:rtl/>
        </w:rPr>
        <w:t>غير أن الكراهة في الرواية ليس لها ظهور في حكم إلزامي. و الرواية ساقطة سندا بإسماعيل بن مرار.</w:t>
      </w:r>
      <w:r>
        <w:rPr>
          <w:rStyle w:val="FootnoteReference"/>
          <w:color w:val="000080"/>
          <w:rtl/>
        </w:rPr>
        <w:footnoteReference w:id="4"/>
      </w:r>
    </w:p>
    <w:p w:rsidR="006036C6" w:rsidRDefault="000F1C8C" w:rsidP="003B59AF">
      <w:pPr>
        <w:jc w:val="both"/>
        <w:rPr>
          <w:rtl/>
        </w:rPr>
      </w:pPr>
      <w:r>
        <w:rPr>
          <w:rFonts w:hint="cs"/>
          <w:rtl/>
        </w:rPr>
        <w:t>سندا هم اشکال می کند به خاطر اسماعیل بن مرار که در سند واقع شده است.</w:t>
      </w:r>
    </w:p>
    <w:p w:rsidR="00801DAA" w:rsidRDefault="00801DAA" w:rsidP="003B59AF">
      <w:pPr>
        <w:jc w:val="both"/>
        <w:rPr>
          <w:rtl/>
        </w:rPr>
      </w:pPr>
      <w:r>
        <w:rPr>
          <w:rFonts w:hint="cs"/>
          <w:rtl/>
        </w:rPr>
        <w:lastRenderedPageBreak/>
        <w:t xml:space="preserve">ما از این جهت به سند اشکال نمی کنیم. از جهت دیگر اشکال می کنیم. یونس تعبیر کرده است: </w:t>
      </w:r>
      <w:r w:rsidRPr="009B35E8">
        <w:rPr>
          <w:rFonts w:hint="cs"/>
          <w:rtl/>
        </w:rPr>
        <w:t>عَنْهُمْ ع</w:t>
      </w:r>
      <w:r>
        <w:rPr>
          <w:rFonts w:hint="cs"/>
          <w:rtl/>
        </w:rPr>
        <w:t>لیهم السلام و سند ذکر نمی کند و این تعبیر ظهور در این ندارد که خودش مستقیم از ائمه شنیده است.</w:t>
      </w:r>
      <w:r w:rsidR="0010796F">
        <w:rPr>
          <w:rFonts w:hint="cs"/>
          <w:rtl/>
        </w:rPr>
        <w:t xml:space="preserve"> می گوید در روایات ائمه چنین چیزی وارد شده است. در نتیجه روایت مرسل است.</w:t>
      </w:r>
      <w:r w:rsidR="0046045E">
        <w:rPr>
          <w:rFonts w:hint="cs"/>
          <w:rtl/>
        </w:rPr>
        <w:t xml:space="preserve"> اگر کسی مبنای اصحاب اجماع را قبول داشته باشد و مرسلات اصحاب اجماع را بپذیرد فبها؛ اما اگر کسی مرسلات اصحاب اجماع را نپذیرد و فقط مرسلات صفوان، بزنطی و ابن ابی عمیر را بپذیرد، این روایت قابل اعتماد نخواهد بود.</w:t>
      </w:r>
    </w:p>
    <w:p w:rsidR="003B59AF" w:rsidRDefault="00C640E1" w:rsidP="00C640E1">
      <w:pPr>
        <w:jc w:val="both"/>
        <w:rPr>
          <w:rtl/>
        </w:rPr>
      </w:pPr>
      <w:r>
        <w:rPr>
          <w:rFonts w:hint="cs"/>
          <w:rtl/>
        </w:rPr>
        <w:t xml:space="preserve">اما از جهت متنی، احتمالی می دهم که نمی دانم چقدر قابل توجه است. آیا </w:t>
      </w:r>
      <w:r w:rsidRPr="009B35E8">
        <w:rPr>
          <w:rFonts w:hint="cs"/>
          <w:color w:val="008000"/>
          <w:rtl/>
        </w:rPr>
        <w:t>آنِيَةِ الْمَجُوسِ وَ أَهْلِ الْكِتَابِ</w:t>
      </w:r>
      <w:r>
        <w:rPr>
          <w:rFonts w:hint="cs"/>
          <w:rtl/>
        </w:rPr>
        <w:t xml:space="preserve"> ظهور دارد در مواردی که محتوای آنیه هم برای اهل کتاب است، شامل آن هم می شود</w:t>
      </w:r>
      <w:r w:rsidR="007F71BF">
        <w:rPr>
          <w:rFonts w:hint="cs"/>
          <w:rtl/>
        </w:rPr>
        <w:t>.</w:t>
      </w:r>
      <w:r w:rsidR="007330BE">
        <w:rPr>
          <w:rFonts w:hint="cs"/>
          <w:rtl/>
        </w:rPr>
        <w:t xml:space="preserve"> یعنی بحث در این است که از محتوای آنیه نباید بخورید، گر چه آن چه در آنیه هست برای خودتان است</w:t>
      </w:r>
      <w:r w:rsidR="00A45055">
        <w:rPr>
          <w:rFonts w:hint="cs"/>
          <w:rtl/>
        </w:rPr>
        <w:t>؛ یعنی اگر غذایی را در آنیه‌ی اهل کتاب و مجوس ریختید، از آن غذا استفاده نکنید؟ یا این که می خواهد بگوید از غذاهایی که اهل کتاب در آنیه‌ی خود ریخته اند، استفاده نکنید.</w:t>
      </w:r>
      <w:r w:rsidR="005305F7">
        <w:rPr>
          <w:rFonts w:hint="cs"/>
          <w:rtl/>
        </w:rPr>
        <w:t xml:space="preserve"> اگر احتمال دوم را در نظر بگیریم، معنایش این است که چون این ها از میته و خمر اجتناب نمی کنند، ممکن است در غذاهایشان میته</w:t>
      </w:r>
      <w:r w:rsidR="00793E06">
        <w:rPr>
          <w:rFonts w:hint="cs"/>
          <w:rtl/>
        </w:rPr>
        <w:t xml:space="preserve"> یا خمر</w:t>
      </w:r>
      <w:r w:rsidR="005305F7">
        <w:rPr>
          <w:rFonts w:hint="cs"/>
          <w:rtl/>
        </w:rPr>
        <w:t xml:space="preserve"> به کار رفته باشد</w:t>
      </w:r>
      <w:r w:rsidR="00793E06">
        <w:rPr>
          <w:rFonts w:hint="cs"/>
          <w:rtl/>
        </w:rPr>
        <w:t>.</w:t>
      </w:r>
      <w:r w:rsidR="009543C7">
        <w:rPr>
          <w:rFonts w:hint="cs"/>
          <w:rtl/>
        </w:rPr>
        <w:t xml:space="preserve"> نمی توان گفت که در غذایشان میته به کار نرفته است. ممکن است شارع مقدس اجازه نداده باشد</w:t>
      </w:r>
      <w:r w:rsidR="00861A5B">
        <w:rPr>
          <w:rFonts w:hint="cs"/>
          <w:rtl/>
        </w:rPr>
        <w:t xml:space="preserve"> که انسان از محتمل المیته بخورد؛ نه به خاطر این که نجس است؛ بلکه به خاطر این که میته یا خمر</w:t>
      </w:r>
      <w:r w:rsidR="00027852">
        <w:rPr>
          <w:rFonts w:hint="cs"/>
          <w:rtl/>
        </w:rPr>
        <w:t xml:space="preserve"> خوردنش</w:t>
      </w:r>
      <w:r w:rsidR="00861A5B">
        <w:rPr>
          <w:rFonts w:hint="cs"/>
          <w:rtl/>
        </w:rPr>
        <w:t xml:space="preserve"> حرام است.</w:t>
      </w:r>
    </w:p>
    <w:p w:rsidR="00024B5D" w:rsidRDefault="00024B5D" w:rsidP="00C640E1">
      <w:pPr>
        <w:jc w:val="both"/>
        <w:rPr>
          <w:rtl/>
        </w:rPr>
      </w:pPr>
      <w:r>
        <w:rPr>
          <w:rFonts w:hint="cs"/>
          <w:rtl/>
        </w:rPr>
        <w:t xml:space="preserve">البته </w:t>
      </w:r>
      <w:r w:rsidR="00445FAD" w:rsidRPr="009B35E8">
        <w:rPr>
          <w:rFonts w:hint="cs"/>
          <w:color w:val="008000"/>
          <w:rtl/>
        </w:rPr>
        <w:t>يُكْرَهُ</w:t>
      </w:r>
      <w:r>
        <w:rPr>
          <w:rFonts w:hint="cs"/>
          <w:rtl/>
        </w:rPr>
        <w:t xml:space="preserve"> </w:t>
      </w:r>
      <w:r w:rsidR="00445FAD">
        <w:rPr>
          <w:rFonts w:hint="cs"/>
          <w:rtl/>
        </w:rPr>
        <w:t xml:space="preserve">بر کراهت حمل می شود؛ زیرا در بعضی از روایات ما هست که </w:t>
      </w:r>
      <w:r w:rsidR="0012740E">
        <w:rPr>
          <w:rFonts w:hint="cs"/>
          <w:rtl/>
        </w:rPr>
        <w:t>از سفره‌ی غذای مجوسی می توان استفاده کرد و گویا اصالت الطهارت و اصالت الحلیت جاری است</w:t>
      </w:r>
      <w:r w:rsidR="00FA6108">
        <w:rPr>
          <w:rFonts w:hint="cs"/>
          <w:rtl/>
        </w:rPr>
        <w:t>.</w:t>
      </w:r>
    </w:p>
    <w:p w:rsidR="00FA6108" w:rsidRDefault="00FA6108" w:rsidP="00C640E1">
      <w:pPr>
        <w:jc w:val="both"/>
        <w:rPr>
          <w:rtl/>
        </w:rPr>
      </w:pPr>
      <w:r>
        <w:rPr>
          <w:rFonts w:hint="cs"/>
          <w:rtl/>
        </w:rPr>
        <w:t xml:space="preserve">صرف نظر از حمل بر کراهت، اگر حرام هم بود، مشکل هست که بگوییم </w:t>
      </w:r>
      <w:r w:rsidRPr="009B35E8">
        <w:rPr>
          <w:rFonts w:hint="cs"/>
          <w:color w:val="008000"/>
          <w:rtl/>
        </w:rPr>
        <w:t>مِمَّا فِي آنِيَةِ الْمَجُوسِ وَ أَهْلِ الْكِتَابِ</w:t>
      </w:r>
      <w:r>
        <w:rPr>
          <w:rFonts w:hint="cs"/>
          <w:rtl/>
        </w:rPr>
        <w:t xml:space="preserve"> اطلاق دارد و حتی صورتی را که موادش را خودمان در آن ریخته ایم را نیز شامل شود.</w:t>
      </w:r>
    </w:p>
    <w:p w:rsidR="003B59AF" w:rsidRDefault="00FA6108" w:rsidP="000043AF">
      <w:pPr>
        <w:jc w:val="both"/>
        <w:rPr>
          <w:rtl/>
        </w:rPr>
      </w:pPr>
      <w:r>
        <w:rPr>
          <w:rFonts w:hint="cs"/>
          <w:rtl/>
        </w:rPr>
        <w:t>این روایت اشکال دیگری هم دارد که البته مبنایی است. اگر کسی قائل به نجاست اهل کتاب باشد و بگوید روایات دال بر نجاست اهل کتاب است، این روایت بالعکس د</w:t>
      </w:r>
      <w:r w:rsidR="001873CC">
        <w:rPr>
          <w:rFonts w:hint="cs"/>
          <w:rtl/>
        </w:rPr>
        <w:t>ال بر طهارت اهل کتاب است؛ زیرا می فرماید: اشکال عرضی است و به جهت استفاده‌ی میته و خمر می باشد؛ نه این که خود آن ها ذاتا نجس باشند. اگر کسی قائل به ن</w:t>
      </w:r>
      <w:r w:rsidR="000043AF">
        <w:rPr>
          <w:rFonts w:hint="cs"/>
          <w:rtl/>
        </w:rPr>
        <w:t>جاست اهل کتاب باشد،</w:t>
      </w:r>
      <w:r w:rsidR="001873CC">
        <w:rPr>
          <w:rFonts w:hint="cs"/>
          <w:rtl/>
        </w:rPr>
        <w:t xml:space="preserve"> این گونه روایات را قابل اعتنا </w:t>
      </w:r>
      <w:r w:rsidR="000043AF">
        <w:rPr>
          <w:rFonts w:hint="cs"/>
          <w:rtl/>
        </w:rPr>
        <w:t>نخواهد دانست</w:t>
      </w:r>
      <w:r w:rsidR="001873CC">
        <w:rPr>
          <w:rFonts w:hint="cs"/>
          <w:rtl/>
        </w:rPr>
        <w:t>، این هم اشکالی در این روایت طبق این مبناست.</w:t>
      </w:r>
    </w:p>
    <w:p w:rsidR="00D961A5" w:rsidRDefault="00D961A5" w:rsidP="00FA6108">
      <w:pPr>
        <w:jc w:val="both"/>
        <w:rPr>
          <w:rtl/>
        </w:rPr>
      </w:pPr>
      <w:r>
        <w:rPr>
          <w:rFonts w:hint="cs"/>
          <w:rtl/>
        </w:rPr>
        <w:t>اگر ما قائل به طهارت اهل کتاب باشیم و در صورتی که یقین داریم عامل خارجی مثل میته و خمر وجود ندارد، می توان از آنیه‌ی آن ها استفاده کرد.</w:t>
      </w:r>
    </w:p>
    <w:p w:rsidR="002A3A4D" w:rsidRDefault="00D961A5" w:rsidP="002A3A4D">
      <w:pPr>
        <w:jc w:val="both"/>
        <w:rPr>
          <w:rtl/>
        </w:rPr>
      </w:pPr>
      <w:r>
        <w:rPr>
          <w:rFonts w:hint="cs"/>
          <w:rtl/>
        </w:rPr>
        <w:t>اما در متعارف موارد علم نداریم که در آنیه چه چیزی ریخته شده است.</w:t>
      </w:r>
    </w:p>
    <w:p w:rsidR="00FA6108" w:rsidRDefault="002A3A4D" w:rsidP="002A3A4D">
      <w:pPr>
        <w:jc w:val="both"/>
        <w:rPr>
          <w:rtl/>
        </w:rPr>
      </w:pPr>
      <w:r>
        <w:rPr>
          <w:rFonts w:hint="cs"/>
          <w:rtl/>
        </w:rPr>
        <w:t xml:space="preserve">تعلیل </w:t>
      </w:r>
      <w:r w:rsidRPr="009B35E8">
        <w:rPr>
          <w:rFonts w:hint="cs"/>
          <w:color w:val="008000"/>
          <w:rtl/>
        </w:rPr>
        <w:t>لِأَنَّهُمْ لَا يَتَوَقَّوْنَ‏ الْمَيْتَةَ وَ الْخَمْر</w:t>
      </w:r>
      <w:r>
        <w:rPr>
          <w:rFonts w:hint="cs"/>
          <w:rtl/>
        </w:rPr>
        <w:t xml:space="preserve"> اقتضا می کند که حکم صورت متعارف باشد که محتوای ظرف مشکوک است؛ اما در صورتی که می دانیم خمر و میته استفاده نکرده اند، خوردن آن اشکال ندارد.</w:t>
      </w:r>
    </w:p>
    <w:p w:rsidR="00452953" w:rsidRDefault="00452953" w:rsidP="00731A34">
      <w:pPr>
        <w:jc w:val="both"/>
        <w:rPr>
          <w:rtl/>
        </w:rPr>
      </w:pPr>
      <w:r>
        <w:rPr>
          <w:rFonts w:hint="cs"/>
          <w:rtl/>
        </w:rPr>
        <w:t>اگر خمر نجس نباشد؛ اما ظرفی که در آن خمر خورده است، استفاده‌ی ما از آن ظرف مکروه باشد، در این صورت استدلال به این روایت ناتمام است.</w:t>
      </w:r>
      <w:r w:rsidR="00042D46">
        <w:rPr>
          <w:rFonts w:hint="cs"/>
          <w:rtl/>
        </w:rPr>
        <w:t xml:space="preserve"> اشکال مرحوم آقای صدر وارد است.</w:t>
      </w:r>
      <w:r w:rsidR="00731A34">
        <w:rPr>
          <w:rFonts w:hint="cs"/>
          <w:rtl/>
        </w:rPr>
        <w:t xml:space="preserve"> این طور نیست که ما یقین داشته باشیم که حتی استفاده از ظرف خمر کراهت اصطلاحی هم نداشته باشد</w:t>
      </w:r>
      <w:r w:rsidR="00CA6AA6">
        <w:rPr>
          <w:rFonts w:hint="cs"/>
          <w:rtl/>
        </w:rPr>
        <w:t>.</w:t>
      </w:r>
    </w:p>
    <w:p w:rsidR="001D7266" w:rsidRDefault="001D7266" w:rsidP="00731A34">
      <w:pPr>
        <w:jc w:val="both"/>
        <w:rPr>
          <w:rtl/>
        </w:rPr>
      </w:pPr>
      <w:r>
        <w:rPr>
          <w:rFonts w:hint="cs"/>
          <w:rtl/>
        </w:rPr>
        <w:t>در نتیجه این روایت از جهات مختلف غیر قابل</w:t>
      </w:r>
      <w:r w:rsidR="001C0AF5">
        <w:rPr>
          <w:rFonts w:hint="cs"/>
          <w:rtl/>
        </w:rPr>
        <w:t xml:space="preserve"> استناد است و اشکال سندی هم دارد</w:t>
      </w:r>
      <w:r>
        <w:rPr>
          <w:rFonts w:hint="cs"/>
          <w:rtl/>
        </w:rPr>
        <w:t>.</w:t>
      </w:r>
    </w:p>
    <w:p w:rsidR="00393A75" w:rsidRDefault="0059682E" w:rsidP="0059682E">
      <w:pPr>
        <w:pStyle w:val="Heading2"/>
        <w:rPr>
          <w:rtl/>
        </w:rPr>
      </w:pPr>
      <w:bookmarkStart w:id="9" w:name="_Toc80012016"/>
      <w:bookmarkStart w:id="10" w:name="_Toc80018275"/>
      <w:r>
        <w:rPr>
          <w:rFonts w:hint="cs"/>
          <w:rtl/>
        </w:rPr>
        <w:t>روایت سیزدهم ( روایت محمد بن مسلم)</w:t>
      </w:r>
      <w:bookmarkEnd w:id="9"/>
      <w:bookmarkEnd w:id="10"/>
    </w:p>
    <w:p w:rsidR="0059682E" w:rsidRPr="0059682E" w:rsidRDefault="0059682E" w:rsidP="0059682E">
      <w:pPr>
        <w:jc w:val="both"/>
      </w:pPr>
      <w:r w:rsidRPr="0059682E">
        <w:rPr>
          <w:rFonts w:hint="cs"/>
          <w:rtl/>
        </w:rPr>
        <w:t xml:space="preserve">مُحَمَّدُ بْنُ يَحْيَى عَنْ أَحْمَدَ بْنِ مُحَمَّدٍ عَنِ ابْنِ مَحْبُوبٍ عَنِ الْعَلَاءِ بْنِ رَزِينٍ عَنْ مُحَمَّدِ بْنِ مُسْلِمٍ قَالَ: </w:t>
      </w:r>
      <w:r w:rsidRPr="0059682E">
        <w:rPr>
          <w:rFonts w:hint="cs"/>
          <w:color w:val="008000"/>
          <w:rtl/>
        </w:rPr>
        <w:t>سَأَلْتُ أَبَا جَعْفَرٍ ع عَنْ آنِيَةِ أَهْلِ‏ الذِّمَّةِ وَ الْمَجُوسِ‏ فَقَالَ لَا تَأْكُلُوا فِي آنِيَتِهِمْ وَ لَا مِنْ طَعَامِهِمُ الَّذِي يَطْبُخُونَ وَ لَا فِي آنِيَتِهِمُ الَّتِي يَشْرَبُونَ فِيهَا الْخَمْرَ.</w:t>
      </w:r>
      <w:r>
        <w:rPr>
          <w:rStyle w:val="FootnoteReference"/>
          <w:color w:val="008000"/>
          <w:rtl/>
        </w:rPr>
        <w:footnoteReference w:id="5"/>
      </w:r>
    </w:p>
    <w:p w:rsidR="006F0F37" w:rsidRPr="006F0F37" w:rsidRDefault="006F0F37" w:rsidP="006F0F37">
      <w:pPr>
        <w:jc w:val="both"/>
        <w:rPr>
          <w:color w:val="000080"/>
        </w:rPr>
      </w:pPr>
      <w:r>
        <w:rPr>
          <w:rFonts w:hint="cs"/>
          <w:rtl/>
        </w:rPr>
        <w:t xml:space="preserve">آقای صدر می فرماید: </w:t>
      </w:r>
      <w:r w:rsidRPr="006F0F37">
        <w:rPr>
          <w:rFonts w:hint="cs"/>
          <w:color w:val="000080"/>
          <w:rtl/>
        </w:rPr>
        <w:t>و إطلاق النهي لفرض عدم وجود شي‌ء من العين ينسبق منه عرفا النجاسة. و الرواية تامة سندا.</w:t>
      </w:r>
      <w:r>
        <w:rPr>
          <w:rStyle w:val="FootnoteReference"/>
          <w:color w:val="000080"/>
          <w:rtl/>
        </w:rPr>
        <w:footnoteReference w:id="6"/>
      </w:r>
    </w:p>
    <w:p w:rsidR="0059682E" w:rsidRDefault="00AC2925" w:rsidP="00731A34">
      <w:pPr>
        <w:jc w:val="both"/>
        <w:rPr>
          <w:rtl/>
        </w:rPr>
      </w:pPr>
      <w:r>
        <w:rPr>
          <w:rFonts w:hint="cs"/>
          <w:rtl/>
        </w:rPr>
        <w:t>به نظر می رسد استدلال به این روایت تام است و اشکال سندی هم ندارد.</w:t>
      </w:r>
    </w:p>
    <w:p w:rsidR="00B97042" w:rsidRDefault="00B97042" w:rsidP="00F51969">
      <w:pPr>
        <w:pStyle w:val="Heading2"/>
        <w:rPr>
          <w:rtl/>
        </w:rPr>
      </w:pPr>
      <w:bookmarkStart w:id="11" w:name="_Toc80012017"/>
      <w:bookmarkStart w:id="12" w:name="_Toc80018276"/>
      <w:r>
        <w:rPr>
          <w:rFonts w:hint="cs"/>
          <w:rtl/>
        </w:rPr>
        <w:t>روایت چهاردهم ( روایت عبدالله بن سنان)</w:t>
      </w:r>
      <w:bookmarkEnd w:id="11"/>
      <w:bookmarkEnd w:id="12"/>
    </w:p>
    <w:p w:rsidR="00F51969" w:rsidRPr="00F51969" w:rsidRDefault="00F51969" w:rsidP="00F51969">
      <w:pPr>
        <w:jc w:val="both"/>
        <w:rPr>
          <w:color w:val="008000"/>
        </w:rPr>
      </w:pPr>
      <w:r w:rsidRPr="00F51969">
        <w:rPr>
          <w:rFonts w:hint="cs"/>
          <w:rtl/>
        </w:rPr>
        <w:t xml:space="preserve">رَوَى سَعْدٌ عَنْ أَحْمَدَ بْنِ مُحَمَّدٍ عَنِ الْحَسَنِ بْنِ مَحْبُوبٍ عَنْ عَبْدِ اللَّهِ بْنِ سِنَانٍ قَالَ: </w:t>
      </w:r>
      <w:r w:rsidRPr="00F51969">
        <w:rPr>
          <w:rFonts w:hint="cs"/>
          <w:color w:val="008000"/>
          <w:rtl/>
        </w:rPr>
        <w:t>سَأَلَ أَبِي أَبَا عَبْدِ اللَّهِ ع وَ أَنَا حَاضِرٌ أَنِّي أُعِيرُ الذِّمِّيَّ ثَوْبِي‏ وَ أَنَا أَعْلَمُ‏ أَنَّهُ‏ يَشْرَبُ‏ الْخَمْرَ وَ يَأْكُلُ لَحْمَ الْخِنْزِيرِ فَيَرُدُّ عَلَيَّ فَأَغْسِلُهُ قَبْلَ أَنْ أُصَلِّيَ فِيهِ فَقَالَ أَبُو عَبْدِ اللَّهِ ع صَلِّ فِيهِ وَ لَا تَغْسِلْهُ مِنْ أَجْلِ ذَلِكَ فَإِنَّكَ أَعَرْتَهُ إِيَّاهُ وَ هُوَ طَاهِرٌ وَ لَمْ تَسْتَيْقِنْ أَنَّهُ نَجَّسَهُ فَلَا بَأْسَ أَنْ تُصَلِّيَ فِيهِ حَتَّى تَسْتَيْقِنَ أَنَّهُ نَجَّسَهُ.</w:t>
      </w:r>
      <w:r>
        <w:rPr>
          <w:rStyle w:val="FootnoteReference"/>
          <w:color w:val="008000"/>
          <w:rtl/>
        </w:rPr>
        <w:footnoteReference w:id="7"/>
      </w:r>
    </w:p>
    <w:p w:rsidR="00FA6108" w:rsidRDefault="00315788" w:rsidP="00FA6108">
      <w:pPr>
        <w:jc w:val="both"/>
        <w:rPr>
          <w:rtl/>
        </w:rPr>
      </w:pPr>
      <w:r>
        <w:rPr>
          <w:rFonts w:hint="cs"/>
          <w:rtl/>
        </w:rPr>
        <w:t>امام علیه السلام می فرماید: مجرد این که در معرض ِ اصابت به خمر و خنزیر است دلیل بر این نیست که حتما نجس شده باشد.</w:t>
      </w:r>
      <w:r w:rsidR="00454414">
        <w:rPr>
          <w:rFonts w:hint="cs"/>
          <w:rtl/>
        </w:rPr>
        <w:t xml:space="preserve"> این ارتکاز بر نجاست بوده است که امام علیه السلام آن را امضا کرده است.</w:t>
      </w:r>
    </w:p>
    <w:p w:rsidR="00FE0AF2" w:rsidRDefault="00FE0AF2" w:rsidP="00FA6108">
      <w:pPr>
        <w:jc w:val="both"/>
        <w:rPr>
          <w:rtl/>
        </w:rPr>
      </w:pPr>
      <w:r>
        <w:rPr>
          <w:rFonts w:hint="cs"/>
          <w:rtl/>
        </w:rPr>
        <w:t>این استدلال تام است و روایت سندا نیز مشکلی ندارد.</w:t>
      </w:r>
    </w:p>
    <w:p w:rsidR="00FE0AF2" w:rsidRDefault="00FE0AF2" w:rsidP="00FA6108">
      <w:pPr>
        <w:jc w:val="both"/>
        <w:rPr>
          <w:rtl/>
        </w:rPr>
      </w:pPr>
      <w:r>
        <w:rPr>
          <w:rFonts w:hint="cs"/>
          <w:rtl/>
        </w:rPr>
        <w:t>در کلامی که آقای جواهری برایم فرستاده است، اشکالی مطرح شده است که به دلیل نقل دیگر روایت به این روایت اشکال کرده است:</w:t>
      </w:r>
    </w:p>
    <w:p w:rsidR="00FE0AF2" w:rsidRPr="00FE0AF2" w:rsidRDefault="00FE0AF2" w:rsidP="00FE0AF2">
      <w:pPr>
        <w:jc w:val="both"/>
      </w:pPr>
      <w:r w:rsidRPr="00FE0AF2">
        <w:rPr>
          <w:rFonts w:hint="cs"/>
          <w:rtl/>
        </w:rPr>
        <w:t xml:space="preserve">عَلِيُّ بْنُ مَهْزِيَارَ عَنْ فَضَالَةَ عَنْ عَبْدِ اللَّهِ بْنِ سِنَانٍ قَالَ: </w:t>
      </w:r>
      <w:r w:rsidRPr="00FE0AF2">
        <w:rPr>
          <w:rFonts w:hint="cs"/>
          <w:color w:val="008000"/>
          <w:rtl/>
        </w:rPr>
        <w:t>سَأَلَ أَبِي أَبَا عَبْدِ اللَّهِ ع عَنِ الَّذِي يُعِيرُ ثَوْبَهُ‏ لِمَنْ‏ يَعْلَمُ‏ أَنَّهُ يَأْكُلُ الْجِرِّيَّ وَ يَشْرَبُ الْخَمْرَ فَيَرُدُّهُ أَ يُصَلِّي فِيهِ قَبْلَ أَنْ يَغْسِلَهُ قَالَ لَا يُصَلِّي فِيهِ حَتَّى يَغْسِلَهُ.</w:t>
      </w:r>
      <w:r w:rsidR="001E672A">
        <w:rPr>
          <w:rStyle w:val="FootnoteReference"/>
          <w:color w:val="008000"/>
          <w:rtl/>
        </w:rPr>
        <w:footnoteReference w:id="8"/>
      </w:r>
    </w:p>
    <w:p w:rsidR="00FE0AF2" w:rsidRDefault="0005771E" w:rsidP="00FA6108">
      <w:pPr>
        <w:jc w:val="both"/>
        <w:rPr>
          <w:rtl/>
        </w:rPr>
      </w:pPr>
      <w:r>
        <w:rPr>
          <w:rFonts w:hint="cs"/>
          <w:rtl/>
        </w:rPr>
        <w:t>در استصحاب مفصل بحث کرده ایم. به نظرم می رسید که این دو روایت، یک روایت باشند</w:t>
      </w:r>
      <w:r w:rsidR="00DA2C52">
        <w:rPr>
          <w:rFonts w:hint="cs"/>
          <w:rtl/>
        </w:rPr>
        <w:t xml:space="preserve">. به این بیان که </w:t>
      </w:r>
      <w:r w:rsidR="00DA2C52" w:rsidRPr="00FE0AF2">
        <w:rPr>
          <w:rFonts w:hint="cs"/>
          <w:color w:val="008000"/>
          <w:rtl/>
        </w:rPr>
        <w:t>الْجِرِّيَّ</w:t>
      </w:r>
      <w:r w:rsidR="00DA2C52">
        <w:rPr>
          <w:rStyle w:val="FootnoteReference"/>
          <w:color w:val="008000"/>
          <w:rtl/>
        </w:rPr>
        <w:footnoteReference w:id="9"/>
      </w:r>
      <w:r w:rsidR="00DA2C52">
        <w:rPr>
          <w:rFonts w:hint="cs"/>
          <w:rtl/>
        </w:rPr>
        <w:t xml:space="preserve"> مصحف </w:t>
      </w:r>
      <w:r w:rsidR="00DA2C52" w:rsidRPr="00F51969">
        <w:rPr>
          <w:rFonts w:hint="cs"/>
          <w:color w:val="008000"/>
          <w:rtl/>
        </w:rPr>
        <w:t>الْخِنْزِيرِ</w:t>
      </w:r>
      <w:r w:rsidR="00DA2C52">
        <w:rPr>
          <w:rFonts w:hint="cs"/>
          <w:rtl/>
        </w:rPr>
        <w:t xml:space="preserve"> </w:t>
      </w:r>
      <w:r w:rsidR="00696B18">
        <w:rPr>
          <w:rFonts w:hint="cs"/>
          <w:rtl/>
        </w:rPr>
        <w:t>بوده است؛ ذمی تبدیل به الذی شده</w:t>
      </w:r>
      <w:r w:rsidR="00141E73">
        <w:rPr>
          <w:rFonts w:hint="cs"/>
          <w:rtl/>
        </w:rPr>
        <w:t xml:space="preserve"> است و الذی تبدیل به من شده است و ... . با آیت الله والد مطرح کردم</w:t>
      </w:r>
      <w:r w:rsidR="004A4952">
        <w:rPr>
          <w:rFonts w:hint="cs"/>
          <w:rtl/>
        </w:rPr>
        <w:t>. ایشان فرمود:</w:t>
      </w:r>
      <w:r w:rsidR="00C669E5">
        <w:rPr>
          <w:rFonts w:hint="cs"/>
          <w:rtl/>
        </w:rPr>
        <w:t xml:space="preserve"> «یاکل الخنزیر» طبیعی نیست؛ معمولا می گویند: «یاکل لحم الخنزیر»</w:t>
      </w:r>
      <w:r w:rsidR="0042671E">
        <w:rPr>
          <w:rFonts w:hint="cs"/>
          <w:rtl/>
        </w:rPr>
        <w:t>. مراجعه کردم و به این نتیجه رسیدم که استعمال یاکل الخنزیر بسیار نادر است</w:t>
      </w:r>
      <w:r w:rsidR="00D6075C">
        <w:rPr>
          <w:rFonts w:hint="cs"/>
          <w:rtl/>
        </w:rPr>
        <w:t>. تعبیر رائج، یاکل لحم الخنزیر است.</w:t>
      </w:r>
    </w:p>
    <w:p w:rsidR="005C02B5" w:rsidRDefault="00832A03" w:rsidP="005C2F63">
      <w:pPr>
        <w:jc w:val="both"/>
        <w:rPr>
          <w:rtl/>
        </w:rPr>
      </w:pPr>
      <w:r>
        <w:rPr>
          <w:rFonts w:hint="cs"/>
          <w:rtl/>
        </w:rPr>
        <w:t>البته مرحوم شهید ص</w:t>
      </w:r>
      <w:r w:rsidR="005C2F63">
        <w:rPr>
          <w:rFonts w:hint="cs"/>
          <w:rtl/>
        </w:rPr>
        <w:t>در در مورد روایت دوم مطلبی دارد و می فرماید: روایت دوم خمر را بر جرّی عطف کرده است؛ جری قطعا نجس نیست؛ بنابراین معنایش این است که بحث نجاست مطرح نیست.</w:t>
      </w:r>
    </w:p>
    <w:p w:rsidR="004B5E86" w:rsidRDefault="005C02B5" w:rsidP="004B5E86">
      <w:pPr>
        <w:jc w:val="both"/>
        <w:rPr>
          <w:rtl/>
        </w:rPr>
      </w:pPr>
      <w:r>
        <w:rPr>
          <w:rFonts w:hint="cs"/>
          <w:rtl/>
        </w:rPr>
        <w:t>البته مرحوم مجلسی ذیل این روایت می فرماید:</w:t>
      </w:r>
      <w:r w:rsidR="004B5E86">
        <w:rPr>
          <w:rFonts w:hint="cs"/>
          <w:rtl/>
        </w:rPr>
        <w:t xml:space="preserve"> </w:t>
      </w:r>
      <w:r w:rsidR="004B5E86" w:rsidRPr="004B5E86">
        <w:rPr>
          <w:rFonts w:hint="cs"/>
          <w:rtl/>
        </w:rPr>
        <w:t xml:space="preserve">إنّه یأکل الجرّی ممکن است اشاره به </w:t>
      </w:r>
      <w:r w:rsidR="004B5E86">
        <w:rPr>
          <w:rFonts w:hint="cs"/>
          <w:rtl/>
        </w:rPr>
        <w:t>این باشد که</w:t>
      </w:r>
      <w:r w:rsidR="00607629">
        <w:rPr>
          <w:rFonts w:hint="cs"/>
          <w:rtl/>
        </w:rPr>
        <w:t xml:space="preserve"> شخص</w:t>
      </w:r>
      <w:r w:rsidR="004B5E86">
        <w:rPr>
          <w:rFonts w:hint="cs"/>
          <w:rtl/>
        </w:rPr>
        <w:t xml:space="preserve"> لا ابالی است.</w:t>
      </w:r>
    </w:p>
    <w:p w:rsidR="00944064" w:rsidRDefault="004B5E86" w:rsidP="004B5E86">
      <w:pPr>
        <w:jc w:val="both"/>
        <w:rPr>
          <w:rtl/>
        </w:rPr>
      </w:pPr>
      <w:r>
        <w:rPr>
          <w:rFonts w:hint="cs"/>
          <w:rtl/>
        </w:rPr>
        <w:t>برخی گفته اند: یاکل الجری یعنی سنی است؛ زیرا سنی ها ماهی بدون فلس را نیز حلال می دانند.</w:t>
      </w:r>
    </w:p>
    <w:p w:rsidR="00832A03" w:rsidRDefault="00944064" w:rsidP="004B5E86">
      <w:pPr>
        <w:jc w:val="both"/>
        <w:rPr>
          <w:rtl/>
        </w:rPr>
      </w:pPr>
      <w:r>
        <w:rPr>
          <w:rFonts w:hint="cs"/>
          <w:rtl/>
        </w:rPr>
        <w:t>اما احتمال درست تر این است که لا ابالی است ( با توجه به یشرب الخمر که در ادامه وجود دارد)</w:t>
      </w:r>
      <w:r w:rsidR="002718EB">
        <w:rPr>
          <w:rFonts w:hint="cs"/>
          <w:rtl/>
        </w:rPr>
        <w:t xml:space="preserve">. </w:t>
      </w:r>
      <w:r w:rsidR="005C2F63">
        <w:rPr>
          <w:rFonts w:hint="cs"/>
          <w:rtl/>
        </w:rPr>
        <w:t xml:space="preserve"> </w:t>
      </w:r>
    </w:p>
    <w:p w:rsidR="003B59AF" w:rsidRDefault="002718EB" w:rsidP="003B59AF">
      <w:pPr>
        <w:jc w:val="both"/>
        <w:rPr>
          <w:rtl/>
        </w:rPr>
      </w:pPr>
      <w:r>
        <w:rPr>
          <w:rFonts w:hint="cs"/>
          <w:rtl/>
        </w:rPr>
        <w:t>تفاوت دو روایت در این است که در روایت دوم سوال از لا ابالی است؛ اما در روایت اول سوال از کسی است که در دی</w:t>
      </w:r>
      <w:r w:rsidR="003407CA">
        <w:rPr>
          <w:rFonts w:hint="cs"/>
          <w:rtl/>
        </w:rPr>
        <w:t xml:space="preserve">نش شرب خمر و اکل خنزیر جائز است و روشن نیست احکام این دو </w:t>
      </w:r>
      <w:r w:rsidR="0032489B">
        <w:rPr>
          <w:rFonts w:hint="cs"/>
          <w:rtl/>
        </w:rPr>
        <w:t>با هم ملازمه داشته باشد و اولویتی هم وجود ندارد.</w:t>
      </w:r>
    </w:p>
    <w:p w:rsidR="0032489B" w:rsidRDefault="0080259C" w:rsidP="003B59AF">
      <w:pPr>
        <w:jc w:val="both"/>
        <w:rPr>
          <w:rtl/>
        </w:rPr>
      </w:pPr>
      <w:r>
        <w:rPr>
          <w:rFonts w:hint="cs"/>
          <w:rtl/>
        </w:rPr>
        <w:t>آقای صدر می فرماید: روایت دوم به قرینه‌ی روایت اول بر کراهت حمل می شود.</w:t>
      </w:r>
    </w:p>
    <w:p w:rsidR="00AC600F" w:rsidRDefault="00AC600F" w:rsidP="003B59AF">
      <w:pPr>
        <w:jc w:val="both"/>
        <w:rPr>
          <w:rtl/>
        </w:rPr>
      </w:pPr>
      <w:r>
        <w:rPr>
          <w:rFonts w:hint="cs"/>
          <w:rtl/>
        </w:rPr>
        <w:t>به نظر می رسد</w:t>
      </w:r>
      <w:r w:rsidR="00D6405A">
        <w:rPr>
          <w:rFonts w:hint="cs"/>
          <w:rtl/>
        </w:rPr>
        <w:t xml:space="preserve"> کراهت</w:t>
      </w:r>
      <w:r>
        <w:rPr>
          <w:rFonts w:hint="cs"/>
          <w:rtl/>
        </w:rPr>
        <w:t xml:space="preserve"> از سایر روایات استفاده می شود و به قرینه‌ی روایت اول نیست.</w:t>
      </w:r>
    </w:p>
    <w:p w:rsidR="00D6405A" w:rsidRDefault="00D6405A" w:rsidP="003B59AF">
      <w:pPr>
        <w:jc w:val="both"/>
        <w:rPr>
          <w:rtl/>
        </w:rPr>
      </w:pPr>
      <w:r>
        <w:rPr>
          <w:rFonts w:hint="cs"/>
          <w:rtl/>
        </w:rPr>
        <w:t>در نتیجه به روایت عبدالله بن سنا</w:t>
      </w:r>
      <w:r w:rsidR="00251F16">
        <w:rPr>
          <w:rFonts w:hint="cs"/>
          <w:rtl/>
        </w:rPr>
        <w:t>ن (نقل اول) می توان استدلال کرد؛ اما به نقل دوم نمی توان استدلال کرد؛ زیرا یشرب الخمر ر</w:t>
      </w:r>
      <w:r w:rsidR="00C72321">
        <w:rPr>
          <w:rFonts w:hint="cs"/>
          <w:rtl/>
        </w:rPr>
        <w:t>ا به معنای لا ابالی گری دانستیم؛ یعنی ابایی ندارد که ظرفش نجس باشد. اما این نقل مانع استدلال به نقل اول نیست و نمی توان گفت این دو نقل الزاما یک ر</w:t>
      </w:r>
      <w:r w:rsidR="00566DD1">
        <w:rPr>
          <w:rFonts w:hint="cs"/>
          <w:rtl/>
        </w:rPr>
        <w:t>وایتند؛ بلکه دو روایت مختلف و دو سوال مختلف از دو جهت متفاوت است.</w:t>
      </w:r>
      <w:r w:rsidR="007D2BC8">
        <w:rPr>
          <w:rFonts w:hint="cs"/>
          <w:rtl/>
        </w:rPr>
        <w:t xml:space="preserve"> این طور نیست که شخص با سوال اول از سوال دوم بی نیاز شود.</w:t>
      </w:r>
    </w:p>
    <w:p w:rsidR="00213A00" w:rsidRDefault="003632CF" w:rsidP="003B59AF">
      <w:pPr>
        <w:jc w:val="both"/>
        <w:rPr>
          <w:rtl/>
        </w:rPr>
      </w:pPr>
      <w:r>
        <w:rPr>
          <w:rFonts w:hint="cs"/>
          <w:rtl/>
        </w:rPr>
        <w:t>ان شاءالله ادامه‌ی روایات و جمع بندی روایات را در چند جلسه ( احتمالا از چهاردهم شهریور) بررسی خواهیم کرد.</w:t>
      </w:r>
    </w:p>
    <w:p w:rsidR="003407CA" w:rsidRPr="006162A2" w:rsidRDefault="003407CA" w:rsidP="003B59AF">
      <w:pPr>
        <w:jc w:val="both"/>
        <w:rPr>
          <w:rtl/>
        </w:rPr>
      </w:pPr>
    </w:p>
    <w:sectPr w:rsidR="003407C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07" w:rsidRDefault="00A51807" w:rsidP="008B750B">
      <w:pPr>
        <w:spacing w:line="240" w:lineRule="auto"/>
      </w:pPr>
      <w:r>
        <w:separator/>
      </w:r>
    </w:p>
  </w:endnote>
  <w:endnote w:type="continuationSeparator" w:id="0">
    <w:p w:rsidR="00A51807" w:rsidRDefault="00A518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7213" w:rsidRPr="0031721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45E08" w:rsidP="001B6799">
          <w:pPr>
            <w:pStyle w:val="Footer"/>
            <w:bidi w:val="0"/>
            <w:rPr>
              <w:color w:val="808080" w:themeColor="background1" w:themeShade="80"/>
              <w:rtl/>
            </w:rPr>
          </w:pPr>
          <w:bookmarkStart w:id="20" w:name="BokAdres"/>
          <w:bookmarkEnd w:id="20"/>
          <w:r>
            <w:rPr>
              <w:color w:val="808080" w:themeColor="background1" w:themeShade="80"/>
            </w:rPr>
            <w:t>F1js1_14000413-011_mk3_mfeb.ir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07" w:rsidRDefault="00A51807" w:rsidP="008B750B">
      <w:pPr>
        <w:spacing w:line="240" w:lineRule="auto"/>
      </w:pPr>
      <w:r>
        <w:separator/>
      </w:r>
    </w:p>
  </w:footnote>
  <w:footnote w:type="continuationSeparator" w:id="0">
    <w:p w:rsidR="00A51807" w:rsidRDefault="00A51807" w:rsidP="008B750B">
      <w:pPr>
        <w:spacing w:line="240" w:lineRule="auto"/>
      </w:pPr>
      <w:r>
        <w:continuationSeparator/>
      </w:r>
    </w:p>
  </w:footnote>
  <w:footnote w:id="1">
    <w:p w:rsidR="000022AD" w:rsidRDefault="000022AD" w:rsidP="000022AD">
      <w:pPr>
        <w:pStyle w:val="FootnoteText"/>
      </w:pPr>
      <w:r>
        <w:rPr>
          <w:rStyle w:val="FootnoteReference"/>
        </w:rPr>
        <w:footnoteRef/>
      </w:r>
      <w:r>
        <w:rPr>
          <w:rtl/>
        </w:rPr>
        <w:t xml:space="preserve"> </w:t>
      </w:r>
      <w:r w:rsidRPr="00E45C29">
        <w:rPr>
          <w:rFonts w:hint="cs"/>
          <w:rtl/>
        </w:rPr>
        <w:t>قرب الإسناد (ط - الحديثة)، متن، ص: 274</w:t>
      </w:r>
    </w:p>
  </w:footnote>
  <w:footnote w:id="2">
    <w:p w:rsidR="000022AD" w:rsidRDefault="000022AD" w:rsidP="000022AD">
      <w:pPr>
        <w:pStyle w:val="FootnoteText"/>
      </w:pPr>
      <w:r>
        <w:rPr>
          <w:rStyle w:val="FootnoteReference"/>
        </w:rPr>
        <w:footnoteRef/>
      </w:r>
      <w:r>
        <w:rPr>
          <w:rtl/>
        </w:rPr>
        <w:t xml:space="preserve"> </w:t>
      </w:r>
      <w:r w:rsidRPr="000022AD">
        <w:rPr>
          <w:rFonts w:hint="cs"/>
          <w:rtl/>
        </w:rPr>
        <w:t>بحوث في شرح العروة الوثقى، ج‌3، ص: 337</w:t>
      </w:r>
    </w:p>
  </w:footnote>
  <w:footnote w:id="3">
    <w:p w:rsidR="009B35E8" w:rsidRPr="009B35E8" w:rsidRDefault="009B35E8" w:rsidP="009B35E8">
      <w:pPr>
        <w:pStyle w:val="FootnoteText"/>
      </w:pPr>
      <w:r w:rsidRPr="009B35E8">
        <w:footnoteRef/>
      </w:r>
      <w:r w:rsidRPr="009B35E8">
        <w:rPr>
          <w:rtl/>
        </w:rPr>
        <w:t xml:space="preserve"> </w:t>
      </w:r>
      <w:hyperlink r:id="rId1" w:history="1">
        <w:r w:rsidRPr="009B35E8">
          <w:rPr>
            <w:rStyle w:val="Hyperlink"/>
            <w:rFonts w:hint="cs"/>
            <w:rtl/>
          </w:rPr>
          <w:t>الکافی،</w:t>
        </w:r>
        <w:r w:rsidRPr="009B35E8">
          <w:rPr>
            <w:rStyle w:val="Hyperlink"/>
            <w:rtl/>
          </w:rPr>
          <w:t xml:space="preserve"> </w:t>
        </w:r>
        <w:r w:rsidRPr="009B35E8">
          <w:rPr>
            <w:rStyle w:val="Hyperlink"/>
            <w:rFonts w:hint="cs"/>
            <w:rtl/>
          </w:rPr>
          <w:t>محمد</w:t>
        </w:r>
        <w:r w:rsidRPr="009B35E8">
          <w:rPr>
            <w:rStyle w:val="Hyperlink"/>
            <w:rtl/>
          </w:rPr>
          <w:t xml:space="preserve"> </w:t>
        </w:r>
        <w:r w:rsidRPr="009B35E8">
          <w:rPr>
            <w:rStyle w:val="Hyperlink"/>
            <w:rFonts w:hint="cs"/>
            <w:rtl/>
          </w:rPr>
          <w:t>بن</w:t>
        </w:r>
        <w:r w:rsidRPr="009B35E8">
          <w:rPr>
            <w:rStyle w:val="Hyperlink"/>
            <w:rtl/>
          </w:rPr>
          <w:t xml:space="preserve"> </w:t>
        </w:r>
        <w:r w:rsidRPr="009B35E8">
          <w:rPr>
            <w:rStyle w:val="Hyperlink"/>
            <w:rFonts w:hint="cs"/>
            <w:rtl/>
          </w:rPr>
          <w:t>یعقوب</w:t>
        </w:r>
        <w:r w:rsidRPr="009B35E8">
          <w:rPr>
            <w:rStyle w:val="Hyperlink"/>
            <w:rtl/>
          </w:rPr>
          <w:t xml:space="preserve"> </w:t>
        </w:r>
        <w:r w:rsidRPr="009B35E8">
          <w:rPr>
            <w:rStyle w:val="Hyperlink"/>
            <w:rFonts w:hint="cs"/>
            <w:rtl/>
          </w:rPr>
          <w:t>کلینی،</w:t>
        </w:r>
        <w:r w:rsidRPr="009B35E8">
          <w:rPr>
            <w:rStyle w:val="Hyperlink"/>
            <w:rtl/>
          </w:rPr>
          <w:t xml:space="preserve"> </w:t>
        </w:r>
        <w:r w:rsidRPr="009B35E8">
          <w:rPr>
            <w:rStyle w:val="Hyperlink"/>
            <w:rFonts w:hint="cs"/>
            <w:rtl/>
          </w:rPr>
          <w:t>ج</w:t>
        </w:r>
        <w:r w:rsidRPr="009B35E8">
          <w:rPr>
            <w:rStyle w:val="Hyperlink"/>
            <w:rtl/>
          </w:rPr>
          <w:t>6</w:t>
        </w:r>
        <w:r w:rsidRPr="009B35E8">
          <w:rPr>
            <w:rStyle w:val="Hyperlink"/>
            <w:rFonts w:hint="cs"/>
            <w:rtl/>
          </w:rPr>
          <w:t>،</w:t>
        </w:r>
        <w:r w:rsidRPr="009B35E8">
          <w:rPr>
            <w:rStyle w:val="Hyperlink"/>
            <w:rtl/>
          </w:rPr>
          <w:t xml:space="preserve"> </w:t>
        </w:r>
        <w:r w:rsidRPr="009B35E8">
          <w:rPr>
            <w:rStyle w:val="Hyperlink"/>
            <w:rFonts w:hint="cs"/>
            <w:rtl/>
          </w:rPr>
          <w:t>ص</w:t>
        </w:r>
        <w:r w:rsidRPr="009B35E8">
          <w:rPr>
            <w:rStyle w:val="Hyperlink"/>
            <w:rtl/>
          </w:rPr>
          <w:t>258.</w:t>
        </w:r>
      </w:hyperlink>
    </w:p>
  </w:footnote>
  <w:footnote w:id="4">
    <w:p w:rsidR="008F4428" w:rsidRDefault="008F4428" w:rsidP="008F4428">
      <w:pPr>
        <w:pStyle w:val="FootnoteText"/>
      </w:pPr>
      <w:r>
        <w:rPr>
          <w:rStyle w:val="FootnoteReference"/>
        </w:rPr>
        <w:footnoteRef/>
      </w:r>
      <w:r>
        <w:rPr>
          <w:rtl/>
        </w:rPr>
        <w:t xml:space="preserve"> </w:t>
      </w:r>
      <w:r w:rsidRPr="008F4428">
        <w:rPr>
          <w:rFonts w:hint="cs"/>
          <w:rtl/>
        </w:rPr>
        <w:t>بحوث في شرح العروة الوثقى، ج‌3، ص: 335</w:t>
      </w:r>
    </w:p>
  </w:footnote>
  <w:footnote w:id="5">
    <w:p w:rsidR="0059682E" w:rsidRPr="0059682E" w:rsidRDefault="0059682E" w:rsidP="0059682E">
      <w:pPr>
        <w:pStyle w:val="FootnoteText"/>
      </w:pPr>
      <w:r w:rsidRPr="0059682E">
        <w:footnoteRef/>
      </w:r>
      <w:r w:rsidRPr="0059682E">
        <w:rPr>
          <w:rtl/>
        </w:rPr>
        <w:t xml:space="preserve"> </w:t>
      </w:r>
      <w:hyperlink r:id="rId2" w:history="1">
        <w:r w:rsidRPr="0059682E">
          <w:rPr>
            <w:rStyle w:val="Hyperlink"/>
            <w:rFonts w:hint="cs"/>
            <w:rtl/>
          </w:rPr>
          <w:t>الکافی،</w:t>
        </w:r>
        <w:r w:rsidRPr="0059682E">
          <w:rPr>
            <w:rStyle w:val="Hyperlink"/>
            <w:rtl/>
          </w:rPr>
          <w:t xml:space="preserve"> </w:t>
        </w:r>
        <w:r w:rsidRPr="0059682E">
          <w:rPr>
            <w:rStyle w:val="Hyperlink"/>
            <w:rFonts w:hint="cs"/>
            <w:rtl/>
          </w:rPr>
          <w:t>محمد</w:t>
        </w:r>
        <w:r w:rsidRPr="0059682E">
          <w:rPr>
            <w:rStyle w:val="Hyperlink"/>
            <w:rtl/>
          </w:rPr>
          <w:t xml:space="preserve"> </w:t>
        </w:r>
        <w:r w:rsidRPr="0059682E">
          <w:rPr>
            <w:rStyle w:val="Hyperlink"/>
            <w:rFonts w:hint="cs"/>
            <w:rtl/>
          </w:rPr>
          <w:t>بن</w:t>
        </w:r>
        <w:r w:rsidRPr="0059682E">
          <w:rPr>
            <w:rStyle w:val="Hyperlink"/>
            <w:rtl/>
          </w:rPr>
          <w:t xml:space="preserve"> </w:t>
        </w:r>
        <w:r w:rsidRPr="0059682E">
          <w:rPr>
            <w:rStyle w:val="Hyperlink"/>
            <w:rFonts w:hint="cs"/>
            <w:rtl/>
          </w:rPr>
          <w:t>یعقوب</w:t>
        </w:r>
        <w:r w:rsidRPr="0059682E">
          <w:rPr>
            <w:rStyle w:val="Hyperlink"/>
            <w:rtl/>
          </w:rPr>
          <w:t xml:space="preserve"> </w:t>
        </w:r>
        <w:r w:rsidRPr="0059682E">
          <w:rPr>
            <w:rStyle w:val="Hyperlink"/>
            <w:rFonts w:hint="cs"/>
            <w:rtl/>
          </w:rPr>
          <w:t>کلینی،</w:t>
        </w:r>
        <w:r w:rsidRPr="0059682E">
          <w:rPr>
            <w:rStyle w:val="Hyperlink"/>
            <w:rtl/>
          </w:rPr>
          <w:t xml:space="preserve"> </w:t>
        </w:r>
        <w:r w:rsidRPr="0059682E">
          <w:rPr>
            <w:rStyle w:val="Hyperlink"/>
            <w:rFonts w:hint="cs"/>
            <w:rtl/>
          </w:rPr>
          <w:t>ج</w:t>
        </w:r>
        <w:r w:rsidRPr="0059682E">
          <w:rPr>
            <w:rStyle w:val="Hyperlink"/>
            <w:rtl/>
          </w:rPr>
          <w:t>6</w:t>
        </w:r>
        <w:r w:rsidRPr="0059682E">
          <w:rPr>
            <w:rStyle w:val="Hyperlink"/>
            <w:rFonts w:hint="cs"/>
            <w:rtl/>
          </w:rPr>
          <w:t>،</w:t>
        </w:r>
        <w:r w:rsidRPr="0059682E">
          <w:rPr>
            <w:rStyle w:val="Hyperlink"/>
            <w:rtl/>
          </w:rPr>
          <w:t xml:space="preserve"> </w:t>
        </w:r>
        <w:r w:rsidRPr="0059682E">
          <w:rPr>
            <w:rStyle w:val="Hyperlink"/>
            <w:rFonts w:hint="cs"/>
            <w:rtl/>
          </w:rPr>
          <w:t>ص</w:t>
        </w:r>
        <w:r w:rsidRPr="0059682E">
          <w:rPr>
            <w:rStyle w:val="Hyperlink"/>
            <w:rtl/>
          </w:rPr>
          <w:t>264.</w:t>
        </w:r>
      </w:hyperlink>
    </w:p>
  </w:footnote>
  <w:footnote w:id="6">
    <w:p w:rsidR="006F0F37" w:rsidRDefault="006F0F37" w:rsidP="006F0F37">
      <w:pPr>
        <w:pStyle w:val="FootnoteText"/>
      </w:pPr>
      <w:r>
        <w:rPr>
          <w:rStyle w:val="FootnoteReference"/>
        </w:rPr>
        <w:footnoteRef/>
      </w:r>
      <w:r>
        <w:rPr>
          <w:rtl/>
        </w:rPr>
        <w:t xml:space="preserve"> </w:t>
      </w:r>
      <w:r w:rsidRPr="006F0F37">
        <w:rPr>
          <w:rFonts w:hint="cs"/>
          <w:rtl/>
        </w:rPr>
        <w:t>بحوث في شرح العروة الوثقى، ج‌3، ص: 335</w:t>
      </w:r>
    </w:p>
  </w:footnote>
  <w:footnote w:id="7">
    <w:p w:rsidR="00F51969" w:rsidRPr="00F51969" w:rsidRDefault="00F51969" w:rsidP="00F51969">
      <w:pPr>
        <w:pStyle w:val="FootnoteText"/>
      </w:pPr>
      <w:r w:rsidRPr="00F51969">
        <w:footnoteRef/>
      </w:r>
      <w:r w:rsidRPr="00F51969">
        <w:rPr>
          <w:rtl/>
        </w:rPr>
        <w:t xml:space="preserve"> </w:t>
      </w:r>
      <w:hyperlink r:id="rId3" w:history="1">
        <w:r w:rsidRPr="00F51969">
          <w:rPr>
            <w:rStyle w:val="Hyperlink"/>
            <w:rFonts w:hint="cs"/>
            <w:rtl/>
          </w:rPr>
          <w:t>تهذیب</w:t>
        </w:r>
        <w:r w:rsidRPr="00F51969">
          <w:rPr>
            <w:rStyle w:val="Hyperlink"/>
            <w:rtl/>
          </w:rPr>
          <w:t xml:space="preserve"> </w:t>
        </w:r>
        <w:r w:rsidRPr="00F51969">
          <w:rPr>
            <w:rStyle w:val="Hyperlink"/>
            <w:rFonts w:hint="cs"/>
            <w:rtl/>
          </w:rPr>
          <w:t>الاحکام،</w:t>
        </w:r>
        <w:r w:rsidRPr="00F51969">
          <w:rPr>
            <w:rStyle w:val="Hyperlink"/>
            <w:rtl/>
          </w:rPr>
          <w:t xml:space="preserve"> </w:t>
        </w:r>
        <w:r w:rsidRPr="00F51969">
          <w:rPr>
            <w:rStyle w:val="Hyperlink"/>
            <w:rFonts w:hint="cs"/>
            <w:rtl/>
          </w:rPr>
          <w:t>شیخ</w:t>
        </w:r>
        <w:r w:rsidRPr="00F51969">
          <w:rPr>
            <w:rStyle w:val="Hyperlink"/>
            <w:rtl/>
          </w:rPr>
          <w:t xml:space="preserve"> </w:t>
        </w:r>
        <w:r w:rsidRPr="00F51969">
          <w:rPr>
            <w:rStyle w:val="Hyperlink"/>
            <w:rFonts w:hint="cs"/>
            <w:rtl/>
          </w:rPr>
          <w:t>طوسی،</w:t>
        </w:r>
        <w:r w:rsidRPr="00F51969">
          <w:rPr>
            <w:rStyle w:val="Hyperlink"/>
            <w:rtl/>
          </w:rPr>
          <w:t xml:space="preserve"> </w:t>
        </w:r>
        <w:r w:rsidRPr="00F51969">
          <w:rPr>
            <w:rStyle w:val="Hyperlink"/>
            <w:rFonts w:hint="cs"/>
            <w:rtl/>
          </w:rPr>
          <w:t>ج</w:t>
        </w:r>
        <w:r w:rsidRPr="00F51969">
          <w:rPr>
            <w:rStyle w:val="Hyperlink"/>
            <w:rtl/>
          </w:rPr>
          <w:t>2</w:t>
        </w:r>
        <w:r w:rsidRPr="00F51969">
          <w:rPr>
            <w:rStyle w:val="Hyperlink"/>
            <w:rFonts w:hint="cs"/>
            <w:rtl/>
          </w:rPr>
          <w:t>،</w:t>
        </w:r>
        <w:r w:rsidRPr="00F51969">
          <w:rPr>
            <w:rStyle w:val="Hyperlink"/>
            <w:rtl/>
          </w:rPr>
          <w:t xml:space="preserve"> </w:t>
        </w:r>
        <w:r w:rsidRPr="00F51969">
          <w:rPr>
            <w:rStyle w:val="Hyperlink"/>
            <w:rFonts w:hint="cs"/>
            <w:rtl/>
          </w:rPr>
          <w:t>ص</w:t>
        </w:r>
        <w:r w:rsidRPr="00F51969">
          <w:rPr>
            <w:rStyle w:val="Hyperlink"/>
            <w:rtl/>
          </w:rPr>
          <w:t>361.</w:t>
        </w:r>
      </w:hyperlink>
    </w:p>
  </w:footnote>
  <w:footnote w:id="8">
    <w:p w:rsidR="001E672A" w:rsidRPr="001E672A" w:rsidRDefault="001E672A" w:rsidP="001E672A">
      <w:pPr>
        <w:pStyle w:val="FootnoteText"/>
      </w:pPr>
      <w:r w:rsidRPr="001E672A">
        <w:footnoteRef/>
      </w:r>
      <w:r w:rsidRPr="001E672A">
        <w:rPr>
          <w:rtl/>
        </w:rPr>
        <w:t xml:space="preserve"> </w:t>
      </w:r>
      <w:hyperlink r:id="rId4" w:history="1">
        <w:r w:rsidRPr="001E672A">
          <w:rPr>
            <w:rStyle w:val="Hyperlink"/>
            <w:rFonts w:hint="cs"/>
            <w:rtl/>
          </w:rPr>
          <w:t>تهذیب</w:t>
        </w:r>
        <w:r w:rsidRPr="001E672A">
          <w:rPr>
            <w:rStyle w:val="Hyperlink"/>
            <w:rtl/>
          </w:rPr>
          <w:t xml:space="preserve"> </w:t>
        </w:r>
        <w:r w:rsidRPr="001E672A">
          <w:rPr>
            <w:rStyle w:val="Hyperlink"/>
            <w:rFonts w:hint="cs"/>
            <w:rtl/>
          </w:rPr>
          <w:t>الاحکام،</w:t>
        </w:r>
        <w:r w:rsidRPr="001E672A">
          <w:rPr>
            <w:rStyle w:val="Hyperlink"/>
            <w:rtl/>
          </w:rPr>
          <w:t xml:space="preserve"> </w:t>
        </w:r>
        <w:r w:rsidRPr="001E672A">
          <w:rPr>
            <w:rStyle w:val="Hyperlink"/>
            <w:rFonts w:hint="cs"/>
            <w:rtl/>
          </w:rPr>
          <w:t>شیخ</w:t>
        </w:r>
        <w:r w:rsidRPr="001E672A">
          <w:rPr>
            <w:rStyle w:val="Hyperlink"/>
            <w:rtl/>
          </w:rPr>
          <w:t xml:space="preserve"> </w:t>
        </w:r>
        <w:r w:rsidRPr="001E672A">
          <w:rPr>
            <w:rStyle w:val="Hyperlink"/>
            <w:rFonts w:hint="cs"/>
            <w:rtl/>
          </w:rPr>
          <w:t>طوسی،</w:t>
        </w:r>
        <w:r w:rsidRPr="001E672A">
          <w:rPr>
            <w:rStyle w:val="Hyperlink"/>
            <w:rtl/>
          </w:rPr>
          <w:t xml:space="preserve"> </w:t>
        </w:r>
        <w:r w:rsidRPr="001E672A">
          <w:rPr>
            <w:rStyle w:val="Hyperlink"/>
            <w:rFonts w:hint="cs"/>
            <w:rtl/>
          </w:rPr>
          <w:t>ج</w:t>
        </w:r>
        <w:r w:rsidRPr="001E672A">
          <w:rPr>
            <w:rStyle w:val="Hyperlink"/>
            <w:rtl/>
          </w:rPr>
          <w:t>2</w:t>
        </w:r>
        <w:r w:rsidRPr="001E672A">
          <w:rPr>
            <w:rStyle w:val="Hyperlink"/>
            <w:rFonts w:hint="cs"/>
            <w:rtl/>
          </w:rPr>
          <w:t>،</w:t>
        </w:r>
        <w:r w:rsidRPr="001E672A">
          <w:rPr>
            <w:rStyle w:val="Hyperlink"/>
            <w:rtl/>
          </w:rPr>
          <w:t xml:space="preserve"> </w:t>
        </w:r>
        <w:r w:rsidRPr="001E672A">
          <w:rPr>
            <w:rStyle w:val="Hyperlink"/>
            <w:rFonts w:hint="cs"/>
            <w:rtl/>
          </w:rPr>
          <w:t>ص</w:t>
        </w:r>
        <w:r w:rsidRPr="001E672A">
          <w:rPr>
            <w:rStyle w:val="Hyperlink"/>
            <w:rtl/>
          </w:rPr>
          <w:t>361.</w:t>
        </w:r>
      </w:hyperlink>
    </w:p>
  </w:footnote>
  <w:footnote w:id="9">
    <w:p w:rsidR="00DA2C52" w:rsidRDefault="00DA2C52">
      <w:pPr>
        <w:pStyle w:val="FootnoteText"/>
      </w:pPr>
      <w:r>
        <w:rPr>
          <w:rStyle w:val="FootnoteReference"/>
        </w:rPr>
        <w:footnoteRef/>
      </w:r>
      <w:r>
        <w:rPr>
          <w:rtl/>
        </w:rPr>
        <w:t xml:space="preserve"> </w:t>
      </w:r>
      <w:r>
        <w:rPr>
          <w:rFonts w:hint="cs"/>
          <w:rtl/>
        </w:rPr>
        <w:t>نوعی ماهی بدون فلس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C45E08">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C45E0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C45E08">
      <w:rPr>
        <w:rFonts w:hint="cs"/>
        <w:b/>
        <w:bCs/>
        <w:color w:val="632423" w:themeColor="accent2" w:themeShade="80"/>
        <w:sz w:val="20"/>
        <w:szCs w:val="24"/>
        <w:rtl/>
      </w:rPr>
      <w:t>سید</w:t>
    </w:r>
    <w:r w:rsidR="00C45E08">
      <w:rPr>
        <w:b/>
        <w:bCs/>
        <w:color w:val="632423" w:themeColor="accent2" w:themeShade="80"/>
        <w:sz w:val="20"/>
        <w:szCs w:val="24"/>
        <w:rtl/>
      </w:rPr>
      <w:t xml:space="preserve"> </w:t>
    </w:r>
    <w:r w:rsidR="00C45E08">
      <w:rPr>
        <w:rFonts w:hint="cs"/>
        <w:b/>
        <w:bCs/>
        <w:color w:val="632423" w:themeColor="accent2" w:themeShade="80"/>
        <w:sz w:val="20"/>
        <w:szCs w:val="24"/>
        <w:rtl/>
      </w:rPr>
      <w:t>محمد</w:t>
    </w:r>
    <w:r w:rsidR="00C45E08">
      <w:rPr>
        <w:b/>
        <w:bCs/>
        <w:color w:val="632423" w:themeColor="accent2" w:themeShade="80"/>
        <w:sz w:val="20"/>
        <w:szCs w:val="24"/>
        <w:rtl/>
      </w:rPr>
      <w:t xml:space="preserve"> </w:t>
    </w:r>
    <w:r w:rsidR="00C45E08">
      <w:rPr>
        <w:rFonts w:hint="cs"/>
        <w:b/>
        <w:bCs/>
        <w:color w:val="632423" w:themeColor="accent2" w:themeShade="80"/>
        <w:sz w:val="20"/>
        <w:szCs w:val="24"/>
        <w:rtl/>
      </w:rPr>
      <w:t>جواد</w:t>
    </w:r>
    <w:r w:rsidR="00C45E08">
      <w:rPr>
        <w:b/>
        <w:bCs/>
        <w:color w:val="632423" w:themeColor="accent2" w:themeShade="80"/>
        <w:sz w:val="20"/>
        <w:szCs w:val="24"/>
        <w:rtl/>
      </w:rPr>
      <w:t xml:space="preserve"> </w:t>
    </w:r>
    <w:r w:rsidR="00C45E0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C45E08">
      <w:rPr>
        <w:sz w:val="24"/>
        <w:szCs w:val="24"/>
        <w:rtl/>
      </w:rPr>
      <w:t>13 /4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C45E08">
      <w:rPr>
        <w:rFonts w:hint="cs"/>
        <w:color w:val="000000" w:themeColor="text1"/>
        <w:sz w:val="24"/>
        <w:szCs w:val="24"/>
        <w:rtl/>
      </w:rPr>
      <w:t>روایات</w:t>
    </w:r>
    <w:r w:rsidR="00C45E08">
      <w:rPr>
        <w:color w:val="000000" w:themeColor="text1"/>
        <w:sz w:val="24"/>
        <w:szCs w:val="24"/>
        <w:rtl/>
      </w:rPr>
      <w:t xml:space="preserve"> </w:t>
    </w:r>
    <w:r w:rsidR="00C45E08">
      <w:rPr>
        <w:rFonts w:hint="cs"/>
        <w:color w:val="000000" w:themeColor="text1"/>
        <w:sz w:val="24"/>
        <w:szCs w:val="24"/>
        <w:rtl/>
      </w:rPr>
      <w:t>مساله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45E08">
      <w:rPr>
        <w:rFonts w:hint="cs"/>
        <w:sz w:val="24"/>
        <w:szCs w:val="24"/>
        <w:rtl/>
      </w:rPr>
      <w:t>مهدی</w:t>
    </w:r>
    <w:r w:rsidR="00C45E08">
      <w:rPr>
        <w:sz w:val="24"/>
        <w:szCs w:val="24"/>
        <w:rtl/>
      </w:rPr>
      <w:t xml:space="preserve"> </w:t>
    </w:r>
    <w:r w:rsidR="00C45E08">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2AD"/>
    <w:rsid w:val="000043AF"/>
    <w:rsid w:val="000072A3"/>
    <w:rsid w:val="00024B5D"/>
    <w:rsid w:val="00025777"/>
    <w:rsid w:val="00025B70"/>
    <w:rsid w:val="00027852"/>
    <w:rsid w:val="000353D7"/>
    <w:rsid w:val="000371C7"/>
    <w:rsid w:val="00042D46"/>
    <w:rsid w:val="00055496"/>
    <w:rsid w:val="0005771E"/>
    <w:rsid w:val="00066CFE"/>
    <w:rsid w:val="00080A41"/>
    <w:rsid w:val="0008299B"/>
    <w:rsid w:val="000913AA"/>
    <w:rsid w:val="00094847"/>
    <w:rsid w:val="00096C63"/>
    <w:rsid w:val="000B5DB5"/>
    <w:rsid w:val="000C3947"/>
    <w:rsid w:val="000D2A37"/>
    <w:rsid w:val="000D30E9"/>
    <w:rsid w:val="000D6818"/>
    <w:rsid w:val="000E335E"/>
    <w:rsid w:val="000E3BF4"/>
    <w:rsid w:val="000F16CF"/>
    <w:rsid w:val="000F1C8C"/>
    <w:rsid w:val="000F5BAC"/>
    <w:rsid w:val="00102585"/>
    <w:rsid w:val="0010796F"/>
    <w:rsid w:val="00114AB7"/>
    <w:rsid w:val="00116B2B"/>
    <w:rsid w:val="00124E3D"/>
    <w:rsid w:val="0012740E"/>
    <w:rsid w:val="00127E95"/>
    <w:rsid w:val="00130659"/>
    <w:rsid w:val="001347C7"/>
    <w:rsid w:val="001356B0"/>
    <w:rsid w:val="00141E73"/>
    <w:rsid w:val="00143F74"/>
    <w:rsid w:val="00151937"/>
    <w:rsid w:val="00172252"/>
    <w:rsid w:val="00181844"/>
    <w:rsid w:val="001837E9"/>
    <w:rsid w:val="001873CC"/>
    <w:rsid w:val="00187DFA"/>
    <w:rsid w:val="001A1BC1"/>
    <w:rsid w:val="001A1EA5"/>
    <w:rsid w:val="001A2574"/>
    <w:rsid w:val="001A27D7"/>
    <w:rsid w:val="001A294E"/>
    <w:rsid w:val="001A4ED8"/>
    <w:rsid w:val="001B113E"/>
    <w:rsid w:val="001B2488"/>
    <w:rsid w:val="001B6799"/>
    <w:rsid w:val="001C0AF5"/>
    <w:rsid w:val="001C1362"/>
    <w:rsid w:val="001D2E9A"/>
    <w:rsid w:val="001D597F"/>
    <w:rsid w:val="001D7266"/>
    <w:rsid w:val="001E3FD4"/>
    <w:rsid w:val="001E672A"/>
    <w:rsid w:val="0020241A"/>
    <w:rsid w:val="00203821"/>
    <w:rsid w:val="00211632"/>
    <w:rsid w:val="00213A00"/>
    <w:rsid w:val="0021630D"/>
    <w:rsid w:val="0024121B"/>
    <w:rsid w:val="00247D2F"/>
    <w:rsid w:val="00251F16"/>
    <w:rsid w:val="00256560"/>
    <w:rsid w:val="002718EB"/>
    <w:rsid w:val="0027605E"/>
    <w:rsid w:val="00281E00"/>
    <w:rsid w:val="00294A52"/>
    <w:rsid w:val="002950C1"/>
    <w:rsid w:val="002A13E8"/>
    <w:rsid w:val="002A3A4D"/>
    <w:rsid w:val="002B575F"/>
    <w:rsid w:val="002B729B"/>
    <w:rsid w:val="002C23B5"/>
    <w:rsid w:val="002C53A2"/>
    <w:rsid w:val="002D0040"/>
    <w:rsid w:val="002D2FA8"/>
    <w:rsid w:val="002E220F"/>
    <w:rsid w:val="003008F1"/>
    <w:rsid w:val="00307311"/>
    <w:rsid w:val="00315788"/>
    <w:rsid w:val="00317213"/>
    <w:rsid w:val="0032100F"/>
    <w:rsid w:val="0032489B"/>
    <w:rsid w:val="0033402C"/>
    <w:rsid w:val="00340521"/>
    <w:rsid w:val="003407CA"/>
    <w:rsid w:val="00345C73"/>
    <w:rsid w:val="00354A99"/>
    <w:rsid w:val="00360311"/>
    <w:rsid w:val="00361922"/>
    <w:rsid w:val="003632CF"/>
    <w:rsid w:val="0037278E"/>
    <w:rsid w:val="0037339B"/>
    <w:rsid w:val="00386C11"/>
    <w:rsid w:val="003924EE"/>
    <w:rsid w:val="00393A75"/>
    <w:rsid w:val="00397466"/>
    <w:rsid w:val="003A6148"/>
    <w:rsid w:val="003B59AF"/>
    <w:rsid w:val="003C33F6"/>
    <w:rsid w:val="003C3D2E"/>
    <w:rsid w:val="003C43A5"/>
    <w:rsid w:val="003E1C5C"/>
    <w:rsid w:val="003E6650"/>
    <w:rsid w:val="003F5B46"/>
    <w:rsid w:val="00401363"/>
    <w:rsid w:val="00402E47"/>
    <w:rsid w:val="00425015"/>
    <w:rsid w:val="0042671E"/>
    <w:rsid w:val="00430994"/>
    <w:rsid w:val="00441B6D"/>
    <w:rsid w:val="00445FAD"/>
    <w:rsid w:val="00452953"/>
    <w:rsid w:val="00454414"/>
    <w:rsid w:val="004556EF"/>
    <w:rsid w:val="0046045E"/>
    <w:rsid w:val="00462B07"/>
    <w:rsid w:val="00465BD2"/>
    <w:rsid w:val="004715C8"/>
    <w:rsid w:val="00481C31"/>
    <w:rsid w:val="00482FC1"/>
    <w:rsid w:val="00483027"/>
    <w:rsid w:val="004871AA"/>
    <w:rsid w:val="004918D7"/>
    <w:rsid w:val="004926E1"/>
    <w:rsid w:val="004A2FEA"/>
    <w:rsid w:val="004A4952"/>
    <w:rsid w:val="004B5E86"/>
    <w:rsid w:val="004D2648"/>
    <w:rsid w:val="004D2DD7"/>
    <w:rsid w:val="004D75C5"/>
    <w:rsid w:val="004E2186"/>
    <w:rsid w:val="004E66FB"/>
    <w:rsid w:val="004F470A"/>
    <w:rsid w:val="004F4C59"/>
    <w:rsid w:val="00500C8F"/>
    <w:rsid w:val="00501909"/>
    <w:rsid w:val="00507BBB"/>
    <w:rsid w:val="005128DF"/>
    <w:rsid w:val="0051592A"/>
    <w:rsid w:val="005206FE"/>
    <w:rsid w:val="005257ED"/>
    <w:rsid w:val="005305F7"/>
    <w:rsid w:val="005306F8"/>
    <w:rsid w:val="0054023D"/>
    <w:rsid w:val="005426BF"/>
    <w:rsid w:val="0056213C"/>
    <w:rsid w:val="00566DD1"/>
    <w:rsid w:val="00580C24"/>
    <w:rsid w:val="0059682E"/>
    <w:rsid w:val="005968EF"/>
    <w:rsid w:val="00596C1E"/>
    <w:rsid w:val="005A2E26"/>
    <w:rsid w:val="005B7BCA"/>
    <w:rsid w:val="005C02B5"/>
    <w:rsid w:val="005C0DAE"/>
    <w:rsid w:val="005C188E"/>
    <w:rsid w:val="005C2F63"/>
    <w:rsid w:val="005C58CC"/>
    <w:rsid w:val="005D20ED"/>
    <w:rsid w:val="005D2349"/>
    <w:rsid w:val="005E1B60"/>
    <w:rsid w:val="005E5507"/>
    <w:rsid w:val="005E607B"/>
    <w:rsid w:val="005F0A8D"/>
    <w:rsid w:val="00601229"/>
    <w:rsid w:val="006036C6"/>
    <w:rsid w:val="00603B67"/>
    <w:rsid w:val="00607629"/>
    <w:rsid w:val="006162A2"/>
    <w:rsid w:val="00623996"/>
    <w:rsid w:val="006240DA"/>
    <w:rsid w:val="0063256E"/>
    <w:rsid w:val="00633F04"/>
    <w:rsid w:val="00635219"/>
    <w:rsid w:val="00635EC0"/>
    <w:rsid w:val="00640B58"/>
    <w:rsid w:val="00651B02"/>
    <w:rsid w:val="00651B19"/>
    <w:rsid w:val="00660A29"/>
    <w:rsid w:val="00667632"/>
    <w:rsid w:val="00695519"/>
    <w:rsid w:val="00696B18"/>
    <w:rsid w:val="006A4134"/>
    <w:rsid w:val="006A5DDA"/>
    <w:rsid w:val="006A6701"/>
    <w:rsid w:val="006B21F4"/>
    <w:rsid w:val="006B3753"/>
    <w:rsid w:val="006B7AD6"/>
    <w:rsid w:val="006C50FD"/>
    <w:rsid w:val="006D1DD4"/>
    <w:rsid w:val="006D3D7E"/>
    <w:rsid w:val="006D4014"/>
    <w:rsid w:val="006D44C1"/>
    <w:rsid w:val="006E03AC"/>
    <w:rsid w:val="006E5651"/>
    <w:rsid w:val="006E5B85"/>
    <w:rsid w:val="006E7C21"/>
    <w:rsid w:val="006F026A"/>
    <w:rsid w:val="006F0F37"/>
    <w:rsid w:val="0070265B"/>
    <w:rsid w:val="00704813"/>
    <w:rsid w:val="0072290D"/>
    <w:rsid w:val="00723D6D"/>
    <w:rsid w:val="00724537"/>
    <w:rsid w:val="00731724"/>
    <w:rsid w:val="00731A34"/>
    <w:rsid w:val="007330BE"/>
    <w:rsid w:val="0073474B"/>
    <w:rsid w:val="00735511"/>
    <w:rsid w:val="00735F6E"/>
    <w:rsid w:val="00737208"/>
    <w:rsid w:val="00737CF9"/>
    <w:rsid w:val="00740CFB"/>
    <w:rsid w:val="00744DE6"/>
    <w:rsid w:val="00762452"/>
    <w:rsid w:val="007639E0"/>
    <w:rsid w:val="00775507"/>
    <w:rsid w:val="00783473"/>
    <w:rsid w:val="0078594B"/>
    <w:rsid w:val="00793E06"/>
    <w:rsid w:val="00795E02"/>
    <w:rsid w:val="007979D0"/>
    <w:rsid w:val="007A4E18"/>
    <w:rsid w:val="007A7B8C"/>
    <w:rsid w:val="007C3727"/>
    <w:rsid w:val="007C6D9E"/>
    <w:rsid w:val="007D1C43"/>
    <w:rsid w:val="007D2BC8"/>
    <w:rsid w:val="007D6C53"/>
    <w:rsid w:val="007E1564"/>
    <w:rsid w:val="007E1E87"/>
    <w:rsid w:val="007E5B3F"/>
    <w:rsid w:val="007F0549"/>
    <w:rsid w:val="007F2257"/>
    <w:rsid w:val="007F2DB2"/>
    <w:rsid w:val="007F71BF"/>
    <w:rsid w:val="0080091D"/>
    <w:rsid w:val="00801DAA"/>
    <w:rsid w:val="0080259C"/>
    <w:rsid w:val="00804108"/>
    <w:rsid w:val="00804FC4"/>
    <w:rsid w:val="00816367"/>
    <w:rsid w:val="00816A0B"/>
    <w:rsid w:val="00824B22"/>
    <w:rsid w:val="00830C53"/>
    <w:rsid w:val="00832A03"/>
    <w:rsid w:val="00837FAA"/>
    <w:rsid w:val="00841F77"/>
    <w:rsid w:val="0085276D"/>
    <w:rsid w:val="00861A5B"/>
    <w:rsid w:val="00863390"/>
    <w:rsid w:val="0086385C"/>
    <w:rsid w:val="00871916"/>
    <w:rsid w:val="008956DD"/>
    <w:rsid w:val="008A510E"/>
    <w:rsid w:val="008A522A"/>
    <w:rsid w:val="008B4464"/>
    <w:rsid w:val="008B750B"/>
    <w:rsid w:val="008C3162"/>
    <w:rsid w:val="008D1F14"/>
    <w:rsid w:val="008E3924"/>
    <w:rsid w:val="008F13F7"/>
    <w:rsid w:val="008F4428"/>
    <w:rsid w:val="008F5B4D"/>
    <w:rsid w:val="00907425"/>
    <w:rsid w:val="00923C34"/>
    <w:rsid w:val="00924152"/>
    <w:rsid w:val="0092513D"/>
    <w:rsid w:val="00927A9F"/>
    <w:rsid w:val="009335CC"/>
    <w:rsid w:val="009349D2"/>
    <w:rsid w:val="00935A55"/>
    <w:rsid w:val="00941CEB"/>
    <w:rsid w:val="00944064"/>
    <w:rsid w:val="009450AD"/>
    <w:rsid w:val="0094720F"/>
    <w:rsid w:val="00953B28"/>
    <w:rsid w:val="00954322"/>
    <w:rsid w:val="009543C7"/>
    <w:rsid w:val="00957CAA"/>
    <w:rsid w:val="0096778A"/>
    <w:rsid w:val="00977656"/>
    <w:rsid w:val="009846A7"/>
    <w:rsid w:val="0098794D"/>
    <w:rsid w:val="0099497B"/>
    <w:rsid w:val="00994D12"/>
    <w:rsid w:val="009A43BA"/>
    <w:rsid w:val="009B0D05"/>
    <w:rsid w:val="009B35E8"/>
    <w:rsid w:val="009B4CA6"/>
    <w:rsid w:val="009B79F8"/>
    <w:rsid w:val="009C66D5"/>
    <w:rsid w:val="009D13FD"/>
    <w:rsid w:val="009D266A"/>
    <w:rsid w:val="009F7E07"/>
    <w:rsid w:val="00A01522"/>
    <w:rsid w:val="00A10A11"/>
    <w:rsid w:val="00A13C6A"/>
    <w:rsid w:val="00A17B09"/>
    <w:rsid w:val="00A45055"/>
    <w:rsid w:val="00A457C6"/>
    <w:rsid w:val="00A46AD0"/>
    <w:rsid w:val="00A47063"/>
    <w:rsid w:val="00A473A8"/>
    <w:rsid w:val="00A513F0"/>
    <w:rsid w:val="00A51807"/>
    <w:rsid w:val="00A61AC8"/>
    <w:rsid w:val="00A6366F"/>
    <w:rsid w:val="00A65D4C"/>
    <w:rsid w:val="00A70512"/>
    <w:rsid w:val="00AA1F60"/>
    <w:rsid w:val="00AA40D7"/>
    <w:rsid w:val="00AB5F7D"/>
    <w:rsid w:val="00AC0C50"/>
    <w:rsid w:val="00AC2925"/>
    <w:rsid w:val="00AC600F"/>
    <w:rsid w:val="00AC6FE2"/>
    <w:rsid w:val="00AF3925"/>
    <w:rsid w:val="00AF7B91"/>
    <w:rsid w:val="00B1296B"/>
    <w:rsid w:val="00B2292F"/>
    <w:rsid w:val="00B43169"/>
    <w:rsid w:val="00B4397C"/>
    <w:rsid w:val="00B46E47"/>
    <w:rsid w:val="00B501A8"/>
    <w:rsid w:val="00B55AE4"/>
    <w:rsid w:val="00B70B46"/>
    <w:rsid w:val="00B739B0"/>
    <w:rsid w:val="00B814A3"/>
    <w:rsid w:val="00B96F38"/>
    <w:rsid w:val="00B97042"/>
    <w:rsid w:val="00BC716B"/>
    <w:rsid w:val="00BD0E74"/>
    <w:rsid w:val="00BD5F8C"/>
    <w:rsid w:val="00BE29DD"/>
    <w:rsid w:val="00BE3317"/>
    <w:rsid w:val="00C066AF"/>
    <w:rsid w:val="00C10E06"/>
    <w:rsid w:val="00C145B8"/>
    <w:rsid w:val="00C15C53"/>
    <w:rsid w:val="00C2438F"/>
    <w:rsid w:val="00C31AF0"/>
    <w:rsid w:val="00C32A7E"/>
    <w:rsid w:val="00C34F28"/>
    <w:rsid w:val="00C368DF"/>
    <w:rsid w:val="00C442C5"/>
    <w:rsid w:val="00C45E08"/>
    <w:rsid w:val="00C57B5C"/>
    <w:rsid w:val="00C57C7C"/>
    <w:rsid w:val="00C61049"/>
    <w:rsid w:val="00C63FFE"/>
    <w:rsid w:val="00C640E1"/>
    <w:rsid w:val="00C669E5"/>
    <w:rsid w:val="00C72321"/>
    <w:rsid w:val="00C91EB6"/>
    <w:rsid w:val="00CA10B0"/>
    <w:rsid w:val="00CA2F8E"/>
    <w:rsid w:val="00CA3EE2"/>
    <w:rsid w:val="00CA6AA6"/>
    <w:rsid w:val="00CA7FD5"/>
    <w:rsid w:val="00CB3287"/>
    <w:rsid w:val="00CB33E2"/>
    <w:rsid w:val="00CB4E68"/>
    <w:rsid w:val="00CC2733"/>
    <w:rsid w:val="00CC37FA"/>
    <w:rsid w:val="00CD0050"/>
    <w:rsid w:val="00CE6288"/>
    <w:rsid w:val="00CE7481"/>
    <w:rsid w:val="00CF0A8F"/>
    <w:rsid w:val="00D048CE"/>
    <w:rsid w:val="00D10998"/>
    <w:rsid w:val="00D15CBD"/>
    <w:rsid w:val="00D221CB"/>
    <w:rsid w:val="00D23391"/>
    <w:rsid w:val="00D31805"/>
    <w:rsid w:val="00D552B9"/>
    <w:rsid w:val="00D6075C"/>
    <w:rsid w:val="00D6405A"/>
    <w:rsid w:val="00D735B2"/>
    <w:rsid w:val="00D74021"/>
    <w:rsid w:val="00D76D01"/>
    <w:rsid w:val="00D922A9"/>
    <w:rsid w:val="00D9394A"/>
    <w:rsid w:val="00D961A5"/>
    <w:rsid w:val="00DA2C52"/>
    <w:rsid w:val="00DB0CBB"/>
    <w:rsid w:val="00DB67CC"/>
    <w:rsid w:val="00DC3783"/>
    <w:rsid w:val="00DE1070"/>
    <w:rsid w:val="00E00219"/>
    <w:rsid w:val="00E0316B"/>
    <w:rsid w:val="00E25E10"/>
    <w:rsid w:val="00E467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492"/>
    <w:rsid w:val="00F51969"/>
    <w:rsid w:val="00F60F1F"/>
    <w:rsid w:val="00F64141"/>
    <w:rsid w:val="00F67508"/>
    <w:rsid w:val="00F71FC9"/>
    <w:rsid w:val="00F73B48"/>
    <w:rsid w:val="00F74F51"/>
    <w:rsid w:val="00F842AD"/>
    <w:rsid w:val="00F914EB"/>
    <w:rsid w:val="00F91B85"/>
    <w:rsid w:val="00F938E7"/>
    <w:rsid w:val="00FA3B17"/>
    <w:rsid w:val="00FA5E8D"/>
    <w:rsid w:val="00FA5F3D"/>
    <w:rsid w:val="00FA6108"/>
    <w:rsid w:val="00FB399E"/>
    <w:rsid w:val="00FB5F53"/>
    <w:rsid w:val="00FB7F50"/>
    <w:rsid w:val="00FC2A85"/>
    <w:rsid w:val="00FC40AF"/>
    <w:rsid w:val="00FC73B9"/>
    <w:rsid w:val="00FD0A16"/>
    <w:rsid w:val="00FE0AF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182865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247134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6235068">
      <w:bodyDiv w:val="1"/>
      <w:marLeft w:val="0"/>
      <w:marRight w:val="0"/>
      <w:marTop w:val="0"/>
      <w:marBottom w:val="0"/>
      <w:divBdr>
        <w:top w:val="none" w:sz="0" w:space="0" w:color="auto"/>
        <w:left w:val="none" w:sz="0" w:space="0" w:color="auto"/>
        <w:bottom w:val="none" w:sz="0" w:space="0" w:color="auto"/>
        <w:right w:val="none" w:sz="0" w:space="0" w:color="auto"/>
      </w:divBdr>
    </w:div>
    <w:div w:id="26584363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527372">
      <w:bodyDiv w:val="1"/>
      <w:marLeft w:val="0"/>
      <w:marRight w:val="0"/>
      <w:marTop w:val="0"/>
      <w:marBottom w:val="0"/>
      <w:divBdr>
        <w:top w:val="none" w:sz="0" w:space="0" w:color="auto"/>
        <w:left w:val="none" w:sz="0" w:space="0" w:color="auto"/>
        <w:bottom w:val="none" w:sz="0" w:space="0" w:color="auto"/>
        <w:right w:val="none" w:sz="0" w:space="0" w:color="auto"/>
      </w:divBdr>
    </w:div>
    <w:div w:id="640887624">
      <w:bodyDiv w:val="1"/>
      <w:marLeft w:val="0"/>
      <w:marRight w:val="0"/>
      <w:marTop w:val="0"/>
      <w:marBottom w:val="0"/>
      <w:divBdr>
        <w:top w:val="none" w:sz="0" w:space="0" w:color="auto"/>
        <w:left w:val="none" w:sz="0" w:space="0" w:color="auto"/>
        <w:bottom w:val="none" w:sz="0" w:space="0" w:color="auto"/>
        <w:right w:val="none" w:sz="0" w:space="0" w:color="auto"/>
      </w:divBdr>
    </w:div>
    <w:div w:id="654072251">
      <w:bodyDiv w:val="1"/>
      <w:marLeft w:val="0"/>
      <w:marRight w:val="0"/>
      <w:marTop w:val="0"/>
      <w:marBottom w:val="0"/>
      <w:divBdr>
        <w:top w:val="none" w:sz="0" w:space="0" w:color="auto"/>
        <w:left w:val="none" w:sz="0" w:space="0" w:color="auto"/>
        <w:bottom w:val="none" w:sz="0" w:space="0" w:color="auto"/>
        <w:right w:val="none" w:sz="0" w:space="0" w:color="auto"/>
      </w:divBdr>
    </w:div>
    <w:div w:id="706219273">
      <w:bodyDiv w:val="1"/>
      <w:marLeft w:val="0"/>
      <w:marRight w:val="0"/>
      <w:marTop w:val="0"/>
      <w:marBottom w:val="0"/>
      <w:divBdr>
        <w:top w:val="none" w:sz="0" w:space="0" w:color="auto"/>
        <w:left w:val="none" w:sz="0" w:space="0" w:color="auto"/>
        <w:bottom w:val="none" w:sz="0" w:space="0" w:color="auto"/>
        <w:right w:val="none" w:sz="0" w:space="0" w:color="auto"/>
      </w:divBdr>
    </w:div>
    <w:div w:id="826481636">
      <w:bodyDiv w:val="1"/>
      <w:marLeft w:val="0"/>
      <w:marRight w:val="0"/>
      <w:marTop w:val="0"/>
      <w:marBottom w:val="0"/>
      <w:divBdr>
        <w:top w:val="none" w:sz="0" w:space="0" w:color="auto"/>
        <w:left w:val="none" w:sz="0" w:space="0" w:color="auto"/>
        <w:bottom w:val="none" w:sz="0" w:space="0" w:color="auto"/>
        <w:right w:val="none" w:sz="0" w:space="0" w:color="auto"/>
      </w:divBdr>
    </w:div>
    <w:div w:id="857159786">
      <w:bodyDiv w:val="1"/>
      <w:marLeft w:val="0"/>
      <w:marRight w:val="0"/>
      <w:marTop w:val="0"/>
      <w:marBottom w:val="0"/>
      <w:divBdr>
        <w:top w:val="none" w:sz="0" w:space="0" w:color="auto"/>
        <w:left w:val="none" w:sz="0" w:space="0" w:color="auto"/>
        <w:bottom w:val="none" w:sz="0" w:space="0" w:color="auto"/>
        <w:right w:val="none" w:sz="0" w:space="0" w:color="auto"/>
      </w:divBdr>
    </w:div>
    <w:div w:id="949360012">
      <w:bodyDiv w:val="1"/>
      <w:marLeft w:val="0"/>
      <w:marRight w:val="0"/>
      <w:marTop w:val="0"/>
      <w:marBottom w:val="0"/>
      <w:divBdr>
        <w:top w:val="none" w:sz="0" w:space="0" w:color="auto"/>
        <w:left w:val="none" w:sz="0" w:space="0" w:color="auto"/>
        <w:bottom w:val="none" w:sz="0" w:space="0" w:color="auto"/>
        <w:right w:val="none" w:sz="0" w:space="0" w:color="auto"/>
      </w:divBdr>
    </w:div>
    <w:div w:id="9757156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7203031">
      <w:bodyDiv w:val="1"/>
      <w:marLeft w:val="0"/>
      <w:marRight w:val="0"/>
      <w:marTop w:val="0"/>
      <w:marBottom w:val="0"/>
      <w:divBdr>
        <w:top w:val="none" w:sz="0" w:space="0" w:color="auto"/>
        <w:left w:val="none" w:sz="0" w:space="0" w:color="auto"/>
        <w:bottom w:val="none" w:sz="0" w:space="0" w:color="auto"/>
        <w:right w:val="none" w:sz="0" w:space="0" w:color="auto"/>
      </w:divBdr>
    </w:div>
    <w:div w:id="127771676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018211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37452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375486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9293365">
      <w:bodyDiv w:val="1"/>
      <w:marLeft w:val="0"/>
      <w:marRight w:val="0"/>
      <w:marTop w:val="0"/>
      <w:marBottom w:val="0"/>
      <w:divBdr>
        <w:top w:val="none" w:sz="0" w:space="0" w:color="auto"/>
        <w:left w:val="none" w:sz="0" w:space="0" w:color="auto"/>
        <w:bottom w:val="none" w:sz="0" w:space="0" w:color="auto"/>
        <w:right w:val="none" w:sz="0" w:space="0" w:color="auto"/>
      </w:divBdr>
    </w:div>
    <w:div w:id="176969484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774590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176299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2/361/&#1575;&#1604;&#1582;&#1606;&#1586;&#1740;&#1585;" TargetMode="External"/><Relationship Id="rId2" Type="http://schemas.openxmlformats.org/officeDocument/2006/relationships/hyperlink" Target="http://lib.eshia.ir/11005/6/264/&#1740;&#1588;&#1585;&#1576;&#1608;&#1606;" TargetMode="External"/><Relationship Id="rId1" Type="http://schemas.openxmlformats.org/officeDocument/2006/relationships/hyperlink" Target="http://lib.eshia.ir/11005/6/258/&#1610;&#1614;&#1578;&#1614;&#1608;&#1614;&#1602;&#1617;&#1614;&#1608;&#1618;&#1606;&#1614;" TargetMode="External"/><Relationship Id="rId4" Type="http://schemas.openxmlformats.org/officeDocument/2006/relationships/hyperlink" Target="http://lib.eshia.ir/10083/2/361/&#1601;&#1740;&#1585;&#158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95BA-E27F-412A-AF9B-81EFA262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1098</TotalTime>
  <Pages>6</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100</cp:revision>
  <dcterms:created xsi:type="dcterms:W3CDTF">2021-08-15T13:27:00Z</dcterms:created>
  <dcterms:modified xsi:type="dcterms:W3CDTF">2021-08-29T11:33:00Z</dcterms:modified>
  <cp:contentStatus>ویرایش 2.5</cp:contentStatus>
  <cp:version>2.7</cp:version>
</cp:coreProperties>
</file>