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F9" w:rsidRDefault="00D502F9" w:rsidP="00D502F9">
      <w:pPr>
        <w:rPr>
          <w:rFonts w:ascii="IRANSans" w:hAnsi="IRANSans" w:cs="IRANSans"/>
          <w:b/>
          <w:bCs/>
          <w:color w:val="0101FF"/>
          <w:sz w:val="24"/>
          <w:szCs w:val="24"/>
          <w:shd w:val="clear" w:color="auto" w:fill="FFFFFF"/>
          <w:lang w:val="x-none"/>
        </w:rPr>
      </w:pPr>
      <w:bookmarkStart w:id="0" w:name="_GoBack"/>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502F9" w:rsidRDefault="00D502F9" w:rsidP="00D502F9">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جلسه38</w:t>
      </w:r>
      <w:r>
        <w:rPr>
          <w:rFonts w:ascii="IRANSans" w:hAnsi="IRANSans" w:cs="IRANSans" w:hint="cs"/>
          <w:b/>
          <w:bCs/>
          <w:color w:val="0101FF"/>
          <w:sz w:val="24"/>
          <w:szCs w:val="24"/>
          <w:shd w:val="clear" w:color="auto" w:fill="FFFFFF"/>
          <w:rtl/>
          <w:lang w:val="x-none"/>
        </w:rPr>
        <w:t>5</w:t>
      </w:r>
      <w:r>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2</w:t>
      </w:r>
      <w:r>
        <w:rPr>
          <w:rFonts w:ascii="IRANSans" w:hAnsi="IRANSans" w:cs="IRANSans"/>
          <w:b/>
          <w:bCs/>
          <w:color w:val="0101FF"/>
          <w:sz w:val="24"/>
          <w:szCs w:val="24"/>
          <w:shd w:val="clear" w:color="auto" w:fill="FFFFFF"/>
          <w:rtl/>
          <w:lang w:val="x-none"/>
        </w:rPr>
        <w:t xml:space="preserve">/03/ 1400 تبدیل </w:t>
      </w:r>
      <w:r>
        <w:rPr>
          <w:rFonts w:ascii="IRANSans" w:hAnsi="IRANSans" w:cs="IRANSans" w:hint="cs"/>
          <w:b/>
          <w:bCs/>
          <w:color w:val="0101FF"/>
          <w:sz w:val="24"/>
          <w:szCs w:val="24"/>
          <w:shd w:val="clear" w:color="auto" w:fill="FFFFFF"/>
          <w:rtl/>
          <w:lang w:val="x-none"/>
        </w:rPr>
        <w:t>عده</w:t>
      </w:r>
      <w:r>
        <w:rPr>
          <w:rFonts w:ascii="IRANSans" w:hAnsi="IRANSans" w:cs="IRANSans"/>
          <w:b/>
          <w:bCs/>
          <w:color w:val="0101FF"/>
          <w:sz w:val="24"/>
          <w:szCs w:val="24"/>
          <w:shd w:val="clear" w:color="auto" w:fill="FFFFFF"/>
          <w:rtl/>
          <w:lang w:val="x-none"/>
        </w:rPr>
        <w:t xml:space="preserve"> بائن به</w:t>
      </w:r>
      <w:r>
        <w:rPr>
          <w:rFonts w:ascii="IRANSans" w:hAnsi="IRANSans" w:cs="IRANSans" w:hint="cs"/>
          <w:b/>
          <w:bCs/>
          <w:color w:val="0101FF"/>
          <w:sz w:val="24"/>
          <w:szCs w:val="24"/>
          <w:shd w:val="clear" w:color="auto" w:fill="FFFFFF"/>
          <w:rtl/>
          <w:lang w:val="x-none"/>
        </w:rPr>
        <w:t xml:space="preserve"> عده</w:t>
      </w:r>
      <w:r>
        <w:rPr>
          <w:rFonts w:ascii="IRANSans" w:hAnsi="IRANSans" w:cs="IRANSans"/>
          <w:b/>
          <w:bCs/>
          <w:color w:val="0101FF"/>
          <w:sz w:val="24"/>
          <w:szCs w:val="24"/>
          <w:shd w:val="clear" w:color="auto" w:fill="FFFFFF"/>
          <w:rtl/>
          <w:lang w:val="x-none"/>
        </w:rPr>
        <w:t xml:space="preserve"> رجعی / تکمله‌ی عروه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F50AD3" w:rsidP="00A864EE">
      <w:pPr>
        <w:pBdr>
          <w:bottom w:val="double" w:sz="6" w:space="1" w:color="auto"/>
        </w:pBdr>
        <w:jc w:val="both"/>
        <w:rPr>
          <w:rtl/>
        </w:rPr>
      </w:pPr>
      <w:r>
        <w:rPr>
          <w:rFonts w:hint="cs"/>
          <w:rtl/>
        </w:rPr>
        <w:t>بحث تبدیل طلاق بائن به طلاق رجعی به پایان رسید و برخی نکات باقی مانده است که به آن نکات می پردازیم.</w:t>
      </w:r>
    </w:p>
    <w:p w:rsidR="00247D2F" w:rsidRPr="003A6148" w:rsidRDefault="00247D2F" w:rsidP="00A864EE">
      <w:pPr>
        <w:pBdr>
          <w:bottom w:val="double" w:sz="6" w:space="1" w:color="auto"/>
        </w:pBdr>
        <w:jc w:val="both"/>
      </w:pPr>
    </w:p>
    <w:p w:rsidR="008F5B4D" w:rsidRDefault="008F5B4D" w:rsidP="00A864EE">
      <w:pPr>
        <w:jc w:val="both"/>
      </w:pPr>
    </w:p>
    <w:p w:rsidR="003E6650" w:rsidRDefault="00B92CD8" w:rsidP="00A864EE">
      <w:pPr>
        <w:jc w:val="both"/>
        <w:rPr>
          <w:rtl/>
        </w:rPr>
      </w:pPr>
      <w:r>
        <w:rPr>
          <w:rFonts w:hint="cs"/>
          <w:rtl/>
        </w:rPr>
        <w:t xml:space="preserve">شهید </w:t>
      </w:r>
      <w:r w:rsidR="00361EFD">
        <w:rPr>
          <w:rFonts w:hint="cs"/>
          <w:rtl/>
        </w:rPr>
        <w:t xml:space="preserve">ثانی در مورد این که </w:t>
      </w:r>
      <w:r w:rsidR="00DD07E3">
        <w:rPr>
          <w:rFonts w:hint="cs"/>
          <w:rtl/>
        </w:rPr>
        <w:t xml:space="preserve">آیا قبل از رجوع زن در بذل، مرد می تواند با خواهر زن ازدواج کند، فرمود: از صحیحه‌ی ابی بصیر استفاده می شود که </w:t>
      </w:r>
      <w:r w:rsidR="007B33E8">
        <w:rPr>
          <w:rFonts w:hint="cs"/>
          <w:rtl/>
        </w:rPr>
        <w:t>مرد می تواند ازدواج کند.</w:t>
      </w:r>
    </w:p>
    <w:p w:rsidR="007B33E8" w:rsidRPr="001A27D7" w:rsidRDefault="007B33E8" w:rsidP="00A864EE">
      <w:pPr>
        <w:jc w:val="both"/>
        <w:rPr>
          <w:rtl/>
        </w:rPr>
      </w:pPr>
      <w:r>
        <w:rPr>
          <w:rFonts w:hint="cs"/>
          <w:rtl/>
        </w:rPr>
        <w:t>حال به بحث سندی این روایت می پردازیم و همچنین به روایات دیگری که دال بر همین مطلب هستند، اشاره می کنیم.</w:t>
      </w:r>
    </w:p>
    <w:p w:rsidR="001A1EA5" w:rsidRDefault="007B33E8" w:rsidP="007B33E8">
      <w:pPr>
        <w:pStyle w:val="Heading1"/>
        <w:rPr>
          <w:rtl/>
        </w:rPr>
      </w:pPr>
      <w:bookmarkStart w:id="1" w:name="_Toc74041584"/>
      <w:bookmarkStart w:id="2" w:name="_Toc74043813"/>
      <w:r>
        <w:rPr>
          <w:rFonts w:hint="cs"/>
          <w:rtl/>
        </w:rPr>
        <w:t>صحیحه‌ی ابی بصیر</w:t>
      </w:r>
      <w:bookmarkEnd w:id="1"/>
      <w:bookmarkEnd w:id="2"/>
    </w:p>
    <w:p w:rsidR="007B33E8" w:rsidRPr="007B33E8" w:rsidRDefault="007B33E8" w:rsidP="007B33E8">
      <w:pPr>
        <w:jc w:val="both"/>
        <w:rPr>
          <w:color w:val="008000"/>
          <w:rtl/>
        </w:rPr>
      </w:pPr>
      <w:r w:rsidRPr="007B33E8">
        <w:rPr>
          <w:rFonts w:hint="cs"/>
          <w:rtl/>
        </w:rPr>
        <w:t>مُحَمَّدُ بْنُ يَحْيَى عَنْ أَحْمَدَ بْنِ مُحَمَّدٍ عَنِ ابْنِ مَحْبُوبٍ عَنِ ابْنِ رِئَابٍ عَنْ أَبِي بَصِيرٍ</w:t>
      </w:r>
      <w:r>
        <w:rPr>
          <w:rFonts w:hint="cs"/>
          <w:rtl/>
        </w:rPr>
        <w:t xml:space="preserve"> </w:t>
      </w:r>
      <w:r w:rsidRPr="007B33E8">
        <w:rPr>
          <w:rFonts w:hint="cs"/>
          <w:rtl/>
        </w:rPr>
        <w:t xml:space="preserve">عَنْ أَبِي عَبْدِ اللَّهِ ع قَالَ: </w:t>
      </w:r>
      <w:r w:rsidRPr="007B33E8">
        <w:rPr>
          <w:rFonts w:hint="cs"/>
          <w:color w:val="008000"/>
          <w:rtl/>
        </w:rPr>
        <w:t>سَأَلْتُهُ عَنْ رَجُلٍ اخْتَلَعَتْ مِنْهُ امْرَأَتُهُ أَ يَحِلُّ لَهُ أَنْ يَخْطُبَ أُخْتَهَا مِنْ قَبْلِ أَنْ تَنْقَضِيَ عِدَّةُ الْمُخْتَلِعَةِ قَالَ نَعَمْ قَدْ بَرِئَتْ عِصْمَتُهَا مِنْهُ وَ لَيْسَ لَهُ عَلَيْهَا رَجْعَة</w:t>
      </w:r>
      <w:r w:rsidRPr="007B33E8">
        <w:rPr>
          <w:rStyle w:val="FootnoteReference"/>
          <w:color w:val="008000"/>
          <w:rtl/>
        </w:rPr>
        <w:footnoteReference w:id="1"/>
      </w:r>
    </w:p>
    <w:p w:rsidR="00EA4870" w:rsidRDefault="005E60B6" w:rsidP="001300B0">
      <w:pPr>
        <w:jc w:val="both"/>
        <w:rPr>
          <w:rtl/>
        </w:rPr>
      </w:pPr>
      <w:r>
        <w:rPr>
          <w:rFonts w:hint="cs"/>
          <w:rtl/>
        </w:rPr>
        <w:t>شهید ثانی معمولاً روایات ابو</w:t>
      </w:r>
      <w:r w:rsidR="002A190C">
        <w:rPr>
          <w:rFonts w:hint="cs"/>
          <w:rtl/>
        </w:rPr>
        <w:t xml:space="preserve"> </w:t>
      </w:r>
      <w:r>
        <w:rPr>
          <w:rFonts w:hint="cs"/>
          <w:rtl/>
        </w:rPr>
        <w:t xml:space="preserve">بصیر </w:t>
      </w:r>
      <w:r w:rsidR="002A190C">
        <w:rPr>
          <w:rFonts w:hint="cs"/>
          <w:rtl/>
        </w:rPr>
        <w:t>را</w:t>
      </w:r>
      <w:r>
        <w:rPr>
          <w:rFonts w:hint="cs"/>
          <w:rtl/>
        </w:rPr>
        <w:t xml:space="preserve"> صحیحه تعبیر نمی‌کند. این امر ناشی از این است که به نظر قدما دو ابو</w:t>
      </w:r>
      <w:r w:rsidR="001300B0">
        <w:rPr>
          <w:rFonts w:hint="cs"/>
          <w:rtl/>
        </w:rPr>
        <w:t xml:space="preserve"> </w:t>
      </w:r>
      <w:r>
        <w:rPr>
          <w:rFonts w:hint="cs"/>
          <w:rtl/>
        </w:rPr>
        <w:t>بصیر داریم: ابو</w:t>
      </w:r>
      <w:r w:rsidR="001300B0">
        <w:rPr>
          <w:rFonts w:hint="cs"/>
          <w:rtl/>
        </w:rPr>
        <w:t xml:space="preserve"> </w:t>
      </w:r>
      <w:r>
        <w:rPr>
          <w:rFonts w:hint="cs"/>
          <w:rtl/>
        </w:rPr>
        <w:t>بصیر لیث مرادی که ثقه است و ابو</w:t>
      </w:r>
      <w:r w:rsidR="001300B0">
        <w:rPr>
          <w:rFonts w:hint="cs"/>
          <w:rtl/>
        </w:rPr>
        <w:t xml:space="preserve"> </w:t>
      </w:r>
      <w:r>
        <w:rPr>
          <w:rFonts w:hint="cs"/>
          <w:rtl/>
        </w:rPr>
        <w:t>بصیر یحیی الاسدی که واقفی است. ابو بصیری که علی بن رئاب از او نقل می‌کند، لیث مرادی است</w:t>
      </w:r>
      <w:r w:rsidR="001300B0">
        <w:rPr>
          <w:rFonts w:hint="cs"/>
          <w:rtl/>
        </w:rPr>
        <w:t xml:space="preserve"> که ثقه می باشد</w:t>
      </w:r>
      <w:r>
        <w:rPr>
          <w:rFonts w:hint="cs"/>
          <w:rtl/>
        </w:rPr>
        <w:t>. به همین دلیل است که صاحب وسائل در وسائل مکرر بعد از تعبیر علی بن رئاب عن ابی</w:t>
      </w:r>
      <w:r w:rsidR="00EA4870">
        <w:rPr>
          <w:rFonts w:hint="cs"/>
          <w:rtl/>
        </w:rPr>
        <w:t xml:space="preserve"> </w:t>
      </w:r>
      <w:r>
        <w:rPr>
          <w:rFonts w:hint="cs"/>
          <w:rtl/>
        </w:rPr>
        <w:t>‌بصیر اضافه می‌کند: یعنی المرادی یا یع</w:t>
      </w:r>
      <w:r w:rsidR="00EA4870">
        <w:rPr>
          <w:rFonts w:hint="cs"/>
          <w:rtl/>
        </w:rPr>
        <w:t>نی لیث المرادی و تعبیرات مشابه.</w:t>
      </w:r>
    </w:p>
    <w:p w:rsidR="00D41445" w:rsidRDefault="00EA4870" w:rsidP="008047E6">
      <w:pPr>
        <w:jc w:val="both"/>
        <w:rPr>
          <w:rtl/>
        </w:rPr>
      </w:pPr>
      <w:r>
        <w:rPr>
          <w:rFonts w:hint="cs"/>
          <w:rtl/>
        </w:rPr>
        <w:t xml:space="preserve">مرحوم </w:t>
      </w:r>
      <w:r w:rsidR="005E60B6">
        <w:rPr>
          <w:rFonts w:hint="cs"/>
          <w:rtl/>
        </w:rPr>
        <w:t xml:space="preserve">سید مهدی خوانساری در رساله‌ای که به رساله‌ی عدیمة النظیر معروف شده است، بحث‌های خوبی کرده </w:t>
      </w:r>
      <w:r w:rsidR="00B47E32">
        <w:rPr>
          <w:rFonts w:hint="cs"/>
          <w:rtl/>
        </w:rPr>
        <w:t xml:space="preserve">است </w:t>
      </w:r>
      <w:r w:rsidR="005E60B6">
        <w:rPr>
          <w:rFonts w:hint="cs"/>
          <w:rtl/>
        </w:rPr>
        <w:t>و نهایتاً به این نتیجه رسیده است که ابو</w:t>
      </w:r>
      <w:r w:rsidR="00BB560D">
        <w:rPr>
          <w:rFonts w:hint="cs"/>
          <w:rtl/>
        </w:rPr>
        <w:t xml:space="preserve"> </w:t>
      </w:r>
      <w:r w:rsidR="005E60B6">
        <w:rPr>
          <w:rFonts w:hint="cs"/>
          <w:rtl/>
        </w:rPr>
        <w:t>بصیر حتی در روا</w:t>
      </w:r>
      <w:r w:rsidR="00D41445">
        <w:rPr>
          <w:rFonts w:hint="cs"/>
          <w:rtl/>
        </w:rPr>
        <w:t xml:space="preserve">یت ابن رئاب </w:t>
      </w:r>
      <w:r w:rsidR="008047E6">
        <w:rPr>
          <w:rFonts w:hint="cs"/>
          <w:rtl/>
        </w:rPr>
        <w:t>نیز</w:t>
      </w:r>
      <w:r w:rsidR="00D41445">
        <w:rPr>
          <w:rFonts w:hint="cs"/>
          <w:rtl/>
        </w:rPr>
        <w:t xml:space="preserve"> یحیی الاسدی است.</w:t>
      </w:r>
      <w:r w:rsidR="00CD3650">
        <w:rPr>
          <w:rFonts w:hint="cs"/>
          <w:rtl/>
        </w:rPr>
        <w:t xml:space="preserve"> فقط در مورد عبدالکریم بن عتبه</w:t>
      </w:r>
      <w:r w:rsidR="00D4197A">
        <w:rPr>
          <w:rFonts w:hint="cs"/>
          <w:rtl/>
        </w:rPr>
        <w:t xml:space="preserve"> می فرماید: ابی بصیری که از عبدالکریم ب</w:t>
      </w:r>
      <w:r w:rsidR="00072412">
        <w:rPr>
          <w:rFonts w:hint="cs"/>
          <w:rtl/>
        </w:rPr>
        <w:t xml:space="preserve">ن عتبه نقل می کند، ابی بصیر </w:t>
      </w:r>
      <w:r w:rsidR="00FA31CA">
        <w:rPr>
          <w:rFonts w:hint="cs"/>
          <w:rtl/>
        </w:rPr>
        <w:t>لیث مرادی است</w:t>
      </w:r>
      <w:r w:rsidR="0048014C">
        <w:rPr>
          <w:rFonts w:hint="cs"/>
          <w:rtl/>
        </w:rPr>
        <w:t>. در سایر موارد مراد از ابی بصیر، یحیی اسدی است.</w:t>
      </w:r>
      <w:r w:rsidR="00910919">
        <w:rPr>
          <w:rFonts w:hint="cs"/>
          <w:rtl/>
        </w:rPr>
        <w:t xml:space="preserve"> ما هم با قرائن دیگری به این نتیجه رسیده ایم.</w:t>
      </w:r>
    </w:p>
    <w:p w:rsidR="00A864EE" w:rsidRDefault="005E60B6" w:rsidP="003D5C39">
      <w:pPr>
        <w:jc w:val="both"/>
        <w:rPr>
          <w:rtl/>
        </w:rPr>
      </w:pPr>
      <w:r>
        <w:rPr>
          <w:rFonts w:hint="cs"/>
          <w:rtl/>
        </w:rPr>
        <w:lastRenderedPageBreak/>
        <w:t>نکته‌ی دیگر این است که ابو</w:t>
      </w:r>
      <w:r w:rsidR="00BB560D">
        <w:rPr>
          <w:rFonts w:hint="cs"/>
          <w:rtl/>
        </w:rPr>
        <w:t xml:space="preserve"> </w:t>
      </w:r>
      <w:r>
        <w:rPr>
          <w:rFonts w:hint="cs"/>
          <w:rtl/>
        </w:rPr>
        <w:t>بصیر یحیی الاسدی از ابو</w:t>
      </w:r>
      <w:r w:rsidR="00B14F17">
        <w:rPr>
          <w:rFonts w:hint="cs"/>
          <w:rtl/>
        </w:rPr>
        <w:t xml:space="preserve"> </w:t>
      </w:r>
      <w:r>
        <w:rPr>
          <w:rFonts w:hint="cs"/>
          <w:rtl/>
        </w:rPr>
        <w:t>بصیر لیث المرادی اصح است. اسدی از اصحاب اجماع است و واقفی دانستن او اشتباه است</w:t>
      </w:r>
      <w:r w:rsidR="00EE22F9">
        <w:rPr>
          <w:rStyle w:val="FootnoteReference"/>
          <w:rtl/>
        </w:rPr>
        <w:footnoteReference w:id="2"/>
      </w:r>
      <w:r w:rsidR="00013D38">
        <w:rPr>
          <w:rFonts w:hint="cs"/>
          <w:rtl/>
        </w:rPr>
        <w:t>،</w:t>
      </w:r>
      <w:r>
        <w:rPr>
          <w:rFonts w:hint="cs"/>
          <w:rtl/>
        </w:rPr>
        <w:t xml:space="preserve"> </w:t>
      </w:r>
      <w:r w:rsidR="00013D38">
        <w:rPr>
          <w:rFonts w:hint="cs"/>
          <w:rtl/>
        </w:rPr>
        <w:t>ا</w:t>
      </w:r>
      <w:r>
        <w:rPr>
          <w:rFonts w:hint="cs"/>
          <w:rtl/>
        </w:rPr>
        <w:t>و اصلاً زمان وقف را درک نکرده است و</w:t>
      </w:r>
      <w:r w:rsidR="00DD5F08">
        <w:rPr>
          <w:rFonts w:hint="cs"/>
          <w:rtl/>
        </w:rPr>
        <w:t xml:space="preserve"> حدودا</w:t>
      </w:r>
      <w:r w:rsidR="003D5C39">
        <w:rPr>
          <w:rFonts w:hint="cs"/>
          <w:rtl/>
        </w:rPr>
        <w:t xml:space="preserve"> 30 سال قبل از وقف</w:t>
      </w:r>
      <w:r>
        <w:rPr>
          <w:rFonts w:hint="cs"/>
          <w:rtl/>
        </w:rPr>
        <w:t xml:space="preserve"> از دنیا رفته است</w:t>
      </w:r>
      <w:r w:rsidR="003D5C39">
        <w:rPr>
          <w:rFonts w:hint="cs"/>
          <w:rtl/>
        </w:rPr>
        <w:t xml:space="preserve"> ( متوفای 150 ق، شروع وقف حدود 180 ق)</w:t>
      </w:r>
      <w:r>
        <w:rPr>
          <w:rFonts w:hint="cs"/>
          <w:rtl/>
        </w:rPr>
        <w:t>.</w:t>
      </w:r>
    </w:p>
    <w:p w:rsidR="007B33E8" w:rsidRDefault="004B573B" w:rsidP="004B573B">
      <w:pPr>
        <w:pStyle w:val="Heading1"/>
        <w:rPr>
          <w:rtl/>
        </w:rPr>
      </w:pPr>
      <w:bookmarkStart w:id="3" w:name="_Toc74041585"/>
      <w:bookmarkStart w:id="4" w:name="_Toc74043814"/>
      <w:r>
        <w:rPr>
          <w:rFonts w:hint="cs"/>
          <w:rtl/>
        </w:rPr>
        <w:t>سایر روایات جواز ازدواج خامسه یا خواهر زن در عده‌ی طلاق خلع</w:t>
      </w:r>
      <w:bookmarkEnd w:id="3"/>
      <w:bookmarkEnd w:id="4"/>
    </w:p>
    <w:p w:rsidR="004B573B" w:rsidRDefault="009C1739" w:rsidP="009C1739">
      <w:pPr>
        <w:pStyle w:val="Heading2"/>
        <w:rPr>
          <w:rtl/>
        </w:rPr>
      </w:pPr>
      <w:bookmarkStart w:id="5" w:name="_Toc74041586"/>
      <w:bookmarkStart w:id="6" w:name="_Toc74043815"/>
      <w:r>
        <w:rPr>
          <w:rFonts w:hint="cs"/>
          <w:rtl/>
        </w:rPr>
        <w:t>روایت اول</w:t>
      </w:r>
      <w:bookmarkEnd w:id="5"/>
      <w:bookmarkEnd w:id="6"/>
    </w:p>
    <w:p w:rsidR="00A864EE" w:rsidRPr="00A864EE" w:rsidRDefault="00A864EE" w:rsidP="00A864EE">
      <w:pPr>
        <w:jc w:val="both"/>
        <w:rPr>
          <w:color w:val="008000"/>
          <w:rtl/>
        </w:rPr>
      </w:pPr>
      <w:r w:rsidRPr="00A864EE">
        <w:rPr>
          <w:rFonts w:hint="cs"/>
          <w:rtl/>
        </w:rPr>
        <w:t xml:space="preserve">أَحْمَدُ بْنُ مُحَمَّدٍ عَنْ جَمِيلِ بْنِ دَرَّاجٍ‏ عَنْ مُحَمَّدِ بْنِ مُسْلِمٍ عَنْ أَبِي جَعْفَرٍ ع قَالَ: </w:t>
      </w:r>
      <w:r w:rsidRPr="00A864EE">
        <w:rPr>
          <w:rFonts w:hint="cs"/>
          <w:color w:val="008000"/>
          <w:rtl/>
        </w:rPr>
        <w:t>إِذَا اخْتَلَعَتِ‏ الْمَرْأَةُ مِنْ زَوْجِهَا فَلَا بَأْسَ أَنْ يَتَزَوَّجَ أُخْتَهَا وَ هِيَ فِي الْعِدَّةِ</w:t>
      </w:r>
      <w:r>
        <w:rPr>
          <w:rStyle w:val="FootnoteReference"/>
          <w:color w:val="008000"/>
          <w:rtl/>
        </w:rPr>
        <w:footnoteReference w:id="3"/>
      </w:r>
    </w:p>
    <w:p w:rsidR="00A864EE" w:rsidRDefault="006F5F3E" w:rsidP="00A864EE">
      <w:pPr>
        <w:jc w:val="both"/>
        <w:rPr>
          <w:rtl/>
        </w:rPr>
      </w:pPr>
      <w:r>
        <w:rPr>
          <w:rFonts w:hint="cs"/>
          <w:rtl/>
        </w:rPr>
        <w:t>احمد بن محمدی که حسین بن سعید</w:t>
      </w:r>
      <w:r w:rsidR="00023542">
        <w:rPr>
          <w:rStyle w:val="FootnoteReference"/>
          <w:rtl/>
        </w:rPr>
        <w:footnoteReference w:id="4"/>
      </w:r>
      <w:r>
        <w:rPr>
          <w:rFonts w:hint="cs"/>
          <w:rtl/>
        </w:rPr>
        <w:t xml:space="preserve"> از او نقل می کند، احمد بن محمد بن ابی نصر بزنطی است.</w:t>
      </w:r>
    </w:p>
    <w:p w:rsidR="006F5F3E" w:rsidRDefault="009C1739" w:rsidP="009C1739">
      <w:pPr>
        <w:pStyle w:val="Heading2"/>
        <w:rPr>
          <w:rtl/>
        </w:rPr>
      </w:pPr>
      <w:bookmarkStart w:id="7" w:name="_Toc74041587"/>
      <w:bookmarkStart w:id="8" w:name="_Toc74043816"/>
      <w:r>
        <w:rPr>
          <w:rFonts w:hint="cs"/>
          <w:rtl/>
        </w:rPr>
        <w:t>روایت دوم</w:t>
      </w:r>
      <w:bookmarkEnd w:id="7"/>
      <w:bookmarkEnd w:id="8"/>
    </w:p>
    <w:p w:rsidR="00A864EE" w:rsidRPr="00A864EE" w:rsidRDefault="00A864EE" w:rsidP="00A864EE">
      <w:pPr>
        <w:jc w:val="both"/>
        <w:rPr>
          <w:color w:val="008000"/>
          <w:rtl/>
        </w:rPr>
      </w:pPr>
      <w:r w:rsidRPr="00A864EE">
        <w:rPr>
          <w:rFonts w:hint="cs"/>
          <w:rtl/>
        </w:rPr>
        <w:t xml:space="preserve">أَحْمَدُ بْنُ مُحَمَّدٍ عَنِ الْمُثَنَّى عَنْ زُرَارَةَ وَ عَبْدِ الْكَرِيمِ عَنْ أَبِي بَصِيرٍ وَ الْمُفَضَّلِ بْنِ صَالِحٍ عَنْ أَبِي أُسَامَةَ جَمِيعاً عَنْ أَبِي عَبْدِ اللَّهِ ع قَالَ: </w:t>
      </w:r>
      <w:r w:rsidRPr="00A864EE">
        <w:rPr>
          <w:rFonts w:hint="cs"/>
          <w:color w:val="008000"/>
          <w:rtl/>
        </w:rPr>
        <w:t>الْمُخْتَلِعَةُ إِذَا اخْتَلَعَتْ مِنْ زَوْجِهَا وَ لَمْ يَكُنْ لَهُ عَلَيْهَا رَجْعَةٌ حَلَّ لَهُ أَنْ يَتَزَوَّجَ أُخْتَهَا فِي عِدَّتِهَا</w:t>
      </w:r>
      <w:r>
        <w:rPr>
          <w:rStyle w:val="FootnoteReference"/>
          <w:color w:val="008000"/>
          <w:rtl/>
        </w:rPr>
        <w:footnoteReference w:id="5"/>
      </w:r>
    </w:p>
    <w:p w:rsidR="009C1739" w:rsidRDefault="009C1739" w:rsidP="009C1739">
      <w:pPr>
        <w:jc w:val="both"/>
        <w:rPr>
          <w:rtl/>
        </w:rPr>
      </w:pPr>
      <w:r>
        <w:rPr>
          <w:rFonts w:hint="cs"/>
          <w:rtl/>
        </w:rPr>
        <w:t>در سند این روایت تحویل رخ داده است و در واقع سه سند می باشد:</w:t>
      </w:r>
    </w:p>
    <w:p w:rsidR="009C1739" w:rsidRDefault="009C1739" w:rsidP="009C1739">
      <w:pPr>
        <w:pStyle w:val="ListParagraph"/>
        <w:numPr>
          <w:ilvl w:val="0"/>
          <w:numId w:val="16"/>
        </w:numPr>
        <w:jc w:val="both"/>
        <w:rPr>
          <w:rtl/>
        </w:rPr>
      </w:pPr>
      <w:r w:rsidRPr="009C1739">
        <w:rPr>
          <w:rFonts w:hint="cs"/>
          <w:rtl/>
        </w:rPr>
        <w:t>«</w:t>
      </w:r>
      <w:r w:rsidRPr="009C1739">
        <w:rPr>
          <w:rtl/>
        </w:rPr>
        <w:t>أَحْمَدُ بْنُ مُحَمَّدٍ [بن اب</w:t>
      </w:r>
      <w:r w:rsidRPr="009C1739">
        <w:rPr>
          <w:rFonts w:hint="cs"/>
          <w:rtl/>
        </w:rPr>
        <w:t>ی</w:t>
      </w:r>
      <w:r w:rsidRPr="009C1739">
        <w:rPr>
          <w:rtl/>
        </w:rPr>
        <w:t xml:space="preserve"> نصر البزنط</w:t>
      </w:r>
      <w:r w:rsidRPr="009C1739">
        <w:rPr>
          <w:rFonts w:hint="cs"/>
          <w:rtl/>
        </w:rPr>
        <w:t>ی</w:t>
      </w:r>
      <w:r w:rsidRPr="009C1739">
        <w:rPr>
          <w:rtl/>
        </w:rPr>
        <w:t>] عَنِ الْمُثَنَّى عَنْ زُرَارَةَ عَنْ أَبِي عَبْدِ اللَّهِ ع</w:t>
      </w:r>
      <w:r w:rsidRPr="009C1739">
        <w:rPr>
          <w:rFonts w:hint="cs"/>
          <w:rtl/>
        </w:rPr>
        <w:t>...</w:t>
      </w:r>
      <w:r>
        <w:rPr>
          <w:rFonts w:hint="cs"/>
          <w:rtl/>
        </w:rPr>
        <w:t>»</w:t>
      </w:r>
    </w:p>
    <w:p w:rsidR="009C1739" w:rsidRPr="009C1739" w:rsidRDefault="009C1739" w:rsidP="009C1739">
      <w:pPr>
        <w:jc w:val="both"/>
        <w:rPr>
          <w:rtl/>
        </w:rPr>
      </w:pPr>
      <w:r w:rsidRPr="009C1739">
        <w:rPr>
          <w:rFonts w:hint="cs"/>
          <w:rtl/>
        </w:rPr>
        <w:t>این سند بی‌تردید صحیحه است.</w:t>
      </w:r>
      <w:r w:rsidR="00BA2A8A">
        <w:rPr>
          <w:rFonts w:hint="cs"/>
          <w:rtl/>
        </w:rPr>
        <w:t xml:space="preserve"> مراد از المثنی، المثنی بن الولید الحناط است که ثقه می باشد.</w:t>
      </w:r>
    </w:p>
    <w:p w:rsidR="009C1739" w:rsidRDefault="009C1739" w:rsidP="009C1739">
      <w:pPr>
        <w:pStyle w:val="ListParagraph"/>
        <w:numPr>
          <w:ilvl w:val="0"/>
          <w:numId w:val="16"/>
        </w:numPr>
        <w:jc w:val="both"/>
        <w:rPr>
          <w:rtl/>
        </w:rPr>
      </w:pPr>
      <w:r w:rsidRPr="009C1739">
        <w:rPr>
          <w:rFonts w:hint="cs"/>
          <w:rtl/>
        </w:rPr>
        <w:t>«</w:t>
      </w:r>
      <w:r w:rsidRPr="009C1739">
        <w:rPr>
          <w:rtl/>
        </w:rPr>
        <w:t>أَحْمَدُ بْنُ مُحَمَّدٍ [بن اب</w:t>
      </w:r>
      <w:r w:rsidRPr="009C1739">
        <w:rPr>
          <w:rFonts w:hint="cs"/>
          <w:rtl/>
        </w:rPr>
        <w:t>ی</w:t>
      </w:r>
      <w:r w:rsidRPr="009C1739">
        <w:rPr>
          <w:rtl/>
        </w:rPr>
        <w:t xml:space="preserve"> نصر البزنط</w:t>
      </w:r>
      <w:r w:rsidRPr="009C1739">
        <w:rPr>
          <w:rFonts w:hint="cs"/>
          <w:rtl/>
        </w:rPr>
        <w:t>ی</w:t>
      </w:r>
      <w:r w:rsidRPr="009C1739">
        <w:rPr>
          <w:rtl/>
        </w:rPr>
        <w:t xml:space="preserve">] </w:t>
      </w:r>
      <w:r>
        <w:rPr>
          <w:rFonts w:hint="cs"/>
          <w:rtl/>
        </w:rPr>
        <w:t xml:space="preserve">عن </w:t>
      </w:r>
      <w:r w:rsidRPr="009C1739">
        <w:rPr>
          <w:rtl/>
        </w:rPr>
        <w:t>عَبْدِ الْكَرِيمِ عَنْ أَبِي بَصِيرٍ عَنْ أَبِي عَبْدِ اللَّهِ ع</w:t>
      </w:r>
      <w:r w:rsidRPr="009C1739">
        <w:rPr>
          <w:rFonts w:hint="cs"/>
          <w:rtl/>
        </w:rPr>
        <w:t>...</w:t>
      </w:r>
      <w:r>
        <w:rPr>
          <w:rFonts w:hint="cs"/>
          <w:rtl/>
        </w:rPr>
        <w:t>»</w:t>
      </w:r>
    </w:p>
    <w:p w:rsidR="009C1739" w:rsidRPr="009C1739" w:rsidRDefault="009C1739" w:rsidP="00E27BD7">
      <w:pPr>
        <w:jc w:val="both"/>
      </w:pPr>
      <w:r w:rsidRPr="009C1739">
        <w:rPr>
          <w:rFonts w:hint="cs"/>
          <w:rtl/>
        </w:rPr>
        <w:t>مراد از عبدالکریم، عبدالکریم بن عمرو الخثعمی است که از واقفه است لکن به نظر ما روایات از واقفه که در کتب ماست قبل از وقفشان از آنها اخذ شده است. اما چون بزنطی خودش زمانی واقفی بوده</w:t>
      </w:r>
      <w:r w:rsidR="00C57839">
        <w:rPr>
          <w:rFonts w:hint="cs"/>
          <w:rtl/>
        </w:rPr>
        <w:t xml:space="preserve"> است</w:t>
      </w:r>
      <w:r w:rsidRPr="009C1739">
        <w:rPr>
          <w:rFonts w:hint="cs"/>
          <w:rtl/>
        </w:rPr>
        <w:t>، این احتمال وجود دارد که در دوران وقف از عبدالکریم اخذ حدیث کرده باشد؛ لذا این روایت را نمی‌توان صحیحه دانست و به خاطر این که عبدالکریم توثیق صریح دارد، ‌روایت در حکم موثقه است.</w:t>
      </w:r>
    </w:p>
    <w:p w:rsidR="009C1739" w:rsidRDefault="009C1739" w:rsidP="009C1739">
      <w:pPr>
        <w:pStyle w:val="ListParagraph"/>
        <w:numPr>
          <w:ilvl w:val="0"/>
          <w:numId w:val="16"/>
        </w:numPr>
        <w:jc w:val="both"/>
        <w:rPr>
          <w:rtl/>
        </w:rPr>
      </w:pPr>
      <w:r w:rsidRPr="009C1739">
        <w:rPr>
          <w:rFonts w:hint="cs"/>
          <w:rtl/>
        </w:rPr>
        <w:lastRenderedPageBreak/>
        <w:t>«</w:t>
      </w:r>
      <w:r w:rsidRPr="009C1739">
        <w:rPr>
          <w:rtl/>
        </w:rPr>
        <w:t>أَحْمَدُ بْنُ مُحَمَّدٍ [بن اب</w:t>
      </w:r>
      <w:r w:rsidRPr="009C1739">
        <w:rPr>
          <w:rFonts w:hint="cs"/>
          <w:rtl/>
        </w:rPr>
        <w:t>ی</w:t>
      </w:r>
      <w:r w:rsidRPr="009C1739">
        <w:rPr>
          <w:rtl/>
        </w:rPr>
        <w:t xml:space="preserve"> نصر البزنط</w:t>
      </w:r>
      <w:r w:rsidRPr="009C1739">
        <w:rPr>
          <w:rFonts w:hint="cs"/>
          <w:rtl/>
        </w:rPr>
        <w:t>ی</w:t>
      </w:r>
      <w:r w:rsidRPr="009C1739">
        <w:rPr>
          <w:rtl/>
        </w:rPr>
        <w:t>]</w:t>
      </w:r>
      <w:r w:rsidR="0065799F">
        <w:rPr>
          <w:rFonts w:hint="cs"/>
          <w:rtl/>
        </w:rPr>
        <w:t xml:space="preserve"> عن</w:t>
      </w:r>
      <w:r w:rsidRPr="009C1739">
        <w:rPr>
          <w:rtl/>
        </w:rPr>
        <w:t xml:space="preserve"> الْمُفَضَّلِ بْنِ صَالِحٍ عَنْ أَبِي أُسَامَةَ عَنْ أَبِي عَبْدِ اللَّهِ ع</w:t>
      </w:r>
      <w:r w:rsidRPr="009C1739">
        <w:rPr>
          <w:rFonts w:hint="cs"/>
          <w:rtl/>
        </w:rPr>
        <w:t>...</w:t>
      </w:r>
      <w:r>
        <w:rPr>
          <w:rFonts w:hint="cs"/>
          <w:rtl/>
        </w:rPr>
        <w:t>»</w:t>
      </w:r>
    </w:p>
    <w:p w:rsidR="009C1739" w:rsidRPr="009C1739" w:rsidRDefault="009C1739" w:rsidP="004B6283">
      <w:pPr>
        <w:jc w:val="both"/>
      </w:pPr>
      <w:r w:rsidRPr="009C1739">
        <w:rPr>
          <w:rFonts w:hint="cs"/>
          <w:rtl/>
        </w:rPr>
        <w:t>مفضل بن صالح را ما ثقه می‌دانیم هر چند برخی او را ثقه نمی دانند. ابی اسامه هم زید الش</w:t>
      </w:r>
      <w:r w:rsidR="004B6283">
        <w:rPr>
          <w:rFonts w:hint="cs"/>
          <w:rtl/>
        </w:rPr>
        <w:t>حام است که در وثاقتش بحثی نیست.</w:t>
      </w:r>
    </w:p>
    <w:p w:rsidR="00A864EE" w:rsidRDefault="0059026E" w:rsidP="0059026E">
      <w:pPr>
        <w:pStyle w:val="Heading2"/>
        <w:rPr>
          <w:rtl/>
        </w:rPr>
      </w:pPr>
      <w:bookmarkStart w:id="9" w:name="_Toc74041588"/>
      <w:bookmarkStart w:id="10" w:name="_Toc74043817"/>
      <w:r>
        <w:rPr>
          <w:rFonts w:hint="cs"/>
          <w:rtl/>
        </w:rPr>
        <w:t>روایت سوم</w:t>
      </w:r>
      <w:bookmarkEnd w:id="9"/>
      <w:bookmarkEnd w:id="10"/>
    </w:p>
    <w:p w:rsidR="000F6B28" w:rsidRPr="000F6B28" w:rsidRDefault="000F6B28" w:rsidP="000F6B28">
      <w:pPr>
        <w:jc w:val="both"/>
        <w:rPr>
          <w:color w:val="008000"/>
        </w:rPr>
      </w:pPr>
      <w:r w:rsidRPr="000F6B28">
        <w:rPr>
          <w:rFonts w:hint="cs"/>
          <w:rtl/>
        </w:rPr>
        <w:t xml:space="preserve">عَلِيُّ بْنُ إِبْرَاهِيمَ عَنْ أَبِيهِ عَنِ ابْنِ أَبِي عُمَيْرٍ عَنْ حَمَّادٍ عَنِ الْحَلَبِيِ‏ عَنْ أَبِي عَبْدِ اللَّهِ ع‏ </w:t>
      </w:r>
      <w:r w:rsidRPr="000F6B28">
        <w:rPr>
          <w:rFonts w:hint="cs"/>
          <w:color w:val="008000"/>
          <w:rtl/>
        </w:rPr>
        <w:t>فِي رَجُلٍ طَلَّقَ امْرَأَتَهُ أَوِ اخْتَلَعَتْ‏ أَوْ بَانَتْ أَ لَهُ أَنْ يَتَزَوَّجَ بِأُخْتِهَا قَالَ فَقَالَ إِذَا بَرِئَتْ عِصْمَتُهَا وَ لَمْ يَكُنْ لَهُ عَلَيْهَا رَجْعَةٌ فَلَهُ أَنْ يَخْطُبَ أُخْتَهَا</w:t>
      </w:r>
      <w:r>
        <w:rPr>
          <w:rFonts w:hint="cs"/>
          <w:color w:val="008000"/>
          <w:rtl/>
        </w:rPr>
        <w:t xml:space="preserve"> ...</w:t>
      </w:r>
      <w:r>
        <w:rPr>
          <w:rStyle w:val="FootnoteReference"/>
          <w:color w:val="008000"/>
          <w:rtl/>
        </w:rPr>
        <w:footnoteReference w:id="6"/>
      </w:r>
    </w:p>
    <w:p w:rsidR="00A864EE" w:rsidRDefault="004C0739" w:rsidP="00A94303">
      <w:pPr>
        <w:jc w:val="both"/>
        <w:rPr>
          <w:rtl/>
        </w:rPr>
      </w:pPr>
      <w:r>
        <w:rPr>
          <w:rFonts w:hint="cs"/>
          <w:rtl/>
        </w:rPr>
        <w:t>ابراهیم بن هاشم از نظر ما ثقه است</w:t>
      </w:r>
      <w:r w:rsidR="00A94303">
        <w:rPr>
          <w:rFonts w:hint="cs"/>
          <w:rtl/>
        </w:rPr>
        <w:t>؛ در نتیجه این روایت صحیحه است.</w:t>
      </w:r>
    </w:p>
    <w:p w:rsidR="00A94303" w:rsidRDefault="00A94303" w:rsidP="00A94303">
      <w:pPr>
        <w:jc w:val="both"/>
        <w:rPr>
          <w:rtl/>
        </w:rPr>
      </w:pPr>
      <w:r>
        <w:rPr>
          <w:rFonts w:hint="cs"/>
          <w:rtl/>
        </w:rPr>
        <w:t>مراد از حماد، حماد بن عثمان است.</w:t>
      </w:r>
    </w:p>
    <w:p w:rsidR="001B208E" w:rsidRDefault="001B208E" w:rsidP="00A94303">
      <w:pPr>
        <w:jc w:val="both"/>
        <w:rPr>
          <w:rtl/>
        </w:rPr>
      </w:pPr>
      <w:r>
        <w:rPr>
          <w:rFonts w:hint="cs"/>
          <w:rtl/>
        </w:rPr>
        <w:t xml:space="preserve">شهید </w:t>
      </w:r>
      <w:r w:rsidR="00C57839">
        <w:rPr>
          <w:rFonts w:hint="cs"/>
          <w:rtl/>
        </w:rPr>
        <w:t>ثانی در روایت ابو بصیر فرمود</w:t>
      </w:r>
      <w:r>
        <w:rPr>
          <w:rFonts w:hint="cs"/>
          <w:rtl/>
        </w:rPr>
        <w:t xml:space="preserve"> که خطبه به معنای خواستگاری است و خطبه با ازدواج ملازمه ای ندارد؛ اما ظاهرا مراد جواز تزویج است. م</w:t>
      </w:r>
      <w:r w:rsidR="00BD571C">
        <w:rPr>
          <w:rFonts w:hint="cs"/>
          <w:rtl/>
        </w:rPr>
        <w:t>ا گفتیم خطبه مقدمه‌ی تزویج است و</w:t>
      </w:r>
      <w:r>
        <w:rPr>
          <w:rFonts w:hint="cs"/>
          <w:rtl/>
        </w:rPr>
        <w:t xml:space="preserve"> جواز خطبه بیان گر جواز تزویج است.</w:t>
      </w:r>
    </w:p>
    <w:p w:rsidR="0059026E" w:rsidRPr="0059026E" w:rsidRDefault="0059026E" w:rsidP="001B208E">
      <w:pPr>
        <w:jc w:val="both"/>
      </w:pPr>
      <w:r w:rsidRPr="0059026E">
        <w:rPr>
          <w:rFonts w:hint="cs"/>
          <w:rtl/>
        </w:rPr>
        <w:t>در این روایت سؤال از ازدواج با اخت بوده است اما امام به جو</w:t>
      </w:r>
      <w:r w:rsidR="001B208E">
        <w:rPr>
          <w:rFonts w:hint="cs"/>
          <w:rtl/>
        </w:rPr>
        <w:t>از خطبه پاسخ داده است؛</w:t>
      </w:r>
      <w:r w:rsidRPr="0059026E">
        <w:rPr>
          <w:rFonts w:hint="cs"/>
          <w:rtl/>
        </w:rPr>
        <w:t xml:space="preserve"> ‌یعنی می‌تواند خواستگاری نماید و تا آخر کار پیش برود. البته چون در روایات دیگر ازدواج صریحاً ‌بیان شده است، نیازی به این بحث نیست.</w:t>
      </w:r>
    </w:p>
    <w:p w:rsidR="00A864EE" w:rsidRDefault="0066022B" w:rsidP="0066022B">
      <w:pPr>
        <w:pStyle w:val="Heading2"/>
        <w:rPr>
          <w:rtl/>
        </w:rPr>
      </w:pPr>
      <w:bookmarkStart w:id="11" w:name="_Toc74041589"/>
      <w:bookmarkStart w:id="12" w:name="_Toc74043818"/>
      <w:r>
        <w:rPr>
          <w:rFonts w:hint="cs"/>
          <w:rtl/>
        </w:rPr>
        <w:t>روایت چهارم</w:t>
      </w:r>
      <w:bookmarkEnd w:id="11"/>
      <w:bookmarkEnd w:id="12"/>
    </w:p>
    <w:p w:rsidR="00E075B0" w:rsidRPr="00E075B0" w:rsidRDefault="00E075B0" w:rsidP="00E075B0">
      <w:pPr>
        <w:jc w:val="both"/>
        <w:rPr>
          <w:color w:val="008000"/>
          <w:rtl/>
        </w:rPr>
      </w:pPr>
      <w:r w:rsidRPr="00E075B0">
        <w:rPr>
          <w:rFonts w:hint="cs"/>
          <w:rtl/>
        </w:rPr>
        <w:t>مُحَمَّدُ بْنُ يَحْيَى عَنْ أَحْمَدَ بْنِ مُحَمَّدِ بْنِ عِيسَى عَنْ مُحَمَّدِ بْنِ إِسْمَاعِيلَ بْنِ بَزِيعٍ عَنْ مُحَمَّدِ</w:t>
      </w:r>
      <w:r>
        <w:rPr>
          <w:rFonts w:hint="cs"/>
          <w:rtl/>
        </w:rPr>
        <w:t xml:space="preserve"> </w:t>
      </w:r>
      <w:r w:rsidRPr="00E075B0">
        <w:rPr>
          <w:rFonts w:hint="cs"/>
          <w:rtl/>
        </w:rPr>
        <w:t xml:space="preserve">بْنِ الْفُضَيْلِ عَنْ أَبِي الصَّبَّاحِ الْكِنَانِيِّ عَنْ أَبِي عَبْدِ اللَّهِ ع قَالَ: </w:t>
      </w:r>
      <w:r w:rsidRPr="00E075B0">
        <w:rPr>
          <w:rFonts w:hint="cs"/>
          <w:color w:val="008000"/>
          <w:rtl/>
        </w:rPr>
        <w:t>سَأَلْتُهُ عَنْ رَجُلٍ اخْتَلَعَتْ مِنْهُ امْرَأَتُهُ أَ يَحِلُّ لَهُ أَنْ يَخْطُبَ أُخْتَهَا قَبْلَ أَنْ تَنْقَضِيَ عِدَّتُهَا فَقَالَ إِذَا بَرِئَتْ عِصْمَتُهَا وَ لَمْ يَكُنْ لَهُ رَجْعَةٌ فَقَدْ حَلَّ لَهُ أَنْ يَخْطُبَ أُخْتَهَا</w:t>
      </w:r>
      <w:r w:rsidRPr="00E075B0">
        <w:rPr>
          <w:rStyle w:val="FootnoteReference"/>
          <w:color w:val="008000"/>
          <w:rtl/>
        </w:rPr>
        <w:footnoteReference w:id="7"/>
      </w:r>
    </w:p>
    <w:p w:rsidR="00725B6E" w:rsidRPr="00725B6E" w:rsidRDefault="00725B6E" w:rsidP="00725B6E">
      <w:pPr>
        <w:jc w:val="both"/>
      </w:pPr>
      <w:r w:rsidRPr="00725B6E">
        <w:rPr>
          <w:rFonts w:hint="cs"/>
          <w:rtl/>
        </w:rPr>
        <w:t xml:space="preserve">ما محمد بن الفضیل را در سند تصحیح می‌کنیم پس سند صحیحه است. </w:t>
      </w:r>
    </w:p>
    <w:p w:rsidR="008613D9" w:rsidRDefault="00725B6E" w:rsidP="008613D9">
      <w:pPr>
        <w:jc w:val="both"/>
        <w:rPr>
          <w:rtl/>
        </w:rPr>
      </w:pPr>
      <w:r w:rsidRPr="00725B6E">
        <w:rPr>
          <w:rFonts w:hint="cs"/>
          <w:rtl/>
        </w:rPr>
        <w:t>در این که قبل از رجوع زن در بذل، مرد می‌تواند با خواهر آن زن ازدواج نماید؛ اشکالی نیست و ازدواج با خامسه هم همین حکم را دارد</w:t>
      </w:r>
      <w:r w:rsidR="008613D9">
        <w:rPr>
          <w:rFonts w:hint="cs"/>
          <w:rtl/>
        </w:rPr>
        <w:t xml:space="preserve"> زیرا نکته‌ی هر دو بحث یکی است.</w:t>
      </w:r>
    </w:p>
    <w:p w:rsidR="00725B6E" w:rsidRPr="00725B6E" w:rsidRDefault="00725B6E" w:rsidP="008613D9">
      <w:pPr>
        <w:jc w:val="both"/>
        <w:rPr>
          <w:rtl/>
        </w:rPr>
      </w:pPr>
      <w:r w:rsidRPr="00725B6E">
        <w:rPr>
          <w:rFonts w:hint="cs"/>
          <w:rtl/>
        </w:rPr>
        <w:lastRenderedPageBreak/>
        <w:t xml:space="preserve">صاحب جواهر </w:t>
      </w:r>
      <w:r w:rsidR="008613D9">
        <w:rPr>
          <w:rFonts w:hint="cs"/>
          <w:rtl/>
        </w:rPr>
        <w:t>فرموده بود</w:t>
      </w:r>
      <w:r w:rsidRPr="00725B6E">
        <w:rPr>
          <w:rFonts w:hint="cs"/>
          <w:rtl/>
        </w:rPr>
        <w:t xml:space="preserve"> که بعد از این که با خواهر زن سابقش ازدواج کرد، حق رجوع به مختلعه را ندارد؛ لذا زن هم نمی‌تواند در بذل رجوع نماید. </w:t>
      </w:r>
    </w:p>
    <w:p w:rsidR="008058FB" w:rsidRDefault="00BE6F75" w:rsidP="008058FB">
      <w:pPr>
        <w:jc w:val="both"/>
        <w:rPr>
          <w:rtl/>
        </w:rPr>
      </w:pPr>
      <w:r>
        <w:rPr>
          <w:rFonts w:hint="cs"/>
          <w:rtl/>
        </w:rPr>
        <w:t>یک احتمال این بود</w:t>
      </w:r>
      <w:r w:rsidR="005D1515">
        <w:rPr>
          <w:rFonts w:hint="cs"/>
          <w:rtl/>
        </w:rPr>
        <w:t xml:space="preserve"> که زن می‌تواند رجوع کند؛</w:t>
      </w:r>
      <w:r w:rsidR="00725B6E" w:rsidRPr="00725B6E">
        <w:rPr>
          <w:rFonts w:hint="cs"/>
          <w:rtl/>
        </w:rPr>
        <w:t xml:space="preserve"> </w:t>
      </w:r>
      <w:r w:rsidR="005D1515">
        <w:rPr>
          <w:rFonts w:hint="cs"/>
          <w:rtl/>
        </w:rPr>
        <w:t>زیرا مانع از طرف مرد بوده است که ازدواج کرده است</w:t>
      </w:r>
      <w:r w:rsidR="00725B6E" w:rsidRPr="00725B6E">
        <w:rPr>
          <w:rFonts w:hint="cs"/>
          <w:rtl/>
        </w:rPr>
        <w:t>. صاحب جواهر در پاسخ</w:t>
      </w:r>
      <w:r w:rsidR="00C943AA">
        <w:rPr>
          <w:rFonts w:hint="cs"/>
          <w:rtl/>
        </w:rPr>
        <w:t xml:space="preserve"> می‌فرماید:</w:t>
      </w:r>
      <w:r w:rsidR="00725B6E" w:rsidRPr="00725B6E">
        <w:rPr>
          <w:rFonts w:hint="cs"/>
          <w:rtl/>
        </w:rPr>
        <w:t xml:space="preserve"> دلیلی نداریم که زن بتواند رجوع نماید. دلیل رجوع زن همان سه روایتی</w:t>
      </w:r>
      <w:r w:rsidR="00427C18">
        <w:rPr>
          <w:rStyle w:val="FootnoteReference"/>
          <w:rtl/>
        </w:rPr>
        <w:footnoteReference w:id="8"/>
      </w:r>
      <w:r w:rsidR="00725B6E" w:rsidRPr="00725B6E">
        <w:rPr>
          <w:rFonts w:hint="cs"/>
          <w:rtl/>
        </w:rPr>
        <w:t xml:space="preserve"> بود که شامل این فرضی که مرد نمی‌تواند بعد از رجوع زن رجوع نماید، نمی‌شدند. آن سه روایت موردی</w:t>
      </w:r>
      <w:r w:rsidR="000B6E14">
        <w:rPr>
          <w:rStyle w:val="FootnoteReference"/>
          <w:rtl/>
        </w:rPr>
        <w:footnoteReference w:id="9"/>
      </w:r>
      <w:r w:rsidR="00725B6E" w:rsidRPr="00725B6E">
        <w:rPr>
          <w:rFonts w:hint="cs"/>
          <w:rtl/>
        </w:rPr>
        <w:t xml:space="preserve"> را برای رجوع زن ثابت می‌کردند و در موارد دیگر دلی</w:t>
      </w:r>
      <w:r w:rsidR="001C6D94">
        <w:rPr>
          <w:rFonts w:hint="cs"/>
          <w:rtl/>
        </w:rPr>
        <w:t>لی نداریم که زن بتواند رجوع کند</w:t>
      </w:r>
      <w:r w:rsidR="00725B6E" w:rsidRPr="00725B6E">
        <w:rPr>
          <w:rFonts w:hint="cs"/>
          <w:rtl/>
        </w:rPr>
        <w:t xml:space="preserve"> (از جمله همین موضوع ما)‌</w:t>
      </w:r>
      <w:r w:rsidR="001C6D94">
        <w:rPr>
          <w:rFonts w:hint="cs"/>
          <w:rtl/>
        </w:rPr>
        <w:t>.</w:t>
      </w:r>
      <w:r w:rsidR="001C3373">
        <w:rPr>
          <w:rFonts w:hint="cs"/>
          <w:rtl/>
        </w:rPr>
        <w:t xml:space="preserve"> گویا صاحب جواهر می‌خواه</w:t>
      </w:r>
      <w:r w:rsidR="008058FB">
        <w:rPr>
          <w:rFonts w:hint="cs"/>
          <w:rtl/>
        </w:rPr>
        <w:t>د به اصل تمسک کن</w:t>
      </w:r>
      <w:r w:rsidR="00725B6E" w:rsidRPr="00725B6E">
        <w:rPr>
          <w:rFonts w:hint="cs"/>
          <w:rtl/>
        </w:rPr>
        <w:t>د.</w:t>
      </w:r>
    </w:p>
    <w:p w:rsidR="00725B6E" w:rsidRDefault="00725B6E" w:rsidP="00B91B5E">
      <w:pPr>
        <w:jc w:val="both"/>
        <w:rPr>
          <w:rtl/>
        </w:rPr>
      </w:pPr>
      <w:r w:rsidRPr="00725B6E">
        <w:rPr>
          <w:rFonts w:hint="cs"/>
          <w:rtl/>
        </w:rPr>
        <w:t>این که اصل اولی این باشد که زن نمی‌تواند در بذل</w:t>
      </w:r>
      <w:r w:rsidR="008058FB">
        <w:rPr>
          <w:rFonts w:hint="cs"/>
          <w:rtl/>
        </w:rPr>
        <w:t xml:space="preserve"> رجوع نماید، نیاز به توضیح دارد.</w:t>
      </w:r>
      <w:r w:rsidRPr="00725B6E">
        <w:rPr>
          <w:rFonts w:hint="cs"/>
          <w:rtl/>
        </w:rPr>
        <w:t xml:space="preserve"> این که زن بذل می‌کند، شبیه نوعی از معاوضه است و در برخی از روایات (مثل همین روایت ابی العباس) از آن به صلح تعبیر شده است. در واقع زن می‌خواهد بگوید که من از مهر خودم می‌گذرم در مقابل این که مرد او را طلاق خلع دهد که طلاقی بائن است. اگر بائن بودن طلاق به قوت خود باقی باشد (که معنایش این است که مرد نتواند به زن رجوع نماید) معاوضه هنوز سرجای خودش باقی است و این که یک ن</w:t>
      </w:r>
      <w:r w:rsidR="00885A65">
        <w:rPr>
          <w:rFonts w:hint="cs"/>
          <w:rtl/>
        </w:rPr>
        <w:t xml:space="preserve">فر بتواند سهم خود را </w:t>
      </w:r>
      <w:r w:rsidRPr="00725B6E">
        <w:rPr>
          <w:rFonts w:hint="cs"/>
          <w:rtl/>
        </w:rPr>
        <w:t>پس</w:t>
      </w:r>
      <w:r w:rsidR="00885A65">
        <w:rPr>
          <w:rFonts w:hint="cs"/>
          <w:rtl/>
        </w:rPr>
        <w:t xml:space="preserve"> </w:t>
      </w:r>
      <w:r w:rsidRPr="00725B6E">
        <w:rPr>
          <w:rFonts w:hint="cs"/>
          <w:rtl/>
        </w:rPr>
        <w:t xml:space="preserve">‌گیرد و دیگری حق خود در آن معامله را از دست بدهد، خلاف قاعده است. این بحث ربطی به این که اصل در عقود لزوم است، ندارد. </w:t>
      </w:r>
      <w:r w:rsidR="00A5207C">
        <w:rPr>
          <w:rFonts w:hint="cs"/>
          <w:rtl/>
        </w:rPr>
        <w:t xml:space="preserve">حتی </w:t>
      </w:r>
      <w:r w:rsidRPr="00725B6E">
        <w:rPr>
          <w:rFonts w:hint="cs"/>
          <w:rtl/>
        </w:rPr>
        <w:t>اگر اصل در عقود جواز باشد، باز اینجا زن علی القاعده حق رجوع به بذل را ندارد؛ زیرا اگر اصل در عقود جواز هم باشد به این معناست که طرفین می‌توانند عقد را به هم بزنند و عوض و معوض به جای سابق برگردند در حالی که در این فرض یکی از عوضی</w:t>
      </w:r>
      <w:r w:rsidR="00B91B5E">
        <w:rPr>
          <w:rFonts w:hint="cs"/>
          <w:rtl/>
        </w:rPr>
        <w:t>ن از بین رفته است و برنمی‌گردد.</w:t>
      </w:r>
    </w:p>
    <w:p w:rsidR="00B91B5E" w:rsidRDefault="00B91B5E" w:rsidP="00B91B5E">
      <w:pPr>
        <w:jc w:val="both"/>
        <w:rPr>
          <w:rtl/>
        </w:rPr>
      </w:pPr>
      <w:r w:rsidRPr="00B91B5E">
        <w:rPr>
          <w:rFonts w:hint="cs"/>
          <w:rtl/>
        </w:rPr>
        <w:t>می‌توان به این اشکال این طور پاسخ داد که مرد می‌تواند زن جدیدش را طلاق دهد و حق خود در معاوضه</w:t>
      </w:r>
      <w:r w:rsidR="00AB1E5F">
        <w:rPr>
          <w:rFonts w:hint="cs"/>
          <w:rtl/>
        </w:rPr>
        <w:t>‌ی</w:t>
      </w:r>
      <w:r w:rsidRPr="00B91B5E">
        <w:rPr>
          <w:rFonts w:hint="cs"/>
          <w:rtl/>
        </w:rPr>
        <w:t xml:space="preserve"> خلع (ح</w:t>
      </w:r>
      <w:r w:rsidR="0038269F">
        <w:rPr>
          <w:rFonts w:hint="cs"/>
          <w:rtl/>
        </w:rPr>
        <w:t>ق رجوع به زن سابق) را احیا کند؛ یعنی رجوع بالفعل ندارد؛ اما رجوع بالواسطه دارد.</w:t>
      </w:r>
      <w:r w:rsidR="00555DCD">
        <w:rPr>
          <w:rFonts w:hint="cs"/>
          <w:rtl/>
        </w:rPr>
        <w:t xml:space="preserve"> همین حق رجوع بالواسطه موجب می شود که رجوع زن صحیح باشد.</w:t>
      </w:r>
    </w:p>
    <w:p w:rsidR="00C90020" w:rsidRPr="00B91B5E" w:rsidRDefault="00C90020" w:rsidP="00B234EB">
      <w:pPr>
        <w:jc w:val="both"/>
        <w:rPr>
          <w:rtl/>
        </w:rPr>
      </w:pPr>
      <w:r>
        <w:rPr>
          <w:rFonts w:hint="cs"/>
          <w:rtl/>
        </w:rPr>
        <w:t xml:space="preserve">با این تصویر باید اصالة الزوم در معاملات را در نظر بگیریم. در واقع </w:t>
      </w:r>
      <w:r w:rsidR="003637C3">
        <w:rPr>
          <w:rFonts w:hint="cs"/>
          <w:rtl/>
        </w:rPr>
        <w:t>معامله ای بین زن و شوهر انجام شده است</w:t>
      </w:r>
      <w:r w:rsidR="00B234EB">
        <w:rPr>
          <w:rFonts w:hint="cs"/>
          <w:rtl/>
        </w:rPr>
        <w:t xml:space="preserve"> و صلح کرده اند. حق رجوع مرد با حق مالکیت زن نسبت به مهر مصالحه شده است. دلیل نداریم که زن بتواند رجوع کند</w:t>
      </w:r>
      <w:r w:rsidR="00DA745F">
        <w:rPr>
          <w:rFonts w:hint="cs"/>
          <w:rtl/>
        </w:rPr>
        <w:t>.</w:t>
      </w:r>
    </w:p>
    <w:p w:rsidR="00725B6E" w:rsidRDefault="007020E0" w:rsidP="002B212E">
      <w:pPr>
        <w:jc w:val="both"/>
        <w:rPr>
          <w:rtl/>
        </w:rPr>
      </w:pPr>
      <w:r>
        <w:rPr>
          <w:rFonts w:hint="cs"/>
          <w:rtl/>
        </w:rPr>
        <w:t>البته</w:t>
      </w:r>
      <w:r w:rsidR="00973BB0">
        <w:rPr>
          <w:rFonts w:hint="cs"/>
          <w:rtl/>
        </w:rPr>
        <w:t xml:space="preserve"> گر چه</w:t>
      </w:r>
      <w:r w:rsidR="00B91B5E" w:rsidRPr="00B91B5E">
        <w:rPr>
          <w:rFonts w:hint="cs"/>
          <w:rtl/>
        </w:rPr>
        <w:t xml:space="preserve"> عقلاً چنین امکانی برای مرد وجود دارد، اما عرف نمی‌پذیرد که این همان حقی از مرد است که در معاوضه وجود داشته است. آن حق مرد این بود که بتواند بالفعل -هر وقت اراده کرد- به همسر سابقش برگردد</w:t>
      </w:r>
      <w:r w:rsidR="002B212E">
        <w:rPr>
          <w:rFonts w:hint="cs"/>
          <w:rtl/>
        </w:rPr>
        <w:t>؛</w:t>
      </w:r>
      <w:r w:rsidR="00B91B5E" w:rsidRPr="00B91B5E">
        <w:rPr>
          <w:rFonts w:hint="cs"/>
          <w:rtl/>
        </w:rPr>
        <w:t xml:space="preserve"> </w:t>
      </w:r>
      <w:r w:rsidR="002B212E">
        <w:rPr>
          <w:rFonts w:hint="cs"/>
          <w:rtl/>
        </w:rPr>
        <w:t>اما</w:t>
      </w:r>
      <w:r w:rsidR="00B91B5E" w:rsidRPr="00B91B5E">
        <w:rPr>
          <w:rFonts w:hint="cs"/>
          <w:rtl/>
        </w:rPr>
        <w:t xml:space="preserve"> </w:t>
      </w:r>
      <w:r w:rsidR="002B212E">
        <w:rPr>
          <w:rFonts w:hint="cs"/>
          <w:rtl/>
        </w:rPr>
        <w:t>اکنون</w:t>
      </w:r>
      <w:r w:rsidR="00B91B5E" w:rsidRPr="00B91B5E">
        <w:rPr>
          <w:rFonts w:hint="cs"/>
          <w:rtl/>
        </w:rPr>
        <w:t xml:space="preserve"> باید صبر کند تا </w:t>
      </w:r>
      <w:r w:rsidR="00B91B5E" w:rsidRPr="00B91B5E">
        <w:rPr>
          <w:rFonts w:hint="cs"/>
          <w:rtl/>
        </w:rPr>
        <w:lastRenderedPageBreak/>
        <w:t xml:space="preserve">بتواند زن جدید را طلاق دهد تا حق از دست رفته‌اش احیا شود. </w:t>
      </w:r>
      <w:r w:rsidR="00DA745F">
        <w:rPr>
          <w:rFonts w:hint="cs"/>
          <w:rtl/>
        </w:rPr>
        <w:t>ظاهر دلیل این است که وقتی زن از بذل مال رجوع می کند، در همان زمان حق مرد نیز به او برسد.</w:t>
      </w:r>
      <w:r w:rsidR="00E32356">
        <w:rPr>
          <w:rFonts w:hint="cs"/>
          <w:rtl/>
        </w:rPr>
        <w:t xml:space="preserve"> در نتیجه نیازی نیست به اصالة الزوم تمسک کنیم</w:t>
      </w:r>
      <w:r w:rsidR="0034708B">
        <w:rPr>
          <w:rFonts w:hint="cs"/>
          <w:rtl/>
        </w:rPr>
        <w:t>.</w:t>
      </w:r>
    </w:p>
    <w:p w:rsidR="00725B6E" w:rsidRDefault="00561A64" w:rsidP="00561A64">
      <w:pPr>
        <w:pStyle w:val="Heading1"/>
        <w:rPr>
          <w:rtl/>
        </w:rPr>
      </w:pPr>
      <w:bookmarkStart w:id="13" w:name="_Toc74041590"/>
      <w:bookmarkStart w:id="14" w:name="_Toc74043819"/>
      <w:r>
        <w:rPr>
          <w:rFonts w:hint="cs"/>
          <w:rtl/>
        </w:rPr>
        <w:t>کلام سید یزدی</w:t>
      </w:r>
      <w:bookmarkEnd w:id="13"/>
      <w:bookmarkEnd w:id="14"/>
    </w:p>
    <w:p w:rsidR="00927D37" w:rsidRPr="00927D37" w:rsidRDefault="00927D37" w:rsidP="00927D37">
      <w:pPr>
        <w:jc w:val="both"/>
        <w:rPr>
          <w:color w:val="0000FF"/>
          <w:rtl/>
        </w:rPr>
      </w:pPr>
      <w:r w:rsidRPr="00927D37">
        <w:rPr>
          <w:rFonts w:hint="cs"/>
          <w:color w:val="0000FF"/>
          <w:rtl/>
        </w:rPr>
        <w:t>و إذا كان الطلاق بائنا ثمّ صار رجعيا كما في الخلع إذا رجعت في البذل هل يلحقها حكم الرجعي من التوارث و استحقاق النفقة و عدم جواز نكاح أختها الظاهر نعم</w:t>
      </w:r>
      <w:r w:rsidR="00282720">
        <w:rPr>
          <w:rStyle w:val="FootnoteReference"/>
          <w:color w:val="0000FF"/>
          <w:rtl/>
        </w:rPr>
        <w:footnoteReference w:id="10"/>
      </w:r>
      <w:r w:rsidRPr="00927D37">
        <w:rPr>
          <w:rFonts w:hint="cs"/>
          <w:color w:val="0000FF"/>
          <w:rtl/>
        </w:rPr>
        <w:t>، و إن استشكل فيه بعضهم لاستصحاب بقاء حكم البائن و إذا أسقط الزوج حق رجوعه في الطلاق الرجعي بناء على كونه حقا قابلا للإسقاط ففي لحوق حكم البائن به إشكال، و إن كان لا يبعد ذلك لصدق كونه طلاقا لا رجوع فيه، بخلاف ما إذا شرطت عليه أن لا يرجع في ضمن عقد لازم فإنّه لا يصدق عليه البائن، و كذا إذا نذر أن لا يرجع في طلاقه، و امّا لو صالح‌ عن حق رجوعه بكذا فحكمه حكم إسقاط حق الرجوع</w:t>
      </w:r>
      <w:r>
        <w:rPr>
          <w:rFonts w:hint="cs"/>
          <w:color w:val="0000FF"/>
          <w:rtl/>
        </w:rPr>
        <w:t xml:space="preserve"> </w:t>
      </w:r>
      <w:r w:rsidRPr="00927D37">
        <w:rPr>
          <w:rFonts w:hint="cs"/>
          <w:color w:val="0000FF"/>
          <w:rtl/>
        </w:rPr>
        <w:t>و إذا شك في انّ الطلاق كان رجعيا أو بائنا فالأصل هو الأول لأنّ الأصل عدم وقوع الطلاق الثالث و كذا الأصل عدم وقوع الخلع فتأمل، لأنّهما من الأصول المثبتة، و في الحقيقة يرجع الشك إلى انّ هذا الواقع ثان أو ثالث أو خلع أو غيره: و أصالة عدم وقوع الثالث لا تثبت انّه ثان، كما انّ أصالة عدم وقوع الخلع لا تثبت وقوع غيره بل هي معارضة بأصالة عدم وقوع غير الخلع، نعم أصالة عدم وقوع الثالث تنفع في عدم الحاجة إلى المحلل كما انّ أصالة عدم وقوع الخلع تنفع في عدم ترتب آثاره الخاصة، نعم يمكن ان يقال مقتضى عموم قوله تعالى وَ بُعُولَتُهُنَّ أَحَقُّ بِرَدِّهِنَّ جواز الرد إلّا ما أخرجه الدليل، كما إذا كان ثالثا أو خلعا فليس الرجوع معلقا على كونه ثانيا أو غير خلع بل عدم جواز الرجوع معلق على عنوان خاص و يكون الأصل عدمه.</w:t>
      </w:r>
      <w:r w:rsidRPr="00927D37">
        <w:rPr>
          <w:rStyle w:val="FootnoteReference"/>
          <w:color w:val="0000FF"/>
          <w:rtl/>
        </w:rPr>
        <w:footnoteReference w:id="11"/>
      </w:r>
    </w:p>
    <w:p w:rsidR="00A864EE" w:rsidRDefault="00013E26" w:rsidP="00A864EE">
      <w:pPr>
        <w:jc w:val="both"/>
        <w:rPr>
          <w:rtl/>
        </w:rPr>
      </w:pPr>
      <w:r>
        <w:rPr>
          <w:rFonts w:hint="cs"/>
          <w:rtl/>
        </w:rPr>
        <w:t>می فرماید:</w:t>
      </w:r>
      <w:r w:rsidRPr="00013E26">
        <w:rPr>
          <w:rFonts w:hint="cs"/>
          <w:color w:val="0000FF"/>
          <w:rtl/>
        </w:rPr>
        <w:t xml:space="preserve"> </w:t>
      </w:r>
      <w:r w:rsidRPr="00927D37">
        <w:rPr>
          <w:rFonts w:hint="cs"/>
          <w:color w:val="0000FF"/>
          <w:rtl/>
        </w:rPr>
        <w:t>و إذا أسقط الزوج حق رجوعه في الطلاق الرجعي بناء على كونه حقا قابلا للإسقاط ففي لحوق حكم البائن به إشكال، و إن كان لا يبعد ذلك لصدق كونه طلاقا لا رجوع فيه</w:t>
      </w:r>
    </w:p>
    <w:p w:rsidR="00013E26" w:rsidRDefault="00013E26" w:rsidP="00426004">
      <w:pPr>
        <w:jc w:val="both"/>
        <w:rPr>
          <w:rtl/>
        </w:rPr>
      </w:pPr>
      <w:r>
        <w:rPr>
          <w:rFonts w:hint="cs"/>
          <w:rtl/>
        </w:rPr>
        <w:t>به نظر می رسد همین که مرد حق رجوع نداشته باشد</w:t>
      </w:r>
      <w:r w:rsidR="00A041CF">
        <w:rPr>
          <w:rFonts w:hint="cs"/>
          <w:rtl/>
        </w:rPr>
        <w:t xml:space="preserve"> به معنای «برئت عصمتها منه» باشد؛ عصمت و ارتباط بین زن و شوهر</w:t>
      </w:r>
      <w:r w:rsidR="009F552D">
        <w:rPr>
          <w:rFonts w:hint="cs"/>
          <w:rtl/>
        </w:rPr>
        <w:t xml:space="preserve"> از این جا ناشی شده است که مرد حق رجوع دارد.</w:t>
      </w:r>
      <w:r w:rsidR="005827FA">
        <w:rPr>
          <w:rFonts w:hint="cs"/>
          <w:rtl/>
        </w:rPr>
        <w:t xml:space="preserve"> همین موثر بودن رجوع است که منشا وجود علقه و ارتباطی بین زن و مرد می شود.</w:t>
      </w:r>
      <w:r w:rsidR="005F58FF">
        <w:rPr>
          <w:rFonts w:hint="cs"/>
          <w:rtl/>
        </w:rPr>
        <w:t xml:space="preserve"> اما وقتی مرد حق رجوع نداشته باشد</w:t>
      </w:r>
      <w:r w:rsidR="00426004">
        <w:rPr>
          <w:rFonts w:hint="cs"/>
          <w:rtl/>
        </w:rPr>
        <w:t>، عصمت مرتفع شده است. به نظر می رسد در جایی که حق رجوع، گر چه به واسطه‌ی فعل مرد ساقط شده باشد، «برئت عصمتها منه» صدق می کند.</w:t>
      </w:r>
    </w:p>
    <w:p w:rsidR="00426004" w:rsidRDefault="002A6A1F" w:rsidP="002A6A1F">
      <w:pPr>
        <w:jc w:val="both"/>
        <w:rPr>
          <w:rtl/>
        </w:rPr>
      </w:pPr>
      <w:r w:rsidRPr="00927D37">
        <w:rPr>
          <w:rFonts w:hint="cs"/>
          <w:color w:val="0000FF"/>
          <w:rtl/>
        </w:rPr>
        <w:lastRenderedPageBreak/>
        <w:t>بخلاف ما إذا شرطت عليه أن لا يرجع في ضمن عقد لازم فإنّه لا يصدق عليه البائن، و كذا إذا نذر أن لا يرجع في طلاقه، و امّا لو صالح‌ عن حق رجوعه بكذا فحكمه حكم إسقاط حق الرجوع</w:t>
      </w:r>
    </w:p>
    <w:p w:rsidR="00013E26" w:rsidRPr="00013E26" w:rsidRDefault="00F268AC" w:rsidP="00F268AC">
      <w:pPr>
        <w:jc w:val="both"/>
        <w:rPr>
          <w:rtl/>
        </w:rPr>
      </w:pPr>
      <w:r>
        <w:rPr>
          <w:rFonts w:hint="cs"/>
          <w:rtl/>
        </w:rPr>
        <w:t xml:space="preserve">مرحوم سید </w:t>
      </w:r>
      <w:r w:rsidR="00013E26" w:rsidRPr="00013E26">
        <w:rPr>
          <w:rFonts w:hint="cs"/>
          <w:rtl/>
        </w:rPr>
        <w:t>چهار صورت را تصویر کرده است و در دو صورت حک</w:t>
      </w:r>
      <w:r w:rsidR="009B2DC1">
        <w:rPr>
          <w:rFonts w:hint="cs"/>
          <w:rtl/>
        </w:rPr>
        <w:t>م بائن را می‌پذیرد و در دو صورت نمی‌پذیر</w:t>
      </w:r>
      <w:r w:rsidR="00013E26" w:rsidRPr="00013E26">
        <w:rPr>
          <w:rFonts w:hint="cs"/>
          <w:rtl/>
        </w:rPr>
        <w:t>د:</w:t>
      </w:r>
    </w:p>
    <w:p w:rsidR="00013E26" w:rsidRPr="00013E26" w:rsidRDefault="002A6A1F" w:rsidP="002A6A1F">
      <w:pPr>
        <w:pStyle w:val="ListParagraph"/>
        <w:numPr>
          <w:ilvl w:val="0"/>
          <w:numId w:val="18"/>
        </w:numPr>
        <w:jc w:val="both"/>
      </w:pPr>
      <w:r>
        <w:rPr>
          <w:rFonts w:hint="cs"/>
          <w:rtl/>
        </w:rPr>
        <w:t>مرد حق رجوع خود را اسقاط نماید،</w:t>
      </w:r>
      <w:r w:rsidR="00013E26" w:rsidRPr="00013E26">
        <w:rPr>
          <w:rFonts w:hint="cs"/>
          <w:rtl/>
        </w:rPr>
        <w:t xml:space="preserve"> به بائن ملحق می‌شود.</w:t>
      </w:r>
    </w:p>
    <w:p w:rsidR="00013E26" w:rsidRPr="00013E26" w:rsidRDefault="002A6A1F" w:rsidP="002A6A1F">
      <w:pPr>
        <w:pStyle w:val="ListParagraph"/>
        <w:numPr>
          <w:ilvl w:val="0"/>
          <w:numId w:val="18"/>
        </w:numPr>
        <w:jc w:val="both"/>
      </w:pPr>
      <w:r>
        <w:rPr>
          <w:rFonts w:hint="cs"/>
          <w:rtl/>
        </w:rPr>
        <w:t>مرد حق رجوع خود را مصالحه نماید،</w:t>
      </w:r>
      <w:r w:rsidR="00013E26" w:rsidRPr="00013E26">
        <w:rPr>
          <w:rFonts w:hint="cs"/>
          <w:rtl/>
        </w:rPr>
        <w:t xml:space="preserve"> به بائن ملحق می‌شود. </w:t>
      </w:r>
    </w:p>
    <w:p w:rsidR="00013E26" w:rsidRPr="00013E26" w:rsidRDefault="00013E26" w:rsidP="00E1631F">
      <w:pPr>
        <w:pStyle w:val="ListParagraph"/>
        <w:numPr>
          <w:ilvl w:val="0"/>
          <w:numId w:val="18"/>
        </w:numPr>
        <w:jc w:val="both"/>
      </w:pPr>
      <w:r w:rsidRPr="00013E26">
        <w:rPr>
          <w:rFonts w:hint="cs"/>
          <w:rtl/>
        </w:rPr>
        <w:t>در ضمن عقد لازم</w:t>
      </w:r>
      <w:r w:rsidR="00E1631F">
        <w:rPr>
          <w:rFonts w:hint="cs"/>
          <w:rtl/>
        </w:rPr>
        <w:t xml:space="preserve"> زن</w:t>
      </w:r>
      <w:r w:rsidRPr="00013E26">
        <w:rPr>
          <w:rFonts w:hint="cs"/>
          <w:rtl/>
        </w:rPr>
        <w:t xml:space="preserve"> شرط نماید که </w:t>
      </w:r>
      <w:r w:rsidR="00E1631F">
        <w:rPr>
          <w:rFonts w:hint="cs"/>
          <w:rtl/>
        </w:rPr>
        <w:t>مرد رجوع نکند،</w:t>
      </w:r>
      <w:r w:rsidRPr="00013E26">
        <w:rPr>
          <w:rFonts w:hint="cs"/>
          <w:rtl/>
        </w:rPr>
        <w:t xml:space="preserve"> چنین طلاقی بائن نمی‌شود.</w:t>
      </w:r>
    </w:p>
    <w:p w:rsidR="00013E26" w:rsidRPr="00013E26" w:rsidRDefault="00E1631F" w:rsidP="00D17A84">
      <w:pPr>
        <w:pStyle w:val="ListParagraph"/>
        <w:numPr>
          <w:ilvl w:val="0"/>
          <w:numId w:val="18"/>
        </w:numPr>
        <w:jc w:val="both"/>
      </w:pPr>
      <w:r>
        <w:rPr>
          <w:rFonts w:hint="cs"/>
          <w:rtl/>
        </w:rPr>
        <w:t>مرد نذر کند که در طلاقش برنگردد،</w:t>
      </w:r>
      <w:r w:rsidR="00013E26" w:rsidRPr="00013E26">
        <w:rPr>
          <w:rFonts w:hint="cs"/>
          <w:rtl/>
        </w:rPr>
        <w:t xml:space="preserve"> </w:t>
      </w:r>
      <w:r>
        <w:rPr>
          <w:rFonts w:hint="cs"/>
          <w:rtl/>
        </w:rPr>
        <w:t>این طلاق نیز</w:t>
      </w:r>
      <w:r w:rsidR="00013E26" w:rsidRPr="00013E26">
        <w:rPr>
          <w:rFonts w:hint="cs"/>
          <w:rtl/>
        </w:rPr>
        <w:t xml:space="preserve"> بائن نمی‌شود.</w:t>
      </w:r>
    </w:p>
    <w:p w:rsidR="00013E26" w:rsidRPr="00013E26" w:rsidRDefault="00013E26" w:rsidP="00810C14">
      <w:pPr>
        <w:jc w:val="both"/>
        <w:rPr>
          <w:rtl/>
        </w:rPr>
      </w:pPr>
      <w:r w:rsidRPr="00013E26">
        <w:rPr>
          <w:rFonts w:hint="cs"/>
          <w:rtl/>
        </w:rPr>
        <w:t xml:space="preserve">فرق این دو صورت با </w:t>
      </w:r>
      <w:r w:rsidR="00E82CC0">
        <w:rPr>
          <w:rFonts w:hint="cs"/>
          <w:rtl/>
        </w:rPr>
        <w:t>دو صورت قبلی</w:t>
      </w:r>
      <w:r w:rsidRPr="00013E26">
        <w:rPr>
          <w:rFonts w:hint="cs"/>
          <w:rtl/>
        </w:rPr>
        <w:t xml:space="preserve"> این است که در </w:t>
      </w:r>
      <w:r w:rsidR="00E82CC0">
        <w:rPr>
          <w:rFonts w:hint="cs"/>
          <w:rtl/>
        </w:rPr>
        <w:t>دو صورت اول به صورت</w:t>
      </w:r>
      <w:r w:rsidRPr="00013E26">
        <w:rPr>
          <w:rFonts w:hint="cs"/>
          <w:rtl/>
        </w:rPr>
        <w:t xml:space="preserve"> شرط نتیجه </w:t>
      </w:r>
      <w:r w:rsidR="00E82CC0">
        <w:rPr>
          <w:rFonts w:hint="cs"/>
          <w:rtl/>
        </w:rPr>
        <w:t>حق رجوع برای مرد ثابت نیست؛</w:t>
      </w:r>
      <w:r w:rsidRPr="00013E26">
        <w:rPr>
          <w:rFonts w:hint="cs"/>
          <w:rtl/>
        </w:rPr>
        <w:t xml:space="preserve"> ولی در دو صورت اخیر مرد حق رجوع دارد</w:t>
      </w:r>
      <w:r w:rsidR="00E82CC0">
        <w:rPr>
          <w:rFonts w:hint="cs"/>
          <w:rtl/>
        </w:rPr>
        <w:t xml:space="preserve"> ( از نظر وضعی)،</w:t>
      </w:r>
      <w:r w:rsidRPr="00013E26">
        <w:rPr>
          <w:rFonts w:hint="cs"/>
          <w:rtl/>
        </w:rPr>
        <w:t xml:space="preserve"> هر</w:t>
      </w:r>
      <w:r w:rsidR="00E82CC0">
        <w:rPr>
          <w:rFonts w:hint="cs"/>
          <w:rtl/>
        </w:rPr>
        <w:t xml:space="preserve"> </w:t>
      </w:r>
      <w:r w:rsidRPr="00013E26">
        <w:rPr>
          <w:rFonts w:hint="cs"/>
          <w:rtl/>
        </w:rPr>
        <w:t>چند</w:t>
      </w:r>
      <w:r w:rsidR="00E82CC0">
        <w:rPr>
          <w:rFonts w:hint="cs"/>
          <w:rtl/>
        </w:rPr>
        <w:t xml:space="preserve"> در صورت رجوع</w:t>
      </w:r>
      <w:r w:rsidRPr="00013E26">
        <w:rPr>
          <w:rFonts w:hint="cs"/>
          <w:rtl/>
        </w:rPr>
        <w:t xml:space="preserve"> کار حرامی</w:t>
      </w:r>
      <w:r w:rsidR="00E82CC0">
        <w:rPr>
          <w:rFonts w:hint="cs"/>
          <w:rtl/>
        </w:rPr>
        <w:t xml:space="preserve"> کرده</w:t>
      </w:r>
      <w:r w:rsidRPr="00013E26">
        <w:rPr>
          <w:rFonts w:hint="cs"/>
          <w:rtl/>
        </w:rPr>
        <w:t xml:space="preserve"> است. همین</w:t>
      </w:r>
      <w:r w:rsidR="00810C14">
        <w:rPr>
          <w:rFonts w:hint="cs"/>
          <w:rtl/>
        </w:rPr>
        <w:t xml:space="preserve"> مقدار</w:t>
      </w:r>
      <w:r w:rsidRPr="00013E26">
        <w:rPr>
          <w:rFonts w:hint="cs"/>
          <w:rtl/>
        </w:rPr>
        <w:t xml:space="preserve"> که مرد </w:t>
      </w:r>
      <w:r w:rsidR="00810C14">
        <w:rPr>
          <w:rFonts w:hint="cs"/>
          <w:rtl/>
        </w:rPr>
        <w:t>گر چه به صورت خلاف</w:t>
      </w:r>
      <w:r w:rsidRPr="00013E26">
        <w:rPr>
          <w:rFonts w:hint="cs"/>
          <w:rtl/>
        </w:rPr>
        <w:t xml:space="preserve"> شرع</w:t>
      </w:r>
      <w:r w:rsidR="00810C14">
        <w:rPr>
          <w:rFonts w:hint="cs"/>
          <w:rtl/>
        </w:rPr>
        <w:t xml:space="preserve"> می تواند</w:t>
      </w:r>
      <w:r w:rsidRPr="00013E26">
        <w:rPr>
          <w:rFonts w:hint="cs"/>
          <w:rtl/>
        </w:rPr>
        <w:t xml:space="preserve"> رجوع نماید و رجوعش مؤثر واقع می‌شود به این معناست که عصمت بی</w:t>
      </w:r>
      <w:r w:rsidR="00810C14">
        <w:rPr>
          <w:rFonts w:hint="cs"/>
          <w:rtl/>
        </w:rPr>
        <w:t>ن زن و مرد هنوز منقطع نشده است.</w:t>
      </w:r>
    </w:p>
    <w:p w:rsidR="00A864EE" w:rsidRDefault="007A3823" w:rsidP="00A864EE">
      <w:pPr>
        <w:jc w:val="both"/>
        <w:rPr>
          <w:rtl/>
        </w:rPr>
      </w:pPr>
      <w:r w:rsidRPr="00927D37">
        <w:rPr>
          <w:rFonts w:hint="cs"/>
          <w:color w:val="0000FF"/>
          <w:rtl/>
        </w:rPr>
        <w:t>لو صالح‌ عن حق رجوعه</w:t>
      </w:r>
      <w:r>
        <w:rPr>
          <w:rFonts w:hint="cs"/>
          <w:rtl/>
        </w:rPr>
        <w:t xml:space="preserve"> شبیه بذل زن می باشد که روایات</w:t>
      </w:r>
      <w:r w:rsidR="00C1699D">
        <w:rPr>
          <w:rStyle w:val="FootnoteReference"/>
          <w:rtl/>
        </w:rPr>
        <w:footnoteReference w:id="12"/>
      </w:r>
      <w:r>
        <w:rPr>
          <w:rFonts w:hint="cs"/>
          <w:rtl/>
        </w:rPr>
        <w:t xml:space="preserve"> از آن تعبیر به صلح کرده اند.</w:t>
      </w:r>
      <w:r w:rsidR="008F4DB4">
        <w:rPr>
          <w:rFonts w:hint="cs"/>
          <w:rtl/>
        </w:rPr>
        <w:t xml:space="preserve"> گویا مرد طلاقی که رجوعی در آن نیست برای زن ایجاد می کند</w:t>
      </w:r>
      <w:r w:rsidR="00D43942">
        <w:rPr>
          <w:rFonts w:hint="cs"/>
          <w:rtl/>
        </w:rPr>
        <w:t>، یعنی با اجرای طلاق خلع حق رجوعی که به طور طبیعی داشته است، از خود اسقاط می کند</w:t>
      </w:r>
      <w:r w:rsidR="004315DF">
        <w:rPr>
          <w:rFonts w:hint="cs"/>
          <w:rtl/>
        </w:rPr>
        <w:t>، در قبال بخششی که زن نسبت به مهر خودش دارد.</w:t>
      </w:r>
    </w:p>
    <w:p w:rsidR="00A864EE" w:rsidRDefault="00C525F4" w:rsidP="00A864EE">
      <w:pPr>
        <w:jc w:val="both"/>
        <w:rPr>
          <w:rtl/>
        </w:rPr>
      </w:pPr>
      <w:r>
        <w:rPr>
          <w:rFonts w:hint="cs"/>
          <w:rtl/>
        </w:rPr>
        <w:t>در ادامه مرحوم سید می فرماید:</w:t>
      </w:r>
    </w:p>
    <w:p w:rsidR="00C525F4" w:rsidRDefault="00C525F4" w:rsidP="00A864EE">
      <w:pPr>
        <w:jc w:val="both"/>
        <w:rPr>
          <w:rtl/>
        </w:rPr>
      </w:pPr>
      <w:r w:rsidRPr="00927D37">
        <w:rPr>
          <w:rFonts w:hint="cs"/>
          <w:color w:val="0000FF"/>
          <w:rtl/>
        </w:rPr>
        <w:t>إذا شك في انّ الطلاق كان رجعيا أو بائنا فالأصل هو الأول لأنّ الأصل عدم وقوع الطلاق الثالث و كذا الأصل عدم وقوع الخلع فتأمل، لأنّهما من الأصول المثبتة، و في الحقيقة يرجع الشك إلى انّ هذا الواقع ثان أو ثالث أو خلع أو غيره: و أصالة عدم وقوع الثالث لا تثبت انّه ثان، كما انّ أصالة عدم وقوع الخلع لا تثبت وقوع غيره بل هي معارضة بأصالة عدم وقوع غير الخلع، نعم أصالة عدم وقوع الثالث تنفع في عدم الحاجة إلى المحلل كما انّ أصالة عدم وقوع الخلع تنفع في عدم ترتب آثاره الخاصة، نعم يمكن ان يقال مقتضى عموم قوله تعالى وَ بُعُولَتُهُنَّ أَحَقُّ بِرَدِّهِنَّ جواز الرد إلّا ما أخرجه الدليل، كما إذا كان ثالثا أو خلعا فليس الرجوع معلقا على كونه ثانيا أو غير خلع بل عدم جواز الرجوع معلق على عنوان خاص و يكون الأصل عدمه.</w:t>
      </w:r>
    </w:p>
    <w:p w:rsidR="00E075B0" w:rsidRPr="006162A2" w:rsidRDefault="00E075B0" w:rsidP="00A864EE">
      <w:pPr>
        <w:jc w:val="both"/>
        <w:rPr>
          <w:rtl/>
        </w:rPr>
      </w:pPr>
    </w:p>
    <w:sectPr w:rsidR="00E075B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12" w:rsidRDefault="00B33512" w:rsidP="008B750B">
      <w:pPr>
        <w:spacing w:line="240" w:lineRule="auto"/>
      </w:pPr>
      <w:r>
        <w:separator/>
      </w:r>
    </w:p>
  </w:endnote>
  <w:endnote w:type="continuationSeparator" w:id="0">
    <w:p w:rsidR="00B33512" w:rsidRDefault="00B3351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502F9" w:rsidRPr="00D502F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C5726" w:rsidP="001B6799">
          <w:pPr>
            <w:pStyle w:val="Footer"/>
            <w:bidi w:val="0"/>
            <w:rPr>
              <w:color w:val="808080" w:themeColor="background1" w:themeShade="80"/>
              <w:rtl/>
            </w:rPr>
          </w:pPr>
          <w:bookmarkStart w:id="22" w:name="BokAdres"/>
          <w:bookmarkEnd w:id="22"/>
          <w:r>
            <w:rPr>
              <w:color w:val="808080" w:themeColor="background1" w:themeShade="80"/>
            </w:rPr>
            <w:t>F1js1_14000312-109_mk3_mfeb.ir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12" w:rsidRDefault="00B33512" w:rsidP="008B750B">
      <w:pPr>
        <w:spacing w:line="240" w:lineRule="auto"/>
      </w:pPr>
      <w:r>
        <w:separator/>
      </w:r>
    </w:p>
  </w:footnote>
  <w:footnote w:type="continuationSeparator" w:id="0">
    <w:p w:rsidR="00B33512" w:rsidRDefault="00B33512" w:rsidP="008B750B">
      <w:pPr>
        <w:spacing w:line="240" w:lineRule="auto"/>
      </w:pPr>
      <w:r>
        <w:continuationSeparator/>
      </w:r>
    </w:p>
  </w:footnote>
  <w:footnote w:id="1">
    <w:p w:rsidR="007B33E8" w:rsidRPr="007B33E8" w:rsidRDefault="007B33E8" w:rsidP="007B33E8">
      <w:pPr>
        <w:pStyle w:val="FootnoteText"/>
      </w:pPr>
      <w:r w:rsidRPr="007B33E8">
        <w:footnoteRef/>
      </w:r>
      <w:r w:rsidRPr="007B33E8">
        <w:rPr>
          <w:rtl/>
        </w:rPr>
        <w:t xml:space="preserve"> </w:t>
      </w:r>
      <w:hyperlink r:id="rId1" w:history="1">
        <w:r w:rsidRPr="007B33E8">
          <w:rPr>
            <w:rStyle w:val="Hyperlink"/>
            <w:rFonts w:hint="cs"/>
            <w:rtl/>
          </w:rPr>
          <w:t>الکافی،</w:t>
        </w:r>
        <w:r w:rsidRPr="007B33E8">
          <w:rPr>
            <w:rStyle w:val="Hyperlink"/>
            <w:rtl/>
          </w:rPr>
          <w:t xml:space="preserve"> </w:t>
        </w:r>
        <w:r w:rsidRPr="007B33E8">
          <w:rPr>
            <w:rStyle w:val="Hyperlink"/>
            <w:rFonts w:hint="cs"/>
            <w:rtl/>
          </w:rPr>
          <w:t>محمد</w:t>
        </w:r>
        <w:r w:rsidRPr="007B33E8">
          <w:rPr>
            <w:rStyle w:val="Hyperlink"/>
            <w:rtl/>
          </w:rPr>
          <w:t xml:space="preserve"> </w:t>
        </w:r>
        <w:r w:rsidRPr="007B33E8">
          <w:rPr>
            <w:rStyle w:val="Hyperlink"/>
            <w:rFonts w:hint="cs"/>
            <w:rtl/>
          </w:rPr>
          <w:t>بن</w:t>
        </w:r>
        <w:r w:rsidRPr="007B33E8">
          <w:rPr>
            <w:rStyle w:val="Hyperlink"/>
            <w:rtl/>
          </w:rPr>
          <w:t xml:space="preserve"> </w:t>
        </w:r>
        <w:r w:rsidRPr="007B33E8">
          <w:rPr>
            <w:rStyle w:val="Hyperlink"/>
            <w:rFonts w:hint="cs"/>
            <w:rtl/>
          </w:rPr>
          <w:t>یعقوب</w:t>
        </w:r>
        <w:r w:rsidRPr="007B33E8">
          <w:rPr>
            <w:rStyle w:val="Hyperlink"/>
            <w:rtl/>
          </w:rPr>
          <w:t xml:space="preserve"> </w:t>
        </w:r>
        <w:r w:rsidRPr="007B33E8">
          <w:rPr>
            <w:rStyle w:val="Hyperlink"/>
            <w:rFonts w:hint="cs"/>
            <w:rtl/>
          </w:rPr>
          <w:t>کلینی،</w:t>
        </w:r>
        <w:r w:rsidRPr="007B33E8">
          <w:rPr>
            <w:rStyle w:val="Hyperlink"/>
            <w:rtl/>
          </w:rPr>
          <w:t xml:space="preserve"> </w:t>
        </w:r>
        <w:r w:rsidRPr="007B33E8">
          <w:rPr>
            <w:rStyle w:val="Hyperlink"/>
            <w:rFonts w:hint="cs"/>
            <w:rtl/>
          </w:rPr>
          <w:t>ج</w:t>
        </w:r>
        <w:r w:rsidRPr="007B33E8">
          <w:rPr>
            <w:rStyle w:val="Hyperlink"/>
            <w:rtl/>
          </w:rPr>
          <w:t>6</w:t>
        </w:r>
        <w:r w:rsidRPr="007B33E8">
          <w:rPr>
            <w:rStyle w:val="Hyperlink"/>
            <w:rFonts w:hint="cs"/>
            <w:rtl/>
          </w:rPr>
          <w:t>،</w:t>
        </w:r>
        <w:r w:rsidRPr="007B33E8">
          <w:rPr>
            <w:rStyle w:val="Hyperlink"/>
            <w:rtl/>
          </w:rPr>
          <w:t xml:space="preserve"> </w:t>
        </w:r>
        <w:r w:rsidRPr="007B33E8">
          <w:rPr>
            <w:rStyle w:val="Hyperlink"/>
            <w:rFonts w:hint="cs"/>
            <w:rtl/>
          </w:rPr>
          <w:t>ص</w:t>
        </w:r>
        <w:r w:rsidRPr="007B33E8">
          <w:rPr>
            <w:rStyle w:val="Hyperlink"/>
            <w:rtl/>
          </w:rPr>
          <w:t>145.</w:t>
        </w:r>
      </w:hyperlink>
    </w:p>
  </w:footnote>
  <w:footnote w:id="2">
    <w:p w:rsidR="00EE22F9" w:rsidRDefault="00EE22F9">
      <w:pPr>
        <w:pStyle w:val="FootnoteText"/>
      </w:pPr>
      <w:r>
        <w:rPr>
          <w:rStyle w:val="FootnoteReference"/>
        </w:rPr>
        <w:footnoteRef/>
      </w:r>
      <w:r>
        <w:rPr>
          <w:rtl/>
        </w:rPr>
        <w:t xml:space="preserve"> </w:t>
      </w:r>
      <w:r>
        <w:rPr>
          <w:rFonts w:hint="cs"/>
          <w:rtl/>
        </w:rPr>
        <w:t>تخیل شده است که یحیی بن ابی القاسم</w:t>
      </w:r>
      <w:r w:rsidR="00415040">
        <w:rPr>
          <w:rFonts w:hint="cs"/>
          <w:rtl/>
        </w:rPr>
        <w:t xml:space="preserve"> ابو بصیر اسدی همان یحیی بن القاسم الحذاء است که واقفی می باشد.</w:t>
      </w:r>
    </w:p>
  </w:footnote>
  <w:footnote w:id="3">
    <w:p w:rsidR="00A864EE" w:rsidRDefault="00A864EE" w:rsidP="00A864EE">
      <w:pPr>
        <w:pStyle w:val="FootnoteText"/>
      </w:pPr>
      <w:r>
        <w:rPr>
          <w:rStyle w:val="FootnoteReference"/>
        </w:rPr>
        <w:footnoteRef/>
      </w:r>
      <w:r>
        <w:rPr>
          <w:rtl/>
        </w:rPr>
        <w:t xml:space="preserve"> </w:t>
      </w:r>
      <w:r w:rsidRPr="00A864EE">
        <w:rPr>
          <w:rFonts w:hint="cs"/>
          <w:rtl/>
        </w:rPr>
        <w:t>النوادر(للأشعري)، ص: 122</w:t>
      </w:r>
    </w:p>
  </w:footnote>
  <w:footnote w:id="4">
    <w:p w:rsidR="00023542" w:rsidRDefault="00023542">
      <w:pPr>
        <w:pStyle w:val="FootnoteText"/>
      </w:pPr>
      <w:r>
        <w:rPr>
          <w:rStyle w:val="FootnoteReference"/>
        </w:rPr>
        <w:footnoteRef/>
      </w:r>
      <w:r>
        <w:rPr>
          <w:rtl/>
        </w:rPr>
        <w:t xml:space="preserve"> </w:t>
      </w:r>
      <w:r>
        <w:rPr>
          <w:rFonts w:hint="cs"/>
          <w:rtl/>
        </w:rPr>
        <w:t>نوادر برای حسین بن سعید است.</w:t>
      </w:r>
    </w:p>
  </w:footnote>
  <w:footnote w:id="5">
    <w:p w:rsidR="00A864EE" w:rsidRDefault="00A864EE" w:rsidP="00A864EE">
      <w:pPr>
        <w:pStyle w:val="FootnoteText"/>
      </w:pPr>
      <w:r>
        <w:rPr>
          <w:rStyle w:val="FootnoteReference"/>
        </w:rPr>
        <w:footnoteRef/>
      </w:r>
      <w:r>
        <w:rPr>
          <w:rtl/>
        </w:rPr>
        <w:t xml:space="preserve"> </w:t>
      </w:r>
      <w:r w:rsidRPr="00A864EE">
        <w:rPr>
          <w:rFonts w:hint="cs"/>
          <w:rtl/>
        </w:rPr>
        <w:t>النوادر(للأشعري)، ص: 122</w:t>
      </w:r>
    </w:p>
  </w:footnote>
  <w:footnote w:id="6">
    <w:p w:rsidR="000F6B28" w:rsidRPr="000F6B28" w:rsidRDefault="000F6B28" w:rsidP="000F6B28">
      <w:pPr>
        <w:pStyle w:val="FootnoteText"/>
      </w:pPr>
      <w:r w:rsidRPr="000F6B28">
        <w:footnoteRef/>
      </w:r>
      <w:r w:rsidRPr="000F6B28">
        <w:rPr>
          <w:rtl/>
        </w:rPr>
        <w:t xml:space="preserve"> </w:t>
      </w:r>
      <w:hyperlink r:id="rId2" w:history="1">
        <w:r w:rsidRPr="000F6B28">
          <w:rPr>
            <w:rStyle w:val="Hyperlink"/>
            <w:rFonts w:hint="cs"/>
            <w:rtl/>
          </w:rPr>
          <w:t>الکافی،</w:t>
        </w:r>
        <w:r w:rsidRPr="000F6B28">
          <w:rPr>
            <w:rStyle w:val="Hyperlink"/>
            <w:rtl/>
          </w:rPr>
          <w:t xml:space="preserve"> </w:t>
        </w:r>
        <w:r w:rsidRPr="000F6B28">
          <w:rPr>
            <w:rStyle w:val="Hyperlink"/>
            <w:rFonts w:hint="cs"/>
            <w:rtl/>
          </w:rPr>
          <w:t>محمد</w:t>
        </w:r>
        <w:r w:rsidRPr="000F6B28">
          <w:rPr>
            <w:rStyle w:val="Hyperlink"/>
            <w:rtl/>
          </w:rPr>
          <w:t xml:space="preserve"> </w:t>
        </w:r>
        <w:r w:rsidRPr="000F6B28">
          <w:rPr>
            <w:rStyle w:val="Hyperlink"/>
            <w:rFonts w:hint="cs"/>
            <w:rtl/>
          </w:rPr>
          <w:t>بن</w:t>
        </w:r>
        <w:r w:rsidRPr="000F6B28">
          <w:rPr>
            <w:rStyle w:val="Hyperlink"/>
            <w:rtl/>
          </w:rPr>
          <w:t xml:space="preserve"> </w:t>
        </w:r>
        <w:r w:rsidRPr="000F6B28">
          <w:rPr>
            <w:rStyle w:val="Hyperlink"/>
            <w:rFonts w:hint="cs"/>
            <w:rtl/>
          </w:rPr>
          <w:t>یعقوب</w:t>
        </w:r>
        <w:r w:rsidRPr="000F6B28">
          <w:rPr>
            <w:rStyle w:val="Hyperlink"/>
            <w:rtl/>
          </w:rPr>
          <w:t xml:space="preserve"> </w:t>
        </w:r>
        <w:r w:rsidRPr="000F6B28">
          <w:rPr>
            <w:rStyle w:val="Hyperlink"/>
            <w:rFonts w:hint="cs"/>
            <w:rtl/>
          </w:rPr>
          <w:t>کلینی،</w:t>
        </w:r>
        <w:r w:rsidRPr="000F6B28">
          <w:rPr>
            <w:rStyle w:val="Hyperlink"/>
            <w:rtl/>
          </w:rPr>
          <w:t xml:space="preserve"> </w:t>
        </w:r>
        <w:r w:rsidRPr="000F6B28">
          <w:rPr>
            <w:rStyle w:val="Hyperlink"/>
            <w:rFonts w:hint="cs"/>
            <w:rtl/>
          </w:rPr>
          <w:t>ج</w:t>
        </w:r>
        <w:r w:rsidRPr="000F6B28">
          <w:rPr>
            <w:rStyle w:val="Hyperlink"/>
            <w:rtl/>
          </w:rPr>
          <w:t>5</w:t>
        </w:r>
        <w:r w:rsidRPr="000F6B28">
          <w:rPr>
            <w:rStyle w:val="Hyperlink"/>
            <w:rFonts w:hint="cs"/>
            <w:rtl/>
          </w:rPr>
          <w:t>،</w:t>
        </w:r>
        <w:r w:rsidRPr="000F6B28">
          <w:rPr>
            <w:rStyle w:val="Hyperlink"/>
            <w:rtl/>
          </w:rPr>
          <w:t xml:space="preserve"> </w:t>
        </w:r>
        <w:r w:rsidRPr="000F6B28">
          <w:rPr>
            <w:rStyle w:val="Hyperlink"/>
            <w:rFonts w:hint="cs"/>
            <w:rtl/>
          </w:rPr>
          <w:t>ص</w:t>
        </w:r>
        <w:r w:rsidRPr="000F6B28">
          <w:rPr>
            <w:rStyle w:val="Hyperlink"/>
            <w:rtl/>
          </w:rPr>
          <w:t>432.</w:t>
        </w:r>
      </w:hyperlink>
    </w:p>
  </w:footnote>
  <w:footnote w:id="7">
    <w:p w:rsidR="00E075B0" w:rsidRPr="00E075B0" w:rsidRDefault="00E075B0" w:rsidP="00E075B0">
      <w:pPr>
        <w:pStyle w:val="FootnoteText"/>
      </w:pPr>
      <w:r w:rsidRPr="00E075B0">
        <w:footnoteRef/>
      </w:r>
      <w:r w:rsidRPr="00E075B0">
        <w:rPr>
          <w:rtl/>
        </w:rPr>
        <w:t xml:space="preserve"> </w:t>
      </w:r>
      <w:hyperlink r:id="rId3" w:history="1">
        <w:r w:rsidRPr="00E075B0">
          <w:rPr>
            <w:rStyle w:val="Hyperlink"/>
            <w:rFonts w:hint="cs"/>
            <w:rtl/>
          </w:rPr>
          <w:t>الکافی،</w:t>
        </w:r>
        <w:r w:rsidRPr="00E075B0">
          <w:rPr>
            <w:rStyle w:val="Hyperlink"/>
            <w:rtl/>
          </w:rPr>
          <w:t xml:space="preserve"> </w:t>
        </w:r>
        <w:r w:rsidRPr="00E075B0">
          <w:rPr>
            <w:rStyle w:val="Hyperlink"/>
            <w:rFonts w:hint="cs"/>
            <w:rtl/>
          </w:rPr>
          <w:t>محمد</w:t>
        </w:r>
        <w:r w:rsidRPr="00E075B0">
          <w:rPr>
            <w:rStyle w:val="Hyperlink"/>
            <w:rtl/>
          </w:rPr>
          <w:t xml:space="preserve"> </w:t>
        </w:r>
        <w:r w:rsidRPr="00E075B0">
          <w:rPr>
            <w:rStyle w:val="Hyperlink"/>
            <w:rFonts w:hint="cs"/>
            <w:rtl/>
          </w:rPr>
          <w:t>بن</w:t>
        </w:r>
        <w:r w:rsidRPr="00E075B0">
          <w:rPr>
            <w:rStyle w:val="Hyperlink"/>
            <w:rtl/>
          </w:rPr>
          <w:t xml:space="preserve"> </w:t>
        </w:r>
        <w:r w:rsidRPr="00E075B0">
          <w:rPr>
            <w:rStyle w:val="Hyperlink"/>
            <w:rFonts w:hint="cs"/>
            <w:rtl/>
          </w:rPr>
          <w:t>یعقوب</w:t>
        </w:r>
        <w:r w:rsidRPr="00E075B0">
          <w:rPr>
            <w:rStyle w:val="Hyperlink"/>
            <w:rtl/>
          </w:rPr>
          <w:t xml:space="preserve"> </w:t>
        </w:r>
        <w:r w:rsidRPr="00E075B0">
          <w:rPr>
            <w:rStyle w:val="Hyperlink"/>
            <w:rFonts w:hint="cs"/>
            <w:rtl/>
          </w:rPr>
          <w:t>کلینی،</w:t>
        </w:r>
        <w:r w:rsidRPr="00E075B0">
          <w:rPr>
            <w:rStyle w:val="Hyperlink"/>
            <w:rtl/>
          </w:rPr>
          <w:t xml:space="preserve"> </w:t>
        </w:r>
        <w:r w:rsidRPr="00E075B0">
          <w:rPr>
            <w:rStyle w:val="Hyperlink"/>
            <w:rFonts w:hint="cs"/>
            <w:rtl/>
          </w:rPr>
          <w:t>ج</w:t>
        </w:r>
        <w:r w:rsidRPr="00E075B0">
          <w:rPr>
            <w:rStyle w:val="Hyperlink"/>
            <w:rtl/>
          </w:rPr>
          <w:t>5</w:t>
        </w:r>
        <w:r w:rsidRPr="00E075B0">
          <w:rPr>
            <w:rStyle w:val="Hyperlink"/>
            <w:rFonts w:hint="cs"/>
            <w:rtl/>
          </w:rPr>
          <w:t>،</w:t>
        </w:r>
        <w:r w:rsidRPr="00E075B0">
          <w:rPr>
            <w:rStyle w:val="Hyperlink"/>
            <w:rtl/>
          </w:rPr>
          <w:t xml:space="preserve"> </w:t>
        </w:r>
        <w:r w:rsidRPr="00E075B0">
          <w:rPr>
            <w:rStyle w:val="Hyperlink"/>
            <w:rFonts w:hint="cs"/>
            <w:rtl/>
          </w:rPr>
          <w:t>ص</w:t>
        </w:r>
        <w:r w:rsidRPr="00E075B0">
          <w:rPr>
            <w:rStyle w:val="Hyperlink"/>
            <w:rtl/>
          </w:rPr>
          <w:t>432.</w:t>
        </w:r>
      </w:hyperlink>
    </w:p>
  </w:footnote>
  <w:footnote w:id="8">
    <w:p w:rsidR="00427C18" w:rsidRDefault="00427C18">
      <w:pPr>
        <w:pStyle w:val="FootnoteText"/>
      </w:pPr>
      <w:r>
        <w:rPr>
          <w:rStyle w:val="FootnoteReference"/>
        </w:rPr>
        <w:footnoteRef/>
      </w:r>
      <w:r>
        <w:rPr>
          <w:rtl/>
        </w:rPr>
        <w:t xml:space="preserve"> </w:t>
      </w:r>
      <w:r>
        <w:rPr>
          <w:rFonts w:hint="cs"/>
          <w:rtl/>
        </w:rPr>
        <w:t xml:space="preserve">روایت ابن بزیع، روایت عبدالله بن سنان و </w:t>
      </w:r>
      <w:r w:rsidR="008A799A">
        <w:rPr>
          <w:rFonts w:hint="cs"/>
          <w:rtl/>
        </w:rPr>
        <w:t>روایت ابی العباس</w:t>
      </w:r>
    </w:p>
  </w:footnote>
  <w:footnote w:id="9">
    <w:p w:rsidR="000B6E14" w:rsidRDefault="000B6E14">
      <w:pPr>
        <w:pStyle w:val="FootnoteText"/>
      </w:pPr>
      <w:r>
        <w:rPr>
          <w:rStyle w:val="FootnoteReference"/>
        </w:rPr>
        <w:footnoteRef/>
      </w:r>
      <w:r>
        <w:rPr>
          <w:rtl/>
        </w:rPr>
        <w:t xml:space="preserve"> </w:t>
      </w:r>
      <w:r>
        <w:rPr>
          <w:rFonts w:hint="cs"/>
          <w:rtl/>
        </w:rPr>
        <w:t>جایی که امکان رجوع مرد وجود دارد.</w:t>
      </w:r>
    </w:p>
  </w:footnote>
  <w:footnote w:id="10">
    <w:p w:rsidR="00282720" w:rsidRDefault="00282720">
      <w:pPr>
        <w:pStyle w:val="FootnoteText"/>
      </w:pPr>
      <w:r>
        <w:rPr>
          <w:rStyle w:val="FootnoteReference"/>
        </w:rPr>
        <w:footnoteRef/>
      </w:r>
      <w:r>
        <w:rPr>
          <w:rtl/>
        </w:rPr>
        <w:t xml:space="preserve"> </w:t>
      </w:r>
      <w:r>
        <w:rPr>
          <w:rFonts w:hint="cs"/>
          <w:rtl/>
        </w:rPr>
        <w:t>ما هم همین مطلب را پذیرفتیم.</w:t>
      </w:r>
    </w:p>
  </w:footnote>
  <w:footnote w:id="11">
    <w:p w:rsidR="00927D37" w:rsidRPr="00927D37" w:rsidRDefault="00927D37" w:rsidP="00927D37">
      <w:pPr>
        <w:pStyle w:val="FootnoteText"/>
      </w:pPr>
      <w:r w:rsidRPr="00927D37">
        <w:footnoteRef/>
      </w:r>
      <w:r w:rsidRPr="00927D37">
        <w:rPr>
          <w:rtl/>
        </w:rPr>
        <w:t xml:space="preserve"> </w:t>
      </w:r>
      <w:hyperlink r:id="rId4" w:history="1">
        <w:r w:rsidRPr="00927D37">
          <w:rPr>
            <w:rStyle w:val="Hyperlink"/>
            <w:rFonts w:hint="cs"/>
            <w:rtl/>
          </w:rPr>
          <w:t>تکملة</w:t>
        </w:r>
        <w:r w:rsidRPr="00927D37">
          <w:rPr>
            <w:rStyle w:val="Hyperlink"/>
            <w:rtl/>
          </w:rPr>
          <w:t xml:space="preserve"> </w:t>
        </w:r>
        <w:r w:rsidRPr="00927D37">
          <w:rPr>
            <w:rStyle w:val="Hyperlink"/>
            <w:rFonts w:hint="cs"/>
            <w:rtl/>
          </w:rPr>
          <w:t>العروة</w:t>
        </w:r>
        <w:r w:rsidRPr="00927D37">
          <w:rPr>
            <w:rStyle w:val="Hyperlink"/>
            <w:rtl/>
          </w:rPr>
          <w:t xml:space="preserve"> </w:t>
        </w:r>
        <w:r w:rsidRPr="00927D37">
          <w:rPr>
            <w:rStyle w:val="Hyperlink"/>
            <w:rFonts w:hint="cs"/>
            <w:rtl/>
          </w:rPr>
          <w:t>الوثقی،</w:t>
        </w:r>
        <w:r w:rsidRPr="00927D37">
          <w:rPr>
            <w:rStyle w:val="Hyperlink"/>
            <w:rtl/>
          </w:rPr>
          <w:t xml:space="preserve"> </w:t>
        </w:r>
        <w:r w:rsidRPr="00927D37">
          <w:rPr>
            <w:rStyle w:val="Hyperlink"/>
            <w:rFonts w:hint="cs"/>
            <w:rtl/>
          </w:rPr>
          <w:t>السید</w:t>
        </w:r>
        <w:r w:rsidRPr="00927D37">
          <w:rPr>
            <w:rStyle w:val="Hyperlink"/>
            <w:rtl/>
          </w:rPr>
          <w:t xml:space="preserve"> </w:t>
        </w:r>
        <w:r w:rsidRPr="00927D37">
          <w:rPr>
            <w:rStyle w:val="Hyperlink"/>
            <w:rFonts w:hint="cs"/>
            <w:rtl/>
          </w:rPr>
          <w:t>محمد</w:t>
        </w:r>
        <w:r w:rsidRPr="00927D37">
          <w:rPr>
            <w:rStyle w:val="Hyperlink"/>
            <w:rtl/>
          </w:rPr>
          <w:t xml:space="preserve"> </w:t>
        </w:r>
        <w:r w:rsidRPr="00927D37">
          <w:rPr>
            <w:rStyle w:val="Hyperlink"/>
            <w:rFonts w:hint="cs"/>
            <w:rtl/>
          </w:rPr>
          <w:t>کاظم</w:t>
        </w:r>
        <w:r w:rsidRPr="00927D37">
          <w:rPr>
            <w:rStyle w:val="Hyperlink"/>
            <w:rtl/>
          </w:rPr>
          <w:t xml:space="preserve"> </w:t>
        </w:r>
        <w:r w:rsidRPr="00927D37">
          <w:rPr>
            <w:rStyle w:val="Hyperlink"/>
            <w:rFonts w:hint="cs"/>
            <w:rtl/>
          </w:rPr>
          <w:t>الطباطبائی</w:t>
        </w:r>
        <w:r w:rsidRPr="00927D37">
          <w:rPr>
            <w:rStyle w:val="Hyperlink"/>
            <w:rtl/>
          </w:rPr>
          <w:t xml:space="preserve"> </w:t>
        </w:r>
        <w:r w:rsidRPr="00927D37">
          <w:rPr>
            <w:rStyle w:val="Hyperlink"/>
            <w:rFonts w:hint="cs"/>
            <w:rtl/>
          </w:rPr>
          <w:t>الیزدی،</w:t>
        </w:r>
        <w:r w:rsidRPr="00927D37">
          <w:rPr>
            <w:rStyle w:val="Hyperlink"/>
            <w:rtl/>
          </w:rPr>
          <w:t xml:space="preserve"> </w:t>
        </w:r>
        <w:r w:rsidRPr="00927D37">
          <w:rPr>
            <w:rStyle w:val="Hyperlink"/>
            <w:rFonts w:hint="cs"/>
            <w:rtl/>
          </w:rPr>
          <w:t>ج</w:t>
        </w:r>
        <w:r w:rsidRPr="00927D37">
          <w:rPr>
            <w:rStyle w:val="Hyperlink"/>
            <w:rtl/>
          </w:rPr>
          <w:t>1</w:t>
        </w:r>
        <w:r w:rsidRPr="00927D37">
          <w:rPr>
            <w:rStyle w:val="Hyperlink"/>
            <w:rFonts w:hint="cs"/>
            <w:rtl/>
          </w:rPr>
          <w:t>،</w:t>
        </w:r>
        <w:r w:rsidRPr="00927D37">
          <w:rPr>
            <w:rStyle w:val="Hyperlink"/>
            <w:rtl/>
          </w:rPr>
          <w:t xml:space="preserve"> </w:t>
        </w:r>
        <w:r w:rsidRPr="00927D37">
          <w:rPr>
            <w:rStyle w:val="Hyperlink"/>
            <w:rFonts w:hint="cs"/>
            <w:rtl/>
          </w:rPr>
          <w:t>ص</w:t>
        </w:r>
        <w:r w:rsidRPr="00927D37">
          <w:rPr>
            <w:rStyle w:val="Hyperlink"/>
            <w:rtl/>
          </w:rPr>
          <w:t>114.</w:t>
        </w:r>
      </w:hyperlink>
    </w:p>
  </w:footnote>
  <w:footnote w:id="12">
    <w:p w:rsidR="00C1699D" w:rsidRDefault="00C1699D">
      <w:pPr>
        <w:pStyle w:val="FootnoteText"/>
      </w:pPr>
      <w:r>
        <w:rPr>
          <w:rStyle w:val="FootnoteReference"/>
        </w:rPr>
        <w:footnoteRef/>
      </w:r>
      <w:r>
        <w:rPr>
          <w:rtl/>
        </w:rPr>
        <w:t xml:space="preserve"> </w:t>
      </w:r>
      <w:r>
        <w:rPr>
          <w:rFonts w:hint="cs"/>
          <w:rtl/>
        </w:rPr>
        <w:t>روایت ابی العباس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2C5726">
      <w:rPr>
        <w:b/>
        <w:bCs/>
        <w:sz w:val="20"/>
        <w:szCs w:val="24"/>
        <w:rtl/>
      </w:rPr>
      <w:t>109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2C5726">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2C5726">
      <w:rPr>
        <w:rFonts w:hint="cs"/>
        <w:b/>
        <w:bCs/>
        <w:color w:val="632423" w:themeColor="accent2" w:themeShade="80"/>
        <w:sz w:val="20"/>
        <w:szCs w:val="24"/>
        <w:rtl/>
      </w:rPr>
      <w:t>سید</w:t>
    </w:r>
    <w:r w:rsidR="002C5726">
      <w:rPr>
        <w:b/>
        <w:bCs/>
        <w:color w:val="632423" w:themeColor="accent2" w:themeShade="80"/>
        <w:sz w:val="20"/>
        <w:szCs w:val="24"/>
        <w:rtl/>
      </w:rPr>
      <w:t xml:space="preserve"> </w:t>
    </w:r>
    <w:r w:rsidR="002C5726">
      <w:rPr>
        <w:rFonts w:hint="cs"/>
        <w:b/>
        <w:bCs/>
        <w:color w:val="632423" w:themeColor="accent2" w:themeShade="80"/>
        <w:sz w:val="20"/>
        <w:szCs w:val="24"/>
        <w:rtl/>
      </w:rPr>
      <w:t>محمد</w:t>
    </w:r>
    <w:r w:rsidR="002C5726">
      <w:rPr>
        <w:b/>
        <w:bCs/>
        <w:color w:val="632423" w:themeColor="accent2" w:themeShade="80"/>
        <w:sz w:val="20"/>
        <w:szCs w:val="24"/>
        <w:rtl/>
      </w:rPr>
      <w:t xml:space="preserve"> </w:t>
    </w:r>
    <w:r w:rsidR="002C5726">
      <w:rPr>
        <w:rFonts w:hint="cs"/>
        <w:b/>
        <w:bCs/>
        <w:color w:val="632423" w:themeColor="accent2" w:themeShade="80"/>
        <w:sz w:val="20"/>
        <w:szCs w:val="24"/>
        <w:rtl/>
      </w:rPr>
      <w:t>جواد</w:t>
    </w:r>
    <w:r w:rsidR="002C5726">
      <w:rPr>
        <w:b/>
        <w:bCs/>
        <w:color w:val="632423" w:themeColor="accent2" w:themeShade="80"/>
        <w:sz w:val="20"/>
        <w:szCs w:val="24"/>
        <w:rtl/>
      </w:rPr>
      <w:t xml:space="preserve"> </w:t>
    </w:r>
    <w:r w:rsidR="002C572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2C5726">
      <w:rPr>
        <w:sz w:val="24"/>
        <w:szCs w:val="24"/>
        <w:rtl/>
      </w:rPr>
      <w:t>12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2C5726">
      <w:rPr>
        <w:rFonts w:hint="cs"/>
        <w:color w:val="000000" w:themeColor="text1"/>
        <w:sz w:val="24"/>
        <w:szCs w:val="24"/>
        <w:rtl/>
      </w:rPr>
      <w:t>تکمله</w:t>
    </w:r>
    <w:r w:rsidR="002C5726">
      <w:rPr>
        <w:color w:val="000000" w:themeColor="text1"/>
        <w:sz w:val="24"/>
        <w:szCs w:val="24"/>
        <w:rtl/>
      </w:rPr>
      <w:t xml:space="preserve"> </w:t>
    </w:r>
    <w:r w:rsidR="002C5726">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2C5726">
      <w:rPr>
        <w:rFonts w:hint="cs"/>
        <w:sz w:val="24"/>
        <w:szCs w:val="24"/>
        <w:rtl/>
      </w:rPr>
      <w:t>مهدی</w:t>
    </w:r>
    <w:r w:rsidR="002C5726">
      <w:rPr>
        <w:sz w:val="24"/>
        <w:szCs w:val="24"/>
        <w:rtl/>
      </w:rPr>
      <w:t xml:space="preserve"> </w:t>
    </w:r>
    <w:r w:rsidR="002C5726">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2C5726">
      <w:rPr>
        <w:rFonts w:hint="cs"/>
        <w:sz w:val="24"/>
        <w:szCs w:val="24"/>
        <w:rtl/>
      </w:rPr>
      <w:t>تبدیل</w:t>
    </w:r>
    <w:r w:rsidR="002C5726">
      <w:rPr>
        <w:sz w:val="24"/>
        <w:szCs w:val="24"/>
        <w:rtl/>
      </w:rPr>
      <w:t xml:space="preserve"> </w:t>
    </w:r>
    <w:r w:rsidR="002C5726">
      <w:rPr>
        <w:rFonts w:hint="cs"/>
        <w:sz w:val="24"/>
        <w:szCs w:val="24"/>
        <w:rtl/>
      </w:rPr>
      <w:t>عده</w:t>
    </w:r>
    <w:r w:rsidR="002C5726">
      <w:rPr>
        <w:sz w:val="24"/>
        <w:szCs w:val="24"/>
        <w:rtl/>
      </w:rPr>
      <w:t xml:space="preserve"> </w:t>
    </w:r>
    <w:r w:rsidR="002C5726">
      <w:rPr>
        <w:rFonts w:hint="cs"/>
        <w:sz w:val="24"/>
        <w:szCs w:val="24"/>
        <w:rtl/>
      </w:rPr>
      <w:t>بائن</w:t>
    </w:r>
    <w:r w:rsidR="002C5726">
      <w:rPr>
        <w:sz w:val="24"/>
        <w:szCs w:val="24"/>
        <w:rtl/>
      </w:rPr>
      <w:t xml:space="preserve"> </w:t>
    </w:r>
    <w:r w:rsidR="002C5726">
      <w:rPr>
        <w:rFonts w:hint="cs"/>
        <w:sz w:val="24"/>
        <w:szCs w:val="24"/>
        <w:rtl/>
      </w:rPr>
      <w:t>به</w:t>
    </w:r>
    <w:r w:rsidR="002C5726">
      <w:rPr>
        <w:sz w:val="24"/>
        <w:szCs w:val="24"/>
        <w:rtl/>
      </w:rPr>
      <w:t xml:space="preserve"> </w:t>
    </w:r>
    <w:r w:rsidR="002C5726">
      <w:rPr>
        <w:rFonts w:hint="cs"/>
        <w:sz w:val="24"/>
        <w:szCs w:val="24"/>
        <w:rtl/>
      </w:rPr>
      <w:t>عده</w:t>
    </w:r>
    <w:r w:rsidR="002C5726">
      <w:rPr>
        <w:sz w:val="24"/>
        <w:szCs w:val="24"/>
        <w:rtl/>
      </w:rPr>
      <w:t xml:space="preserve"> </w:t>
    </w:r>
    <w:r w:rsidR="002C5726">
      <w:rPr>
        <w:rFonts w:hint="cs"/>
        <w:sz w:val="24"/>
        <w:szCs w:val="24"/>
        <w:rtl/>
      </w:rPr>
      <w:t>رجعی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E2441E"/>
    <w:multiLevelType w:val="hybridMultilevel"/>
    <w:tmpl w:val="336ABDBC"/>
    <w:lvl w:ilvl="0" w:tplc="6D1AD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CA38A6"/>
    <w:multiLevelType w:val="hybridMultilevel"/>
    <w:tmpl w:val="4D7C0C44"/>
    <w:lvl w:ilvl="0" w:tplc="D210446A">
      <w:start w:val="1"/>
      <w:numFmt w:val="decimal"/>
      <w:lvlText w:val="%1-"/>
      <w:lvlJc w:val="left"/>
      <w:pPr>
        <w:ind w:left="720" w:hanging="360"/>
      </w:pPr>
      <w:rPr>
        <w:rFonts w:ascii="Calibri" w:eastAsia="Calibri" w:hAnsi="Calibri" w:cs="B Badr"/>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B13B0D"/>
    <w:multiLevelType w:val="multilevel"/>
    <w:tmpl w:val="F0129606"/>
    <w:lvl w:ilvl="0">
      <w:start w:val="1"/>
      <w:numFmt w:val="decimal"/>
      <w:suff w:val="space"/>
      <w:lvlText w:val="%1."/>
      <w:lvlJc w:val="left"/>
      <w:pPr>
        <w:ind w:left="284" w:hanging="284"/>
      </w:pPr>
      <w:rPr>
        <w:rFonts w:hint="default"/>
        <w:sz w:val="30"/>
      </w:rPr>
    </w:lvl>
    <w:lvl w:ilvl="1">
      <w:start w:val="1"/>
      <w:numFmt w:val="arabicAbjad"/>
      <w:suff w:val="space"/>
      <w:lvlText w:val="%2."/>
      <w:lvlJc w:val="left"/>
      <w:pPr>
        <w:ind w:left="851" w:hanging="284"/>
      </w:pPr>
      <w:rPr>
        <w:rFonts w:hint="default"/>
      </w:rPr>
    </w:lvl>
    <w:lvl w:ilvl="2">
      <w:start w:val="1"/>
      <w:numFmt w:val="bullet"/>
      <w:suff w:val="space"/>
      <w:lvlText w:val=""/>
      <w:lvlJc w:val="left"/>
      <w:pPr>
        <w:ind w:left="1418" w:hanging="284"/>
      </w:pPr>
      <w:rPr>
        <w:rFonts w:ascii="Symbol" w:hAnsi="Symbol" w:cs="Times New Roman" w:hint="default"/>
        <w:color w:val="auto"/>
      </w:rPr>
    </w:lvl>
    <w:lvl w:ilvl="3">
      <w:start w:val="1"/>
      <w:numFmt w:val="bullet"/>
      <w:suff w:val="space"/>
      <w:lvlText w:val=""/>
      <w:lvlJc w:val="left"/>
      <w:pPr>
        <w:ind w:left="1985" w:hanging="284"/>
      </w:pPr>
      <w:rPr>
        <w:rFonts w:ascii="Symbol" w:hAnsi="Symbol" w:cs="Times New Roman" w:hint="default"/>
        <w:color w:val="auto"/>
      </w:rPr>
    </w:lvl>
    <w:lvl w:ilvl="4">
      <w:start w:val="1"/>
      <w:numFmt w:val="none"/>
      <w:suff w:val="space"/>
      <w:lvlText w:val="%5."/>
      <w:lvlJc w:val="left"/>
      <w:pPr>
        <w:ind w:left="2552" w:hanging="284"/>
      </w:pPr>
      <w:rPr>
        <w:rFonts w:hint="default"/>
      </w:rPr>
    </w:lvl>
    <w:lvl w:ilvl="5">
      <w:start w:val="1"/>
      <w:numFmt w:val="none"/>
      <w:suff w:val="space"/>
      <w:lvlText w:val="%6."/>
      <w:lvlJc w:val="right"/>
      <w:pPr>
        <w:ind w:left="3119" w:hanging="284"/>
      </w:pPr>
      <w:rPr>
        <w:rFonts w:hint="default"/>
      </w:rPr>
    </w:lvl>
    <w:lvl w:ilvl="6">
      <w:start w:val="1"/>
      <w:numFmt w:val="none"/>
      <w:suff w:val="space"/>
      <w:lvlText w:val="%7."/>
      <w:lvlJc w:val="left"/>
      <w:pPr>
        <w:ind w:left="3686" w:hanging="284"/>
      </w:pPr>
      <w:rPr>
        <w:rFonts w:hint="default"/>
      </w:rPr>
    </w:lvl>
    <w:lvl w:ilvl="7">
      <w:start w:val="1"/>
      <w:numFmt w:val="none"/>
      <w:suff w:val="space"/>
      <w:lvlText w:val="%8."/>
      <w:lvlJc w:val="left"/>
      <w:pPr>
        <w:ind w:left="4253" w:hanging="284"/>
      </w:pPr>
      <w:rPr>
        <w:rFonts w:hint="default"/>
      </w:rPr>
    </w:lvl>
    <w:lvl w:ilvl="8">
      <w:start w:val="1"/>
      <w:numFmt w:val="none"/>
      <w:suff w:val="space"/>
      <w:lvlText w:val="%9."/>
      <w:lvlJc w:val="right"/>
      <w:pPr>
        <w:ind w:left="4820" w:hanging="284"/>
      </w:pPr>
      <w:rPr>
        <w:rFont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D38"/>
    <w:rsid w:val="00013E26"/>
    <w:rsid w:val="00023542"/>
    <w:rsid w:val="00025777"/>
    <w:rsid w:val="00025B70"/>
    <w:rsid w:val="000353D7"/>
    <w:rsid w:val="00055496"/>
    <w:rsid w:val="00072412"/>
    <w:rsid w:val="00080A41"/>
    <w:rsid w:val="00080E21"/>
    <w:rsid w:val="0008299B"/>
    <w:rsid w:val="000913AA"/>
    <w:rsid w:val="000942A7"/>
    <w:rsid w:val="00094847"/>
    <w:rsid w:val="00096C63"/>
    <w:rsid w:val="000B5DB5"/>
    <w:rsid w:val="000B6E14"/>
    <w:rsid w:val="000C3947"/>
    <w:rsid w:val="000D2A37"/>
    <w:rsid w:val="000D30E9"/>
    <w:rsid w:val="000D3223"/>
    <w:rsid w:val="000D6818"/>
    <w:rsid w:val="000E0209"/>
    <w:rsid w:val="000E335E"/>
    <w:rsid w:val="000F16CF"/>
    <w:rsid w:val="000F5BAC"/>
    <w:rsid w:val="000F6B28"/>
    <w:rsid w:val="00102585"/>
    <w:rsid w:val="00114AB7"/>
    <w:rsid w:val="00116B2B"/>
    <w:rsid w:val="00124E3D"/>
    <w:rsid w:val="00127E95"/>
    <w:rsid w:val="001300B0"/>
    <w:rsid w:val="00130659"/>
    <w:rsid w:val="001347C7"/>
    <w:rsid w:val="001356B0"/>
    <w:rsid w:val="00151937"/>
    <w:rsid w:val="00181844"/>
    <w:rsid w:val="001837E9"/>
    <w:rsid w:val="00187DFA"/>
    <w:rsid w:val="001A1BC1"/>
    <w:rsid w:val="001A1EA5"/>
    <w:rsid w:val="001A2574"/>
    <w:rsid w:val="001A27D7"/>
    <w:rsid w:val="001A294E"/>
    <w:rsid w:val="001A4ED8"/>
    <w:rsid w:val="001B208E"/>
    <w:rsid w:val="001B2488"/>
    <w:rsid w:val="001B6799"/>
    <w:rsid w:val="001C1362"/>
    <w:rsid w:val="001C3373"/>
    <w:rsid w:val="001C6D94"/>
    <w:rsid w:val="001D2E9A"/>
    <w:rsid w:val="001D597F"/>
    <w:rsid w:val="001E3FD4"/>
    <w:rsid w:val="0020241A"/>
    <w:rsid w:val="0020366F"/>
    <w:rsid w:val="00203821"/>
    <w:rsid w:val="00211632"/>
    <w:rsid w:val="0021630D"/>
    <w:rsid w:val="0024121B"/>
    <w:rsid w:val="00247D2F"/>
    <w:rsid w:val="00256560"/>
    <w:rsid w:val="0027605E"/>
    <w:rsid w:val="00281E00"/>
    <w:rsid w:val="00282720"/>
    <w:rsid w:val="00294A52"/>
    <w:rsid w:val="002A190C"/>
    <w:rsid w:val="002A6A1F"/>
    <w:rsid w:val="002B212E"/>
    <w:rsid w:val="002B575F"/>
    <w:rsid w:val="002B729B"/>
    <w:rsid w:val="002C23B5"/>
    <w:rsid w:val="002C53A2"/>
    <w:rsid w:val="002C5726"/>
    <w:rsid w:val="002D0040"/>
    <w:rsid w:val="002D2FA8"/>
    <w:rsid w:val="002E220F"/>
    <w:rsid w:val="00307311"/>
    <w:rsid w:val="0032100F"/>
    <w:rsid w:val="0033402C"/>
    <w:rsid w:val="00340521"/>
    <w:rsid w:val="00344DBF"/>
    <w:rsid w:val="00345C73"/>
    <w:rsid w:val="0034708B"/>
    <w:rsid w:val="00354A99"/>
    <w:rsid w:val="00360311"/>
    <w:rsid w:val="00361922"/>
    <w:rsid w:val="00361EFD"/>
    <w:rsid w:val="003637C3"/>
    <w:rsid w:val="0037339B"/>
    <w:rsid w:val="0038269F"/>
    <w:rsid w:val="00386C11"/>
    <w:rsid w:val="00397466"/>
    <w:rsid w:val="003A6148"/>
    <w:rsid w:val="003C33F6"/>
    <w:rsid w:val="003C3D2E"/>
    <w:rsid w:val="003C43A5"/>
    <w:rsid w:val="003D5C39"/>
    <w:rsid w:val="003E1C5C"/>
    <w:rsid w:val="003E6650"/>
    <w:rsid w:val="003F5B46"/>
    <w:rsid w:val="00401363"/>
    <w:rsid w:val="00402E47"/>
    <w:rsid w:val="00415040"/>
    <w:rsid w:val="00425015"/>
    <w:rsid w:val="00426004"/>
    <w:rsid w:val="00427C18"/>
    <w:rsid w:val="00430994"/>
    <w:rsid w:val="004315DF"/>
    <w:rsid w:val="00441B6D"/>
    <w:rsid w:val="00454EBC"/>
    <w:rsid w:val="004556EF"/>
    <w:rsid w:val="00462B07"/>
    <w:rsid w:val="00465BD2"/>
    <w:rsid w:val="004715C8"/>
    <w:rsid w:val="0048014C"/>
    <w:rsid w:val="00481C31"/>
    <w:rsid w:val="00482FC1"/>
    <w:rsid w:val="00483027"/>
    <w:rsid w:val="004871AA"/>
    <w:rsid w:val="004918D7"/>
    <w:rsid w:val="004926E1"/>
    <w:rsid w:val="004A0BF0"/>
    <w:rsid w:val="004A2FEA"/>
    <w:rsid w:val="004B573B"/>
    <w:rsid w:val="004B6283"/>
    <w:rsid w:val="004C0739"/>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DCD"/>
    <w:rsid w:val="00561A64"/>
    <w:rsid w:val="0056213C"/>
    <w:rsid w:val="005621F6"/>
    <w:rsid w:val="00580C24"/>
    <w:rsid w:val="005827FA"/>
    <w:rsid w:val="0059026E"/>
    <w:rsid w:val="00591499"/>
    <w:rsid w:val="005968EF"/>
    <w:rsid w:val="00596C1E"/>
    <w:rsid w:val="005A2E26"/>
    <w:rsid w:val="005B7BCA"/>
    <w:rsid w:val="005C0DAE"/>
    <w:rsid w:val="005C188E"/>
    <w:rsid w:val="005D1515"/>
    <w:rsid w:val="005D2349"/>
    <w:rsid w:val="005E1B60"/>
    <w:rsid w:val="005E5507"/>
    <w:rsid w:val="005E607B"/>
    <w:rsid w:val="005E60B6"/>
    <w:rsid w:val="005F0A8D"/>
    <w:rsid w:val="005F58FF"/>
    <w:rsid w:val="00601229"/>
    <w:rsid w:val="00603B67"/>
    <w:rsid w:val="006162A2"/>
    <w:rsid w:val="006240DA"/>
    <w:rsid w:val="0063256E"/>
    <w:rsid w:val="00633F04"/>
    <w:rsid w:val="00635219"/>
    <w:rsid w:val="00635EC0"/>
    <w:rsid w:val="00640B58"/>
    <w:rsid w:val="00651B02"/>
    <w:rsid w:val="00651B19"/>
    <w:rsid w:val="0065799F"/>
    <w:rsid w:val="0066022B"/>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F3E"/>
    <w:rsid w:val="007020E0"/>
    <w:rsid w:val="0070265B"/>
    <w:rsid w:val="00704813"/>
    <w:rsid w:val="0072290D"/>
    <w:rsid w:val="00723D6D"/>
    <w:rsid w:val="00724537"/>
    <w:rsid w:val="00725B6E"/>
    <w:rsid w:val="00731724"/>
    <w:rsid w:val="0073474B"/>
    <w:rsid w:val="00735511"/>
    <w:rsid w:val="00737208"/>
    <w:rsid w:val="00740DAA"/>
    <w:rsid w:val="00744DE6"/>
    <w:rsid w:val="00762452"/>
    <w:rsid w:val="007639E0"/>
    <w:rsid w:val="00775507"/>
    <w:rsid w:val="00783473"/>
    <w:rsid w:val="0078594B"/>
    <w:rsid w:val="00795E02"/>
    <w:rsid w:val="007979D0"/>
    <w:rsid w:val="007A3823"/>
    <w:rsid w:val="007A4E18"/>
    <w:rsid w:val="007A7B8C"/>
    <w:rsid w:val="007B33E8"/>
    <w:rsid w:val="007C6D9E"/>
    <w:rsid w:val="007D1C43"/>
    <w:rsid w:val="007D6C53"/>
    <w:rsid w:val="007E1564"/>
    <w:rsid w:val="007E1E87"/>
    <w:rsid w:val="007E5B3F"/>
    <w:rsid w:val="007F2257"/>
    <w:rsid w:val="0080091D"/>
    <w:rsid w:val="00804108"/>
    <w:rsid w:val="008047E6"/>
    <w:rsid w:val="00804FC4"/>
    <w:rsid w:val="008058FB"/>
    <w:rsid w:val="00810C14"/>
    <w:rsid w:val="00816367"/>
    <w:rsid w:val="00816A0B"/>
    <w:rsid w:val="00824B22"/>
    <w:rsid w:val="00830C53"/>
    <w:rsid w:val="00837FAA"/>
    <w:rsid w:val="00841F77"/>
    <w:rsid w:val="0085276D"/>
    <w:rsid w:val="008613D9"/>
    <w:rsid w:val="00863390"/>
    <w:rsid w:val="0086385C"/>
    <w:rsid w:val="00871916"/>
    <w:rsid w:val="00885A65"/>
    <w:rsid w:val="008956DD"/>
    <w:rsid w:val="008A510E"/>
    <w:rsid w:val="008A522A"/>
    <w:rsid w:val="008A799A"/>
    <w:rsid w:val="008B4464"/>
    <w:rsid w:val="008B750B"/>
    <w:rsid w:val="008C3162"/>
    <w:rsid w:val="008D1F14"/>
    <w:rsid w:val="008E3924"/>
    <w:rsid w:val="008F13F7"/>
    <w:rsid w:val="008F4DB4"/>
    <w:rsid w:val="008F5B4D"/>
    <w:rsid w:val="00907425"/>
    <w:rsid w:val="00910919"/>
    <w:rsid w:val="00923C34"/>
    <w:rsid w:val="00924152"/>
    <w:rsid w:val="0092513D"/>
    <w:rsid w:val="00927A9F"/>
    <w:rsid w:val="00927D37"/>
    <w:rsid w:val="009335CC"/>
    <w:rsid w:val="00935A55"/>
    <w:rsid w:val="00941CEB"/>
    <w:rsid w:val="0094720F"/>
    <w:rsid w:val="00953B28"/>
    <w:rsid w:val="00954322"/>
    <w:rsid w:val="00957CAA"/>
    <w:rsid w:val="0096778A"/>
    <w:rsid w:val="00973BB0"/>
    <w:rsid w:val="00977656"/>
    <w:rsid w:val="009846A7"/>
    <w:rsid w:val="0098794D"/>
    <w:rsid w:val="009926EC"/>
    <w:rsid w:val="0099497B"/>
    <w:rsid w:val="009A43BA"/>
    <w:rsid w:val="009B0D05"/>
    <w:rsid w:val="009B2DC1"/>
    <w:rsid w:val="009B4CA6"/>
    <w:rsid w:val="009B79F8"/>
    <w:rsid w:val="009C1739"/>
    <w:rsid w:val="009C66D5"/>
    <w:rsid w:val="009D13FD"/>
    <w:rsid w:val="009D266A"/>
    <w:rsid w:val="009F552D"/>
    <w:rsid w:val="009F7E07"/>
    <w:rsid w:val="00A01522"/>
    <w:rsid w:val="00A041CF"/>
    <w:rsid w:val="00A10A11"/>
    <w:rsid w:val="00A126E7"/>
    <w:rsid w:val="00A13C6A"/>
    <w:rsid w:val="00A17B09"/>
    <w:rsid w:val="00A3051A"/>
    <w:rsid w:val="00A457C6"/>
    <w:rsid w:val="00A46AD0"/>
    <w:rsid w:val="00A47063"/>
    <w:rsid w:val="00A473A8"/>
    <w:rsid w:val="00A513F0"/>
    <w:rsid w:val="00A5207C"/>
    <w:rsid w:val="00A61AC8"/>
    <w:rsid w:val="00A6366F"/>
    <w:rsid w:val="00A65D4C"/>
    <w:rsid w:val="00A70512"/>
    <w:rsid w:val="00A864EE"/>
    <w:rsid w:val="00A94303"/>
    <w:rsid w:val="00AA1F60"/>
    <w:rsid w:val="00AA40D7"/>
    <w:rsid w:val="00AB1E5F"/>
    <w:rsid w:val="00AB5F7D"/>
    <w:rsid w:val="00AC0C50"/>
    <w:rsid w:val="00AC6FE2"/>
    <w:rsid w:val="00AF3925"/>
    <w:rsid w:val="00B1296B"/>
    <w:rsid w:val="00B14F17"/>
    <w:rsid w:val="00B2292F"/>
    <w:rsid w:val="00B234EB"/>
    <w:rsid w:val="00B33512"/>
    <w:rsid w:val="00B43169"/>
    <w:rsid w:val="00B47E32"/>
    <w:rsid w:val="00B501A8"/>
    <w:rsid w:val="00B55AE4"/>
    <w:rsid w:val="00B70B46"/>
    <w:rsid w:val="00B739B0"/>
    <w:rsid w:val="00B814A3"/>
    <w:rsid w:val="00B91B5E"/>
    <w:rsid w:val="00B92CD8"/>
    <w:rsid w:val="00B96F38"/>
    <w:rsid w:val="00BA2A8A"/>
    <w:rsid w:val="00BB560D"/>
    <w:rsid w:val="00BB79E0"/>
    <w:rsid w:val="00BC716B"/>
    <w:rsid w:val="00BD0E74"/>
    <w:rsid w:val="00BD571C"/>
    <w:rsid w:val="00BD5F8C"/>
    <w:rsid w:val="00BE29DD"/>
    <w:rsid w:val="00BE6F75"/>
    <w:rsid w:val="00C066AF"/>
    <w:rsid w:val="00C07C3D"/>
    <w:rsid w:val="00C10E06"/>
    <w:rsid w:val="00C145B8"/>
    <w:rsid w:val="00C1699D"/>
    <w:rsid w:val="00C2438F"/>
    <w:rsid w:val="00C31AF0"/>
    <w:rsid w:val="00C32A7E"/>
    <w:rsid w:val="00C34F28"/>
    <w:rsid w:val="00C368DF"/>
    <w:rsid w:val="00C442C5"/>
    <w:rsid w:val="00C525F4"/>
    <w:rsid w:val="00C57839"/>
    <w:rsid w:val="00C57B5C"/>
    <w:rsid w:val="00C57C7C"/>
    <w:rsid w:val="00C61049"/>
    <w:rsid w:val="00C63FFE"/>
    <w:rsid w:val="00C7258D"/>
    <w:rsid w:val="00C87D4D"/>
    <w:rsid w:val="00C90020"/>
    <w:rsid w:val="00C91EB6"/>
    <w:rsid w:val="00C943AA"/>
    <w:rsid w:val="00CA10B0"/>
    <w:rsid w:val="00CA2F8E"/>
    <w:rsid w:val="00CA3EE2"/>
    <w:rsid w:val="00CA7FD5"/>
    <w:rsid w:val="00CB1ACA"/>
    <w:rsid w:val="00CB3287"/>
    <w:rsid w:val="00CB33E2"/>
    <w:rsid w:val="00CB4E68"/>
    <w:rsid w:val="00CC2733"/>
    <w:rsid w:val="00CD0050"/>
    <w:rsid w:val="00CD3650"/>
    <w:rsid w:val="00CE7481"/>
    <w:rsid w:val="00CF0A8F"/>
    <w:rsid w:val="00D048CE"/>
    <w:rsid w:val="00D10998"/>
    <w:rsid w:val="00D15CBD"/>
    <w:rsid w:val="00D17A84"/>
    <w:rsid w:val="00D221CB"/>
    <w:rsid w:val="00D23391"/>
    <w:rsid w:val="00D31805"/>
    <w:rsid w:val="00D41445"/>
    <w:rsid w:val="00D4197A"/>
    <w:rsid w:val="00D43942"/>
    <w:rsid w:val="00D502F9"/>
    <w:rsid w:val="00D552B9"/>
    <w:rsid w:val="00D735B2"/>
    <w:rsid w:val="00D74021"/>
    <w:rsid w:val="00D76D01"/>
    <w:rsid w:val="00D922A9"/>
    <w:rsid w:val="00D9394A"/>
    <w:rsid w:val="00DA745F"/>
    <w:rsid w:val="00DB0CBB"/>
    <w:rsid w:val="00DB67CC"/>
    <w:rsid w:val="00DC3783"/>
    <w:rsid w:val="00DD07E3"/>
    <w:rsid w:val="00DD2467"/>
    <w:rsid w:val="00DD5F08"/>
    <w:rsid w:val="00DE1070"/>
    <w:rsid w:val="00E00219"/>
    <w:rsid w:val="00E0316B"/>
    <w:rsid w:val="00E075B0"/>
    <w:rsid w:val="00E1631F"/>
    <w:rsid w:val="00E25E10"/>
    <w:rsid w:val="00E27BD7"/>
    <w:rsid w:val="00E32356"/>
    <w:rsid w:val="00E50B41"/>
    <w:rsid w:val="00E5219B"/>
    <w:rsid w:val="00E52D07"/>
    <w:rsid w:val="00E5518B"/>
    <w:rsid w:val="00E609FE"/>
    <w:rsid w:val="00E630BE"/>
    <w:rsid w:val="00E75920"/>
    <w:rsid w:val="00E80D96"/>
    <w:rsid w:val="00E82CC0"/>
    <w:rsid w:val="00E871FA"/>
    <w:rsid w:val="00E936A4"/>
    <w:rsid w:val="00E954BB"/>
    <w:rsid w:val="00EA45E7"/>
    <w:rsid w:val="00EA4870"/>
    <w:rsid w:val="00EB78E3"/>
    <w:rsid w:val="00EB7BE3"/>
    <w:rsid w:val="00EC1C4B"/>
    <w:rsid w:val="00EC735A"/>
    <w:rsid w:val="00ED5F38"/>
    <w:rsid w:val="00EE22F9"/>
    <w:rsid w:val="00EF27FE"/>
    <w:rsid w:val="00F07960"/>
    <w:rsid w:val="00F07FB6"/>
    <w:rsid w:val="00F149D0"/>
    <w:rsid w:val="00F16B53"/>
    <w:rsid w:val="00F25ECD"/>
    <w:rsid w:val="00F268AC"/>
    <w:rsid w:val="00F318BE"/>
    <w:rsid w:val="00F33297"/>
    <w:rsid w:val="00F343FB"/>
    <w:rsid w:val="00F359FE"/>
    <w:rsid w:val="00F42159"/>
    <w:rsid w:val="00F4256E"/>
    <w:rsid w:val="00F42EE1"/>
    <w:rsid w:val="00F50AD3"/>
    <w:rsid w:val="00F60F1F"/>
    <w:rsid w:val="00F64141"/>
    <w:rsid w:val="00F67508"/>
    <w:rsid w:val="00F71FC9"/>
    <w:rsid w:val="00F73B48"/>
    <w:rsid w:val="00F74F51"/>
    <w:rsid w:val="00F842AD"/>
    <w:rsid w:val="00F914EB"/>
    <w:rsid w:val="00F91B85"/>
    <w:rsid w:val="00F938E7"/>
    <w:rsid w:val="00FA31CA"/>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173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854046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59058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219161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718287">
      <w:bodyDiv w:val="1"/>
      <w:marLeft w:val="0"/>
      <w:marRight w:val="0"/>
      <w:marTop w:val="0"/>
      <w:marBottom w:val="0"/>
      <w:divBdr>
        <w:top w:val="none" w:sz="0" w:space="0" w:color="auto"/>
        <w:left w:val="none" w:sz="0" w:space="0" w:color="auto"/>
        <w:bottom w:val="none" w:sz="0" w:space="0" w:color="auto"/>
        <w:right w:val="none" w:sz="0" w:space="0" w:color="auto"/>
      </w:divBdr>
    </w:div>
    <w:div w:id="633945944">
      <w:bodyDiv w:val="1"/>
      <w:marLeft w:val="0"/>
      <w:marRight w:val="0"/>
      <w:marTop w:val="0"/>
      <w:marBottom w:val="0"/>
      <w:divBdr>
        <w:top w:val="none" w:sz="0" w:space="0" w:color="auto"/>
        <w:left w:val="none" w:sz="0" w:space="0" w:color="auto"/>
        <w:bottom w:val="none" w:sz="0" w:space="0" w:color="auto"/>
        <w:right w:val="none" w:sz="0" w:space="0" w:color="auto"/>
      </w:divBdr>
    </w:div>
    <w:div w:id="682630730">
      <w:bodyDiv w:val="1"/>
      <w:marLeft w:val="0"/>
      <w:marRight w:val="0"/>
      <w:marTop w:val="0"/>
      <w:marBottom w:val="0"/>
      <w:divBdr>
        <w:top w:val="none" w:sz="0" w:space="0" w:color="auto"/>
        <w:left w:val="none" w:sz="0" w:space="0" w:color="auto"/>
        <w:bottom w:val="none" w:sz="0" w:space="0" w:color="auto"/>
        <w:right w:val="none" w:sz="0" w:space="0" w:color="auto"/>
      </w:divBdr>
    </w:div>
    <w:div w:id="698969317">
      <w:bodyDiv w:val="1"/>
      <w:marLeft w:val="0"/>
      <w:marRight w:val="0"/>
      <w:marTop w:val="0"/>
      <w:marBottom w:val="0"/>
      <w:divBdr>
        <w:top w:val="none" w:sz="0" w:space="0" w:color="auto"/>
        <w:left w:val="none" w:sz="0" w:space="0" w:color="auto"/>
        <w:bottom w:val="none" w:sz="0" w:space="0" w:color="auto"/>
        <w:right w:val="none" w:sz="0" w:space="0" w:color="auto"/>
      </w:divBdr>
    </w:div>
    <w:div w:id="705180266">
      <w:bodyDiv w:val="1"/>
      <w:marLeft w:val="0"/>
      <w:marRight w:val="0"/>
      <w:marTop w:val="0"/>
      <w:marBottom w:val="0"/>
      <w:divBdr>
        <w:top w:val="none" w:sz="0" w:space="0" w:color="auto"/>
        <w:left w:val="none" w:sz="0" w:space="0" w:color="auto"/>
        <w:bottom w:val="none" w:sz="0" w:space="0" w:color="auto"/>
        <w:right w:val="none" w:sz="0" w:space="0" w:color="auto"/>
      </w:divBdr>
    </w:div>
    <w:div w:id="959843918">
      <w:bodyDiv w:val="1"/>
      <w:marLeft w:val="0"/>
      <w:marRight w:val="0"/>
      <w:marTop w:val="0"/>
      <w:marBottom w:val="0"/>
      <w:divBdr>
        <w:top w:val="none" w:sz="0" w:space="0" w:color="auto"/>
        <w:left w:val="none" w:sz="0" w:space="0" w:color="auto"/>
        <w:bottom w:val="none" w:sz="0" w:space="0" w:color="auto"/>
        <w:right w:val="none" w:sz="0" w:space="0" w:color="auto"/>
      </w:divBdr>
    </w:div>
    <w:div w:id="10212760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083210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703426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644754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648234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251549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341083">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7316643">
      <w:bodyDiv w:val="1"/>
      <w:marLeft w:val="0"/>
      <w:marRight w:val="0"/>
      <w:marTop w:val="0"/>
      <w:marBottom w:val="0"/>
      <w:divBdr>
        <w:top w:val="none" w:sz="0" w:space="0" w:color="auto"/>
        <w:left w:val="none" w:sz="0" w:space="0" w:color="auto"/>
        <w:bottom w:val="none" w:sz="0" w:space="0" w:color="auto"/>
        <w:right w:val="none" w:sz="0" w:space="0" w:color="auto"/>
      </w:divBdr>
    </w:div>
    <w:div w:id="211374405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432/&#1575;&#1604;&#1705;&#1606;&#1575;&#1606;&#1740;" TargetMode="External"/><Relationship Id="rId2" Type="http://schemas.openxmlformats.org/officeDocument/2006/relationships/hyperlink" Target="http://lib.eshia.ir/11005/5/432/&#1576;&#1575;&#1582;&#1578;&#1607;&#1575;" TargetMode="External"/><Relationship Id="rId1" Type="http://schemas.openxmlformats.org/officeDocument/2006/relationships/hyperlink" Target="http://lib.eshia.ir/11005/6/145/&#1575;&#1582;&#1578;&#1604;&#1593;&#1578;" TargetMode="External"/><Relationship Id="rId4" Type="http://schemas.openxmlformats.org/officeDocument/2006/relationships/hyperlink" Target="http://lib.eshia.ir/10081/1/114/&#1575;&#1587;&#1578;&#1588;&#170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29A9-F2C4-4CE4-AD78-95C09160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319</TotalTime>
  <Pages>6</Pages>
  <Words>1658</Words>
  <Characters>9452</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109</cp:revision>
  <cp:lastPrinted>2021-06-08T10:44:00Z</cp:lastPrinted>
  <dcterms:created xsi:type="dcterms:W3CDTF">2021-06-03T07:28:00Z</dcterms:created>
  <dcterms:modified xsi:type="dcterms:W3CDTF">2021-06-12T01:52:00Z</dcterms:modified>
  <cp:contentStatus>ویرایش 2.5</cp:contentStatus>
  <cp:version>2.7</cp:version>
</cp:coreProperties>
</file>