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BA" w:rsidRDefault="000529BA" w:rsidP="000529BA">
      <w:pPr>
        <w:rPr>
          <w:rFonts w:ascii="IRANSans" w:hAnsi="IRANSans" w:cs="IRANSans"/>
          <w:b/>
          <w:bCs/>
          <w:color w:val="0101FF"/>
          <w:sz w:val="24"/>
          <w:szCs w:val="24"/>
          <w:shd w:val="clear" w:color="auto" w:fill="FFFFFF"/>
          <w:lang w:val="x-none"/>
        </w:rPr>
      </w:pPr>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529BA" w:rsidRDefault="000529BA" w:rsidP="000529BA">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جلسه38</w:t>
      </w:r>
      <w:r>
        <w:rPr>
          <w:rFonts w:ascii="IRANSans" w:hAnsi="IRANSans" w:cs="IRANSans" w:hint="cs"/>
          <w:b/>
          <w:bCs/>
          <w:color w:val="0101FF"/>
          <w:sz w:val="24"/>
          <w:szCs w:val="24"/>
          <w:shd w:val="clear" w:color="auto" w:fill="FFFFFF"/>
          <w:rtl/>
          <w:lang w:val="x-none"/>
        </w:rPr>
        <w:t>4</w:t>
      </w:r>
      <w:r>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1</w:t>
      </w:r>
      <w:r>
        <w:rPr>
          <w:rFonts w:ascii="IRANSans" w:hAnsi="IRANSans" w:cs="IRANSans"/>
          <w:b/>
          <w:bCs/>
          <w:color w:val="0101FF"/>
          <w:sz w:val="24"/>
          <w:szCs w:val="24"/>
          <w:shd w:val="clear" w:color="auto" w:fill="FFFFFF"/>
          <w:rtl/>
          <w:lang w:val="x-none"/>
        </w:rPr>
        <w:t>/03/ 1400 تبدیل طلاق بائن به طلاق رجعی /فصل ششم تکمله‌ی عروه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273554" w:rsidP="00E14A2C">
      <w:pPr>
        <w:pBdr>
          <w:bottom w:val="double" w:sz="6" w:space="1" w:color="auto"/>
        </w:pBdr>
        <w:jc w:val="both"/>
        <w:rPr>
          <w:rtl/>
        </w:rPr>
      </w:pPr>
      <w:r>
        <w:rPr>
          <w:rFonts w:hint="cs"/>
          <w:rtl/>
        </w:rPr>
        <w:t>بحث در این بود که اگر عده‌ی طلاق بائن به عده‌ی طلاق رجعی تبدیل شود،</w:t>
      </w:r>
      <w:r w:rsidR="00955876">
        <w:rPr>
          <w:rFonts w:hint="cs"/>
          <w:rtl/>
        </w:rPr>
        <w:t xml:space="preserve"> </w:t>
      </w:r>
      <w:r w:rsidR="00616A5F">
        <w:rPr>
          <w:rFonts w:hint="cs"/>
          <w:rtl/>
        </w:rPr>
        <w:t>آیا احکام عده‌ی طلاق رجعی ثابت می شود؟ مانند جایی که مختلعه، رجوع در بذل کند، که در این صورت زوج حق رجوع پیدا می کند.</w:t>
      </w:r>
      <w:r w:rsidR="00FC21FA">
        <w:rPr>
          <w:rFonts w:hint="cs"/>
          <w:rtl/>
        </w:rPr>
        <w:t xml:space="preserve"> آیا احکام عده‌ی رجعی مانند نفقه، توارث و ... در این مورد ثابت می شود؟</w:t>
      </w:r>
    </w:p>
    <w:p w:rsidR="00FC21FA" w:rsidRDefault="00FC21FA" w:rsidP="00E14A2C">
      <w:pPr>
        <w:pBdr>
          <w:bottom w:val="double" w:sz="6" w:space="1" w:color="auto"/>
        </w:pBdr>
        <w:jc w:val="both"/>
        <w:rPr>
          <w:rtl/>
        </w:rPr>
      </w:pPr>
      <w:r>
        <w:rPr>
          <w:rFonts w:hint="cs"/>
          <w:rtl/>
        </w:rPr>
        <w:t>صاحب جواهر استدلالاتی در این مورد داشت که ما هیچ کدام را نپذیرفتیم.</w:t>
      </w:r>
    </w:p>
    <w:p w:rsidR="00247D2F" w:rsidRPr="003A6148" w:rsidRDefault="00247D2F" w:rsidP="00E14A2C">
      <w:pPr>
        <w:pBdr>
          <w:bottom w:val="double" w:sz="6" w:space="1" w:color="auto"/>
        </w:pBdr>
        <w:jc w:val="both"/>
      </w:pPr>
    </w:p>
    <w:p w:rsidR="008F5B4D" w:rsidRDefault="008F5B4D" w:rsidP="00E14A2C">
      <w:pPr>
        <w:jc w:val="both"/>
      </w:pPr>
    </w:p>
    <w:p w:rsidR="003E6650" w:rsidRPr="001A27D7" w:rsidRDefault="00196F61" w:rsidP="00566A2F">
      <w:pPr>
        <w:jc w:val="both"/>
        <w:rPr>
          <w:rtl/>
        </w:rPr>
      </w:pPr>
      <w:r>
        <w:rPr>
          <w:rFonts w:hint="cs"/>
          <w:rtl/>
        </w:rPr>
        <w:t>استدلال آخر صاحب جواهر که تسمک به روایت ابن بزیع بود، در مسالک نیز به آن اشاره شده است</w:t>
      </w:r>
      <w:r w:rsidR="00A31DB0">
        <w:rPr>
          <w:rFonts w:hint="cs"/>
          <w:rtl/>
        </w:rPr>
        <w:t xml:space="preserve">. گویا از </w:t>
      </w:r>
      <w:r w:rsidR="00566A2F">
        <w:rPr>
          <w:rFonts w:hint="cs"/>
          <w:rtl/>
        </w:rPr>
        <w:t>این روایت</w:t>
      </w:r>
      <w:r w:rsidR="00A31DB0">
        <w:rPr>
          <w:rFonts w:hint="cs"/>
          <w:rtl/>
        </w:rPr>
        <w:t xml:space="preserve"> استفاده می شود که </w:t>
      </w:r>
      <w:r w:rsidR="00E026E9">
        <w:rPr>
          <w:rFonts w:hint="cs"/>
          <w:rtl/>
        </w:rPr>
        <w:t>بعد از رجوع زوجه در بذل، زن زوجه می شود ( تکون امراته).</w:t>
      </w:r>
    </w:p>
    <w:p w:rsidR="00E14A2C" w:rsidRDefault="00566A2F" w:rsidP="00E14A2C">
      <w:pPr>
        <w:jc w:val="both"/>
        <w:rPr>
          <w:rtl/>
        </w:rPr>
      </w:pPr>
      <w:r>
        <w:rPr>
          <w:rFonts w:hint="cs"/>
          <w:rtl/>
        </w:rPr>
        <w:t>گفتیم این استدلال صحیح نیست.</w:t>
      </w:r>
      <w:r w:rsidR="002F4520">
        <w:rPr>
          <w:rFonts w:hint="cs"/>
          <w:rtl/>
        </w:rPr>
        <w:t xml:space="preserve"> دلیلی نداریم احکام زوجیت در این مورد ثابت شود. باید هر حکمی را به طور جداگانه بررسی کرد.</w:t>
      </w:r>
    </w:p>
    <w:p w:rsidR="004D5D5C" w:rsidRDefault="004D5D5C" w:rsidP="00E14A2C">
      <w:pPr>
        <w:jc w:val="both"/>
        <w:rPr>
          <w:rtl/>
        </w:rPr>
      </w:pPr>
      <w:r>
        <w:rPr>
          <w:rFonts w:hint="cs"/>
          <w:rtl/>
        </w:rPr>
        <w:t xml:space="preserve">به </w:t>
      </w:r>
      <w:r w:rsidR="00EB780E">
        <w:rPr>
          <w:rFonts w:hint="cs"/>
          <w:rtl/>
        </w:rPr>
        <w:t>نظر می رسد نفقه، توارث و</w:t>
      </w:r>
      <w:r>
        <w:rPr>
          <w:rFonts w:hint="cs"/>
          <w:rtl/>
        </w:rPr>
        <w:t xml:space="preserve"> عدم نکاح ا</w:t>
      </w:r>
      <w:r w:rsidR="006C5B9F">
        <w:rPr>
          <w:rFonts w:hint="cs"/>
          <w:rtl/>
        </w:rPr>
        <w:t>خت و خامسه در این مورد ثابت است؛ زیرا ظاهر ادله این است که اگر طلاق، رجعیِ بالفعل باشد</w:t>
      </w:r>
      <w:r w:rsidR="00607AF1">
        <w:rPr>
          <w:rFonts w:hint="cs"/>
          <w:rtl/>
        </w:rPr>
        <w:t xml:space="preserve">، برای ثبوت نفقه کافی است؛ به تناسبات حکم و موضوع، وجوب نفقه به خاطر سلطه ای است که </w:t>
      </w:r>
      <w:r w:rsidR="006326A8">
        <w:rPr>
          <w:rFonts w:hint="cs"/>
          <w:rtl/>
        </w:rPr>
        <w:t>زوج بر زوجه دارد، به همین دلیل شارع نفقه را بر زوج واجب کرده است.</w:t>
      </w:r>
    </w:p>
    <w:p w:rsidR="004D5D5C" w:rsidRDefault="00FC225C" w:rsidP="00E14A2C">
      <w:pPr>
        <w:jc w:val="both"/>
        <w:rPr>
          <w:rtl/>
        </w:rPr>
      </w:pPr>
      <w:r>
        <w:rPr>
          <w:rFonts w:hint="cs"/>
          <w:rtl/>
        </w:rPr>
        <w:t>توارث از فروع یک نوع علقه ای است که هنگام مرگ وجود داشته باشد و عدم وجود این علقه در زمان سابق تاثیری در آن ندارد و عرفا وجود این علقه در زمان مرگ کفایت می کند.</w:t>
      </w:r>
      <w:r w:rsidR="00D5192A">
        <w:rPr>
          <w:rFonts w:hint="cs"/>
          <w:rtl/>
        </w:rPr>
        <w:t xml:space="preserve"> در نتیجه موضوع توارث نیز رجعیِ بالفعل می باشد.</w:t>
      </w:r>
    </w:p>
    <w:p w:rsidR="00095B6D" w:rsidRDefault="00095B6D" w:rsidP="00E14A2C">
      <w:pPr>
        <w:jc w:val="both"/>
        <w:rPr>
          <w:rtl/>
        </w:rPr>
      </w:pPr>
      <w:r>
        <w:rPr>
          <w:rFonts w:hint="cs"/>
          <w:rtl/>
        </w:rPr>
        <w:t>در نکاح خامسه نیز با توجه به این که امکان رجوع برای زوج وجود دارد، مانع ازدواج خامسه و همچنین نکاح اخت می باشد.</w:t>
      </w:r>
    </w:p>
    <w:p w:rsidR="004D5D5C" w:rsidRDefault="00447FEA" w:rsidP="00E14A2C">
      <w:pPr>
        <w:jc w:val="both"/>
        <w:rPr>
          <w:rtl/>
        </w:rPr>
      </w:pPr>
      <w:r>
        <w:rPr>
          <w:rFonts w:hint="cs"/>
          <w:rtl/>
        </w:rPr>
        <w:t>نکته ای که در مطلقه‌ی رجعی وجود دارد، در ما نحن فیه نیز وجود دارد و همین مقدار که رجعی بالفعل باشد، کفایت می کند.</w:t>
      </w:r>
    </w:p>
    <w:p w:rsidR="00EF5A45" w:rsidRDefault="00EF5A45" w:rsidP="00E14A2C">
      <w:pPr>
        <w:jc w:val="both"/>
        <w:rPr>
          <w:rtl/>
        </w:rPr>
      </w:pPr>
      <w:r>
        <w:rPr>
          <w:rFonts w:hint="cs"/>
          <w:rtl/>
        </w:rPr>
        <w:t>روایت ابی بصیر نیز بر همین مطلب دلالت می کند:</w:t>
      </w:r>
    </w:p>
    <w:p w:rsidR="005F05AC" w:rsidRPr="005F05AC" w:rsidRDefault="005F05AC" w:rsidP="005F05AC">
      <w:pPr>
        <w:jc w:val="both"/>
        <w:rPr>
          <w:color w:val="008000"/>
        </w:rPr>
      </w:pPr>
      <w:r w:rsidRPr="005F05AC">
        <w:rPr>
          <w:rFonts w:hint="cs"/>
          <w:rtl/>
        </w:rPr>
        <w:lastRenderedPageBreak/>
        <w:t xml:space="preserve">عَنْهُ عَنْ مُحَمَّدِ بْنِ يَحْيَى عَنْ أَحْمَدَ بْنِ مُحَمَّدٍ عَنِ ابْنِ مَحْبُوبٍ عَنِ ابْنِ رِئَابٍ عَنْ أَبِي بَصِيرٍ عَنْ أَبِي عَبْدِ اللَّهِ ع قَالَ: </w:t>
      </w:r>
      <w:r w:rsidRPr="005F05AC">
        <w:rPr>
          <w:rFonts w:hint="cs"/>
          <w:color w:val="008000"/>
          <w:rtl/>
        </w:rPr>
        <w:t>سَأَلْتُهُ عَنْ رَجُلٍ اخْتَلَعَتْ‏ مِنْهُ‏ امْرَأَتُهُ‏ أَ يَحِلُّ لَهُ أَنْ يَخْطُبَ أُخْتَهَا مِنْ قَبْلِ أَنْ تَنْقَضِيَ عِدَّةُ الْمُخْتَلِعَةِ قَالَ نَعَمْ قَدْ بَرِئَتْ عِصْمَتُهَا مِنْهُ وَ لَيْسَ لَهُ عَلَيْهَا رَجْعَةٌ.</w:t>
      </w:r>
      <w:r>
        <w:rPr>
          <w:rStyle w:val="FootnoteReference"/>
          <w:color w:val="008000"/>
          <w:rtl/>
        </w:rPr>
        <w:footnoteReference w:id="1"/>
      </w:r>
    </w:p>
    <w:p w:rsidR="00E14A2C" w:rsidRDefault="00EF5820" w:rsidP="00881776">
      <w:pPr>
        <w:jc w:val="both"/>
        <w:rPr>
          <w:rtl/>
        </w:rPr>
      </w:pPr>
      <w:r>
        <w:rPr>
          <w:rFonts w:hint="cs"/>
          <w:rtl/>
        </w:rPr>
        <w:t>در این روایت می فرماید: این که مرد می تواند خواهر این زن را به تزویج درآورد</w:t>
      </w:r>
      <w:r w:rsidR="00C823C1">
        <w:rPr>
          <w:rFonts w:hint="cs"/>
          <w:rtl/>
        </w:rPr>
        <w:t xml:space="preserve">، به این دلیل است که </w:t>
      </w:r>
      <w:r w:rsidR="00C823C1" w:rsidRPr="005F05AC">
        <w:rPr>
          <w:rFonts w:hint="cs"/>
          <w:color w:val="008000"/>
          <w:rtl/>
        </w:rPr>
        <w:t>لَيْسَ لَهُ عَلَيْهَا رَجْعَةٌ.</w:t>
      </w:r>
      <w:r w:rsidR="00C823C1">
        <w:rPr>
          <w:rFonts w:hint="cs"/>
          <w:rtl/>
        </w:rPr>
        <w:t xml:space="preserve"> پس اگر امکان رجوع باشد، نمی تواند خواهر این زن را به تزویج در آورد.</w:t>
      </w:r>
      <w:r w:rsidR="00881776">
        <w:rPr>
          <w:rFonts w:hint="cs"/>
          <w:rtl/>
        </w:rPr>
        <w:t xml:space="preserve"> با رجوع زن از بذل، مرد حق رجوع می یابد و در نتیجه نمی تواند خواهر این زن را تزویج کند.</w:t>
      </w:r>
    </w:p>
    <w:p w:rsidR="00E14A2C" w:rsidRDefault="00237C4B" w:rsidP="00237C4B">
      <w:pPr>
        <w:pStyle w:val="Heading1"/>
        <w:rPr>
          <w:rtl/>
        </w:rPr>
      </w:pPr>
      <w:bookmarkStart w:id="1" w:name="_Toc73976711"/>
      <w:r>
        <w:rPr>
          <w:rFonts w:hint="cs"/>
          <w:rtl/>
        </w:rPr>
        <w:t>ازدواج با زن پنجم یا خواهر زن قبل از رجوع زن از بذل</w:t>
      </w:r>
      <w:bookmarkEnd w:id="1"/>
    </w:p>
    <w:p w:rsidR="002C3DA1" w:rsidRDefault="002C3DA1" w:rsidP="00E14A2C">
      <w:pPr>
        <w:jc w:val="both"/>
        <w:rPr>
          <w:rtl/>
        </w:rPr>
      </w:pPr>
      <w:r>
        <w:rPr>
          <w:rFonts w:hint="cs"/>
          <w:rtl/>
        </w:rPr>
        <w:t xml:space="preserve">صاحب جواهر و شهید ثانی در مسالک این بحث را مطرح کرده اند که </w:t>
      </w:r>
      <w:r w:rsidR="007924AA">
        <w:rPr>
          <w:rFonts w:hint="cs"/>
          <w:rtl/>
        </w:rPr>
        <w:t>بعد از رجوع زن در بذل، مرد نمی تواند با خواهر این زن و یا خامسه ازدواج کند؛ اما قبل ا</w:t>
      </w:r>
      <w:r w:rsidR="00CF44F4">
        <w:rPr>
          <w:rFonts w:hint="cs"/>
          <w:rtl/>
        </w:rPr>
        <w:t>ز رجوع زن، آیا مرد می تواند با خ</w:t>
      </w:r>
      <w:r w:rsidR="007746D2">
        <w:rPr>
          <w:rFonts w:hint="cs"/>
          <w:rtl/>
        </w:rPr>
        <w:t>واهر این زن یا خامسه ازدواج کند؟</w:t>
      </w:r>
    </w:p>
    <w:p w:rsidR="007746D2" w:rsidRDefault="007746D2" w:rsidP="00237C4B">
      <w:pPr>
        <w:pStyle w:val="Heading2"/>
        <w:rPr>
          <w:rtl/>
        </w:rPr>
      </w:pPr>
      <w:bookmarkStart w:id="2" w:name="_Toc73976712"/>
      <w:r>
        <w:rPr>
          <w:rFonts w:hint="cs"/>
          <w:rtl/>
        </w:rPr>
        <w:t>کلام شهید ثانی</w:t>
      </w:r>
      <w:bookmarkEnd w:id="2"/>
    </w:p>
    <w:p w:rsidR="00A9093F" w:rsidRPr="00180C26" w:rsidRDefault="00A9093F" w:rsidP="00A9093F">
      <w:pPr>
        <w:jc w:val="both"/>
        <w:rPr>
          <w:color w:val="000080"/>
        </w:rPr>
      </w:pPr>
      <w:r w:rsidRPr="00180C26">
        <w:rPr>
          <w:rFonts w:hint="cs"/>
          <w:color w:val="000080"/>
          <w:rtl/>
        </w:rPr>
        <w:t>و ممّا يتفرّع على ذلك جواز تزويجه أختها و رابعة، فأما بعد رجوعها فهو منتف، لأنها صارت حينئذ في حكم الزوجة كما صرّح به في الخبر الصحيح.</w:t>
      </w:r>
    </w:p>
    <w:p w:rsidR="00A9093F" w:rsidRPr="00180C26" w:rsidRDefault="00A9093F" w:rsidP="00180C26">
      <w:pPr>
        <w:jc w:val="both"/>
        <w:rPr>
          <w:color w:val="000080"/>
          <w:rtl/>
        </w:rPr>
      </w:pPr>
      <w:r w:rsidRPr="00180C26">
        <w:rPr>
          <w:rFonts w:hint="cs"/>
          <w:color w:val="000080"/>
          <w:rtl/>
        </w:rPr>
        <w:t>و أما قبله ففي جوازه وجهان، من تحقّق البينونة حينئذ، و من أنه بتزلزله في حكم الرجعي، و لأنه على تقدير تقدّم ذلك ثمَّ رجوعها يصير جامعا بين الأختين و أزيد من العدد الشرعي. فإن جوّزنا له فعل ذلك فهل لها الرجوع بعده؟ وجهان، من أنه حينئذ لا يمكنه الرجوع، و هو شرط في جواز رجوعها على ما مرّ، و من وجود المقتضي لرجوعها، و هو كونها في عدّة خلع، و المانع إنما جاء من قبله، و لم يثبت ذلك في حقّها، و لأن هذا العارض من قبله يمكنه إزالته بأن يطلّق الأخت و الرابعة بائنة، فله الرجوع حينئذ، لزوال المانع</w:t>
      </w:r>
      <w:r w:rsidR="00180C26" w:rsidRPr="00180C26">
        <w:rPr>
          <w:rFonts w:hint="cs"/>
          <w:color w:val="000080"/>
          <w:rtl/>
        </w:rPr>
        <w:t xml:space="preserve"> </w:t>
      </w:r>
      <w:r w:rsidRPr="00180C26">
        <w:rPr>
          <w:rFonts w:hint="cs"/>
          <w:color w:val="000080"/>
          <w:rtl/>
        </w:rPr>
        <w:t>و القول بجواز تزويجه في الموضعين قبل رجوعها لا يخلو من قوّة. و يدلّ عليه- مضافا إلى ما سلف- صحيحة أبي بصير عن أبي عبد اللّه عليه السلام قال:</w:t>
      </w:r>
    </w:p>
    <w:p w:rsidR="00A9093F" w:rsidRPr="00180C26" w:rsidRDefault="00A9093F" w:rsidP="00A9093F">
      <w:pPr>
        <w:jc w:val="both"/>
        <w:rPr>
          <w:color w:val="000080"/>
          <w:rtl/>
        </w:rPr>
      </w:pPr>
      <w:r w:rsidRPr="00180C26">
        <w:rPr>
          <w:rFonts w:hint="cs"/>
          <w:color w:val="000080"/>
          <w:rtl/>
        </w:rPr>
        <w:t>«سألته عن رجل اختلعت منه امرأته أ يحلّ له أن يخطب أختها من قبل أن تنقضي عدّة المختلعة؟ قال: نعم، قد برئت عصمتها منه، و ليس له عليها رجعة». و هذه الرواية و إن لم تكن صريحة في تزويجها بالفعل، لأن الخطبة لا تستلزم العقد، إلّا أنها ظاهرة فيه، و تعليلها مرشد إليه.</w:t>
      </w:r>
      <w:r w:rsidRPr="00180C26">
        <w:rPr>
          <w:rStyle w:val="FootnoteReference"/>
          <w:color w:val="000080"/>
          <w:rtl/>
        </w:rPr>
        <w:footnoteReference w:id="2"/>
      </w:r>
    </w:p>
    <w:p w:rsidR="00E14A2C" w:rsidRDefault="005D3F95" w:rsidP="00E14A2C">
      <w:pPr>
        <w:jc w:val="both"/>
        <w:rPr>
          <w:rtl/>
        </w:rPr>
      </w:pPr>
      <w:r>
        <w:rPr>
          <w:rFonts w:hint="cs"/>
          <w:rtl/>
        </w:rPr>
        <w:lastRenderedPageBreak/>
        <w:t>در مورد ازدواج با خواهر این زن، قبل از رجوع از بذل، دو وجه را بیان می کند:</w:t>
      </w:r>
    </w:p>
    <w:p w:rsidR="005D3F95" w:rsidRDefault="00E3538A" w:rsidP="00E14A2C">
      <w:pPr>
        <w:jc w:val="both"/>
        <w:rPr>
          <w:rtl/>
        </w:rPr>
      </w:pPr>
      <w:r>
        <w:rPr>
          <w:rFonts w:hint="cs"/>
          <w:rtl/>
        </w:rPr>
        <w:t>وجه اول: بینونت حاصل شده است و به همین جهت ازدواج با خواهر این زن صحیح است.</w:t>
      </w:r>
    </w:p>
    <w:p w:rsidR="00E3538A" w:rsidRPr="00E3538A" w:rsidRDefault="00E3538A" w:rsidP="00E3538A">
      <w:pPr>
        <w:jc w:val="both"/>
        <w:rPr>
          <w:rtl/>
        </w:rPr>
      </w:pPr>
      <w:r>
        <w:rPr>
          <w:rFonts w:hint="cs"/>
          <w:rtl/>
        </w:rPr>
        <w:t xml:space="preserve">وجه دوم: </w:t>
      </w:r>
      <w:r w:rsidRPr="00E3538A">
        <w:rPr>
          <w:rFonts w:hint="cs"/>
          <w:rtl/>
        </w:rPr>
        <w:t>بینونت متزلزل هست و این طلاق بائن می‌تواند تبدیل به رجعی شود.</w:t>
      </w:r>
    </w:p>
    <w:p w:rsidR="00F600BC" w:rsidRPr="00F600BC" w:rsidRDefault="00F600BC" w:rsidP="00636542">
      <w:pPr>
        <w:jc w:val="both"/>
        <w:rPr>
          <w:rtl/>
        </w:rPr>
      </w:pPr>
      <w:r w:rsidRPr="00F600BC">
        <w:rPr>
          <w:rFonts w:hint="cs"/>
          <w:rtl/>
        </w:rPr>
        <w:t xml:space="preserve">به نظر می‌رسد که وجه </w:t>
      </w:r>
      <w:r>
        <w:rPr>
          <w:rFonts w:hint="cs"/>
          <w:rtl/>
        </w:rPr>
        <w:t>عدم جواز</w:t>
      </w:r>
      <w:r w:rsidRPr="00F600BC">
        <w:rPr>
          <w:rFonts w:hint="cs"/>
          <w:rtl/>
        </w:rPr>
        <w:t xml:space="preserve"> مبتنی بر این است که رجوع زن در بذل و رجوع مرد را </w:t>
      </w:r>
      <w:r>
        <w:rPr>
          <w:rFonts w:hint="cs"/>
          <w:rtl/>
        </w:rPr>
        <w:t>بعد از ازدواج مرد با خواهر این زن</w:t>
      </w:r>
      <w:r w:rsidRPr="00F600BC">
        <w:rPr>
          <w:rFonts w:hint="cs"/>
          <w:rtl/>
        </w:rPr>
        <w:t xml:space="preserve"> جایز بدانیم. اما اگر گفتیم که مرد اگر با خواهر</w:t>
      </w:r>
      <w:r>
        <w:rPr>
          <w:rFonts w:hint="cs"/>
          <w:rtl/>
        </w:rPr>
        <w:t xml:space="preserve"> این زن ازدواج کند</w:t>
      </w:r>
      <w:r w:rsidRPr="00F600BC">
        <w:rPr>
          <w:rFonts w:hint="cs"/>
          <w:rtl/>
        </w:rPr>
        <w:t xml:space="preserve">، حق رجوع به زن سابقش را ندارد، این مشکل پیش نمی‌آید. در واقع در این جا دو حکم داریم که هر کدام فعلی شوند، مانع از فعلیت حکم دیگر است: اگر مرد جواز تزویج داشته باشد، حق رجوع ندارد و اگر حق رجوع داشته باشد، حق ازدواج با خواهر زن </w:t>
      </w:r>
      <w:r w:rsidR="00636542">
        <w:rPr>
          <w:rFonts w:hint="cs"/>
          <w:rtl/>
        </w:rPr>
        <w:t>را ندارد.</w:t>
      </w:r>
    </w:p>
    <w:p w:rsidR="00B56548" w:rsidRDefault="00B56548" w:rsidP="00237C4B">
      <w:pPr>
        <w:jc w:val="both"/>
        <w:rPr>
          <w:rtl/>
        </w:rPr>
      </w:pPr>
      <w:r w:rsidRPr="00B56548">
        <w:rPr>
          <w:rFonts w:hint="cs"/>
          <w:rtl/>
        </w:rPr>
        <w:t>در اصول این بحث در ورود مطرح شده است: اگر دو حکم شرعی داشته باشیم که هر کدام با فعلیت خود، ‌موضوع دلیل دیگر را از فعلیت بیندازد، ورود دو طرفه خواهیم داشت. مثلاً کسی دو نذر منافی هم کرده است، هر کدام از این دو نذر فعلی شود، به دلیل «لا</w:t>
      </w:r>
      <w:r>
        <w:rPr>
          <w:rFonts w:hint="cs"/>
          <w:rtl/>
        </w:rPr>
        <w:t xml:space="preserve"> </w:t>
      </w:r>
      <w:r w:rsidRPr="00B56548">
        <w:rPr>
          <w:rFonts w:hint="cs"/>
          <w:rtl/>
        </w:rPr>
        <w:t>نذر فی معصیة» مانع فعلیت نذر دیگر می‌شود. یا مثلاً زنی نذر خاصی دارد که با برخی از حقوق شوهر</w:t>
      </w:r>
      <w:r w:rsidR="00237C4B" w:rsidRPr="00237C4B">
        <w:rPr>
          <w:rFonts w:hint="cs"/>
          <w:rtl/>
        </w:rPr>
        <w:t xml:space="preserve"> </w:t>
      </w:r>
      <w:r w:rsidR="00237C4B" w:rsidRPr="00B56548">
        <w:rPr>
          <w:rFonts w:hint="cs"/>
          <w:rtl/>
        </w:rPr>
        <w:t>منافات</w:t>
      </w:r>
      <w:r w:rsidRPr="00B56548">
        <w:rPr>
          <w:rFonts w:hint="cs"/>
          <w:rtl/>
        </w:rPr>
        <w:t xml:space="preserve"> د</w:t>
      </w:r>
      <w:r w:rsidR="00237C4B">
        <w:rPr>
          <w:rFonts w:hint="cs"/>
          <w:rtl/>
        </w:rPr>
        <w:t>ارد و بعد با مردی ازدواج می‌کند، از طرفی</w:t>
      </w:r>
      <w:r w:rsidRPr="00B56548">
        <w:rPr>
          <w:rFonts w:hint="cs"/>
          <w:rtl/>
        </w:rPr>
        <w:t xml:space="preserve"> «لا طاعة لمخلوق فی معصیة الخالق» و از طرف دیگر «لا</w:t>
      </w:r>
      <w:r>
        <w:rPr>
          <w:rFonts w:hint="cs"/>
          <w:rtl/>
        </w:rPr>
        <w:t xml:space="preserve"> </w:t>
      </w:r>
      <w:r w:rsidR="00E62440">
        <w:rPr>
          <w:rFonts w:hint="cs"/>
          <w:rtl/>
        </w:rPr>
        <w:t>نذر فی معصیة»</w:t>
      </w:r>
      <w:r w:rsidR="00237C4B">
        <w:rPr>
          <w:rFonts w:hint="cs"/>
          <w:rtl/>
        </w:rPr>
        <w:t xml:space="preserve"> با هم تنافی دارند.</w:t>
      </w:r>
    </w:p>
    <w:p w:rsidR="00E62440" w:rsidRPr="00B56548" w:rsidRDefault="000F281B" w:rsidP="001441A7">
      <w:pPr>
        <w:jc w:val="both"/>
        <w:rPr>
          <w:rtl/>
        </w:rPr>
      </w:pPr>
      <w:r>
        <w:rPr>
          <w:rFonts w:hint="cs"/>
          <w:rtl/>
        </w:rPr>
        <w:t>آیت الله والد</w:t>
      </w:r>
      <w:r w:rsidR="00E62440">
        <w:rPr>
          <w:rFonts w:hint="cs"/>
          <w:rtl/>
        </w:rPr>
        <w:t xml:space="preserve"> بیانی را از آقای حکیم نقل کرده‌اند و آن را صحیح دانسته‌اند: عرفاً در این موارد هر یک از دو حکم که سببش از جهت زمانی مقدم باشد، فعلی می‌شود و مانع فعلیت حکم دیگر می‌شود. مثلاً در مثال تنافی عقد و نذر، اگر عقد مقدم زمانی </w:t>
      </w:r>
      <w:r w:rsidR="001441A7">
        <w:rPr>
          <w:rFonts w:hint="cs"/>
          <w:rtl/>
        </w:rPr>
        <w:t>باشد</w:t>
      </w:r>
      <w:r w:rsidR="00E62440">
        <w:rPr>
          <w:rFonts w:hint="cs"/>
          <w:rtl/>
        </w:rPr>
        <w:t xml:space="preserve">، عقد مقدم است و اگر نذر مقدم </w:t>
      </w:r>
      <w:r w:rsidR="001441A7">
        <w:rPr>
          <w:rFonts w:hint="cs"/>
          <w:rtl/>
        </w:rPr>
        <w:t>باشد</w:t>
      </w:r>
      <w:r w:rsidR="00202763">
        <w:rPr>
          <w:rFonts w:hint="cs"/>
          <w:rtl/>
        </w:rPr>
        <w:t>، همان مقدم است و مانع فعلیت دیگری می شود.</w:t>
      </w:r>
    </w:p>
    <w:p w:rsidR="00E62440" w:rsidRDefault="00E62440" w:rsidP="00E24BF6">
      <w:pPr>
        <w:jc w:val="both"/>
        <w:rPr>
          <w:rtl/>
        </w:rPr>
      </w:pPr>
      <w:r>
        <w:rPr>
          <w:rFonts w:hint="cs"/>
          <w:rtl/>
        </w:rPr>
        <w:t>در این جا هم جواز تزویج خامسه یا خواهر زن، در زمان بائن بودن طلاق صادر و فعلی شده است، اما فعلیت جواز رجوع مرد بعد از بذل خلع ایجاد می‌شود</w:t>
      </w:r>
      <w:r w:rsidR="00317A48">
        <w:rPr>
          <w:rFonts w:hint="cs"/>
          <w:rtl/>
        </w:rPr>
        <w:t xml:space="preserve"> و</w:t>
      </w:r>
      <w:r>
        <w:rPr>
          <w:rFonts w:hint="cs"/>
          <w:rtl/>
        </w:rPr>
        <w:t xml:space="preserve"> جواز تزویج اخت یا خامسه، مانع جواز رجوع زوج می‌شود. این مطلب در صحیحه‌ی</w:t>
      </w:r>
      <w:r w:rsidR="00E24BF6">
        <w:rPr>
          <w:rStyle w:val="FootnoteReference"/>
          <w:rtl/>
        </w:rPr>
        <w:footnoteReference w:id="3"/>
      </w:r>
      <w:r>
        <w:rPr>
          <w:rFonts w:hint="cs"/>
          <w:rtl/>
        </w:rPr>
        <w:t xml:space="preserve"> ابوبصیر آمده است:</w:t>
      </w:r>
    </w:p>
    <w:p w:rsidR="00E62440" w:rsidRPr="00180C26" w:rsidRDefault="00E62440" w:rsidP="00E62440">
      <w:pPr>
        <w:jc w:val="both"/>
        <w:rPr>
          <w:color w:val="000080"/>
          <w:rtl/>
        </w:rPr>
      </w:pPr>
      <w:r w:rsidRPr="00180C26">
        <w:rPr>
          <w:rFonts w:hint="cs"/>
          <w:color w:val="000080"/>
          <w:rtl/>
        </w:rPr>
        <w:t>و القول بجواز تزويجه في الموضعين قبل رجوعها لا يخلو من قوّة. و يدلّ عليه- مضافا إلى ما سلف- صحيحة أبي بصير عن أبي عبد اللّه عليه السلام قال:</w:t>
      </w:r>
    </w:p>
    <w:p w:rsidR="00E62440" w:rsidRDefault="00E62440" w:rsidP="00E62440">
      <w:pPr>
        <w:jc w:val="both"/>
        <w:rPr>
          <w:rtl/>
        </w:rPr>
      </w:pPr>
      <w:r w:rsidRPr="00180C26">
        <w:rPr>
          <w:rFonts w:hint="cs"/>
          <w:color w:val="000080"/>
          <w:rtl/>
        </w:rPr>
        <w:lastRenderedPageBreak/>
        <w:t>«سألته عن رجل اختلعت منه امرأته أ يحلّ له أن يخطب أختها من قبل أن تنقضي عدّة المختلعة؟ قال: نعم، قد برئت عصمتها منه، و ليس له عليها رجعة». و هذه الرواية و إن لم تكن صريحة في تزويجها بالفعل، لأن الخطبة لا تستلزم العقد، إلّا أنها ظاهرة فيه، و تعليلها مرشد إليه.</w:t>
      </w:r>
    </w:p>
    <w:p w:rsidR="00E62440" w:rsidRPr="00E62440" w:rsidRDefault="00E62440" w:rsidP="00F60F97">
      <w:pPr>
        <w:jc w:val="both"/>
        <w:rPr>
          <w:rtl/>
        </w:rPr>
      </w:pPr>
      <w:r w:rsidRPr="00E62440">
        <w:rPr>
          <w:rFonts w:hint="cs"/>
          <w:rtl/>
        </w:rPr>
        <w:t xml:space="preserve">خطبه یعنی خواستگاری که لازمه‌اش عقد نیست. اما این که خطبه جایز است، به این دلیل است که مقدمه‌ی عقد است؛ وقتی خطبه جایز شد، ذی المقدمه‌اش که عقد است </w:t>
      </w:r>
      <w:r w:rsidR="001972CA">
        <w:rPr>
          <w:rFonts w:hint="cs"/>
          <w:rtl/>
        </w:rPr>
        <w:t xml:space="preserve">نیز </w:t>
      </w:r>
      <w:r w:rsidRPr="00E62440">
        <w:rPr>
          <w:rFonts w:hint="cs"/>
          <w:rtl/>
        </w:rPr>
        <w:t>جایز می‌شود. در تعلیل این روایت هم آمده است که علت جواز خطبه، این است که مرد حق رجوع ندارد. این عبارت در جواهر تلخیص شده است و کمی گنگ شده است. باید در نظر داشته باشیم که جواهر منابعی دارد (مسالک، کشف اللثام و ...) و در این م</w:t>
      </w:r>
      <w:r w:rsidR="00F60F97">
        <w:rPr>
          <w:rFonts w:hint="cs"/>
          <w:rtl/>
        </w:rPr>
        <w:t>وارد باید به آن منبع رجوع کنیم تا مطلب روشن شود.</w:t>
      </w:r>
    </w:p>
    <w:p w:rsidR="008A542B" w:rsidRDefault="0015412C" w:rsidP="0015412C">
      <w:pPr>
        <w:pStyle w:val="Heading1"/>
        <w:rPr>
          <w:rtl/>
        </w:rPr>
      </w:pPr>
      <w:bookmarkStart w:id="3" w:name="_Toc73976713"/>
      <w:r>
        <w:rPr>
          <w:rFonts w:hint="cs"/>
          <w:rtl/>
        </w:rPr>
        <w:t>عدم جواز رجوع زن در بذل</w:t>
      </w:r>
      <w:bookmarkEnd w:id="3"/>
    </w:p>
    <w:p w:rsidR="00AE3FB5" w:rsidRPr="00AE3FB5" w:rsidRDefault="00532F10" w:rsidP="00AE3FB5">
      <w:pPr>
        <w:jc w:val="both"/>
        <w:rPr>
          <w:rtl/>
        </w:rPr>
      </w:pPr>
      <w:r>
        <w:rPr>
          <w:rFonts w:hint="cs"/>
          <w:rtl/>
        </w:rPr>
        <w:t>گفتیم</w:t>
      </w:r>
      <w:r w:rsidR="00AE3FB5" w:rsidRPr="00AE3FB5">
        <w:rPr>
          <w:rFonts w:hint="cs"/>
          <w:rtl/>
        </w:rPr>
        <w:t xml:space="preserve"> مرد در</w:t>
      </w:r>
      <w:r>
        <w:rPr>
          <w:rFonts w:hint="cs"/>
          <w:rtl/>
        </w:rPr>
        <w:t xml:space="preserve"> زمان بائن بودن طلاق همسر قبل</w:t>
      </w:r>
      <w:r w:rsidR="00AE3FB5" w:rsidRPr="00AE3FB5">
        <w:rPr>
          <w:rFonts w:hint="cs"/>
          <w:rtl/>
        </w:rPr>
        <w:t xml:space="preserve">ش می‌تواند با خواهر آن زن یا با پنجمی ازدواج نماید و مرد نمی‌تواند بعد از رجوع در بذل، به زن سابقش رجوع نماید. حال این سؤال پیش می‌آید که در این شرایط آیا زن اصولاً می‌تواند در بذل خلع رجوع نماید یا نمی‌تواند؟ شهید ثانی دو وجه ذکر کرده است: </w:t>
      </w:r>
    </w:p>
    <w:p w:rsidR="00AE3FB5" w:rsidRPr="00AE3FB5" w:rsidRDefault="00AE3FB5" w:rsidP="00AE3FB5">
      <w:pPr>
        <w:jc w:val="both"/>
        <w:rPr>
          <w:rtl/>
        </w:rPr>
      </w:pPr>
      <w:r w:rsidRPr="00AE3FB5">
        <w:rPr>
          <w:rFonts w:hint="cs"/>
          <w:rtl/>
        </w:rPr>
        <w:t xml:space="preserve">از یک طرف شرط رجوع زن در بذل این است که مرد هم بتواند رجوع در عقد نماید و در جایی که مرد نمی‌تواند رجوع در عقد نماید، رجوع زن در بذل هم صحیح نیست. </w:t>
      </w:r>
    </w:p>
    <w:p w:rsidR="00E62440" w:rsidRDefault="00AE3FB5" w:rsidP="00ED23C1">
      <w:pPr>
        <w:jc w:val="both"/>
        <w:rPr>
          <w:rtl/>
        </w:rPr>
      </w:pPr>
      <w:r w:rsidRPr="00AE3FB5">
        <w:rPr>
          <w:rFonts w:hint="cs"/>
          <w:rtl/>
        </w:rPr>
        <w:t>از طرف دیگر، می‌توان گفت که زن می‌تواند رجوع نماید زیرا مانع از رجوع مرد، از طرف خود اوست که رفته ازدواج کرده است. مانعی که او برای خود ایجاد کرده است، نمی‌تو</w:t>
      </w:r>
      <w:r w:rsidR="008E74FD">
        <w:rPr>
          <w:rFonts w:hint="cs"/>
          <w:rtl/>
        </w:rPr>
        <w:t>اند مانع برای احقاق حق زوجه شود</w:t>
      </w:r>
      <w:r w:rsidRPr="00AE3FB5">
        <w:rPr>
          <w:rFonts w:hint="cs"/>
          <w:rtl/>
        </w:rPr>
        <w:t xml:space="preserve">. همچنین مانعی که در خود مرد وجود دارد، مانع مستقری نیست، زیرا زوج می‌تواند همسر جدیدش را طلاق بائن دهد و به همسر سابق خود رجوع نماید. </w:t>
      </w:r>
    </w:p>
    <w:p w:rsidR="00B96B68" w:rsidRDefault="00B96B68" w:rsidP="00ED23C1">
      <w:pPr>
        <w:jc w:val="both"/>
        <w:rPr>
          <w:rtl/>
        </w:rPr>
      </w:pPr>
      <w:r>
        <w:rPr>
          <w:rFonts w:hint="cs"/>
          <w:rtl/>
        </w:rPr>
        <w:t>صاحب جواهر می فرماید: سه روایت قبلاً نقل شد</w:t>
      </w:r>
      <w:r w:rsidR="00F1310E">
        <w:rPr>
          <w:rFonts w:hint="cs"/>
          <w:rtl/>
        </w:rPr>
        <w:t xml:space="preserve"> که اگر زن در بذل رجوع کند</w:t>
      </w:r>
      <w:r>
        <w:rPr>
          <w:rFonts w:hint="cs"/>
          <w:rtl/>
        </w:rPr>
        <w:t>، مرد هم می‌تواند رجوع نماید. دلیل جواز رجوع زن در بذل این سه روایت است که شامل بح</w:t>
      </w:r>
      <w:r w:rsidR="00ED23C1">
        <w:rPr>
          <w:rFonts w:hint="cs"/>
          <w:rtl/>
        </w:rPr>
        <w:t>ث ما نمی‌شوند زیرا مربوط به موردی نیستند</w:t>
      </w:r>
      <w:r>
        <w:rPr>
          <w:rFonts w:hint="cs"/>
          <w:rtl/>
        </w:rPr>
        <w:t xml:space="preserve"> که مرد نمی‌تو</w:t>
      </w:r>
      <w:r w:rsidR="00ED23C1">
        <w:rPr>
          <w:rFonts w:hint="cs"/>
          <w:rtl/>
        </w:rPr>
        <w:t>اند در طلاق رجوع نماید</w:t>
      </w:r>
      <w:r>
        <w:rPr>
          <w:rFonts w:hint="cs"/>
          <w:rtl/>
        </w:rPr>
        <w:t xml:space="preserve">. باید یک بار دیگر این روایات را بررسی کنیم: </w:t>
      </w:r>
    </w:p>
    <w:p w:rsidR="00A24511" w:rsidRDefault="00A24511" w:rsidP="008A451C">
      <w:pPr>
        <w:jc w:val="both"/>
        <w:rPr>
          <w:rtl/>
        </w:rPr>
      </w:pPr>
      <w:r w:rsidRPr="00A84C61">
        <w:rPr>
          <w:rFonts w:hint="cs"/>
          <w:rtl/>
        </w:rPr>
        <w:t xml:space="preserve">أَحْمَدُ بْنُ مُحَمَّدِ بْنِ عِيسَى عَنْ مُحَمَّدِ بْنِ إِسْمَاعِيلَ بْنِ بَزِيعٍ‏ قَالَ: </w:t>
      </w:r>
      <w:r w:rsidRPr="00662820">
        <w:rPr>
          <w:rFonts w:hint="cs"/>
          <w:color w:val="008000"/>
          <w:rtl/>
        </w:rPr>
        <w:t>سَأَلْتُ أَبَا الْحَسَنِ الرِّضَا ع</w:t>
      </w:r>
      <w:r w:rsidRPr="00A84C61">
        <w:rPr>
          <w:rFonts w:hint="cs"/>
          <w:rtl/>
        </w:rPr>
        <w:t xml:space="preserve"> </w:t>
      </w:r>
      <w:r w:rsidRPr="00785E9F">
        <w:rPr>
          <w:rFonts w:hint="cs"/>
          <w:color w:val="008000"/>
          <w:rtl/>
        </w:rPr>
        <w:t xml:space="preserve">عَنِ الْمَرْأَةِ تُبَارِي‏ زَوْجَهَا أَوْ تَخْتَلِعُ‏ مِنْهُ بِشَهَادَةِ شَاهِدَيْنِ عَلَى طُهْرٍ مِنْ غَيْرِ جِمَاعٍ هَلْ تَبِينُ مِنْهُ بِذَلِكَ أَوْ هِيَ امْرَأَتُهُ مَا لَمْ يُتْبِعْهَا بِطَلَاقٍ فَقَالَ تَبِينُ مِنْهُ وَ إِنْ شَاءَتْ أَنْ يَرُدَّ </w:t>
      </w:r>
      <w:r w:rsidRPr="00785E9F">
        <w:rPr>
          <w:rFonts w:hint="cs"/>
          <w:color w:val="008000"/>
          <w:rtl/>
        </w:rPr>
        <w:lastRenderedPageBreak/>
        <w:t>إِلَيْهَا- مَا أَخَذَ مِنْهَا وَ تَكُونَ امْرَأَتَهُ فَعَلَتْ فَقُلْتُ إِنَّهُ قَدْ رُوِيَ لَنَا أَنَّهَا لَا تَبِينُ مِنْهُ حَتَّى يُتْبِعَهَا بِطَلَاقٍ قَالَ لَيْسَ ذَلِكَ إِذَنْ خُلْعٌ فَقُلْتُ تَبِينُ مِنْهُ قَالَ نَعَمْ.</w:t>
      </w:r>
      <w:r w:rsidRPr="00785E9F">
        <w:rPr>
          <w:rStyle w:val="FootnoteReference"/>
          <w:color w:val="008000"/>
          <w:rtl/>
        </w:rPr>
        <w:footnoteReference w:id="4"/>
      </w:r>
    </w:p>
    <w:p w:rsidR="004022FD" w:rsidRDefault="00B96B68" w:rsidP="00A24511">
      <w:pPr>
        <w:jc w:val="both"/>
        <w:rPr>
          <w:rtl/>
        </w:rPr>
      </w:pPr>
      <w:r>
        <w:rPr>
          <w:rFonts w:hint="cs"/>
          <w:rtl/>
        </w:rPr>
        <w:t>«</w:t>
      </w:r>
      <w:r w:rsidRPr="00A24511">
        <w:rPr>
          <w:rStyle w:val="a6"/>
          <w:rFonts w:cs="B Badr"/>
          <w:b/>
          <w:bCs w:val="0"/>
          <w:color w:val="008000"/>
          <w:rtl/>
        </w:rPr>
        <w:t>إِنْ شَاءَتْ أَنْ يَرُدَّ إِلَيْهَا مَا أَخَذَ مِنْهَا وَ تَكُونَ امْرَأَتَهُ فَعَلَتْ</w:t>
      </w:r>
      <w:r w:rsidR="00A24511">
        <w:rPr>
          <w:rFonts w:hint="cs"/>
          <w:rtl/>
        </w:rPr>
        <w:t>» صاحب جواهر امرأة</w:t>
      </w:r>
      <w:r w:rsidR="002F240B">
        <w:rPr>
          <w:rFonts w:hint="cs"/>
          <w:rtl/>
        </w:rPr>
        <w:t xml:space="preserve"> بودن را این</w:t>
      </w:r>
      <w:r w:rsidR="008548CB">
        <w:rPr>
          <w:rFonts w:hint="cs"/>
          <w:rtl/>
        </w:rPr>
        <w:t xml:space="preserve"> </w:t>
      </w:r>
      <w:r w:rsidR="002F240B">
        <w:rPr>
          <w:rFonts w:hint="cs"/>
          <w:rtl/>
        </w:rPr>
        <w:t>طور معنا کرده است</w:t>
      </w:r>
      <w:r>
        <w:rPr>
          <w:rFonts w:hint="cs"/>
          <w:rtl/>
        </w:rPr>
        <w:t xml:space="preserve"> که اگر زن رجوع در بذل کرد، طلاق رجعی می‌شود و همه‌ی احکام زوجیت بر این طلاق بار می‌شود. در اینجا که مرد نمی‌تواند رجوع نماید، طلاق رجعی نمی‌شود و </w:t>
      </w:r>
      <w:r w:rsidR="004022FD">
        <w:rPr>
          <w:rFonts w:hint="cs"/>
          <w:rtl/>
        </w:rPr>
        <w:t>احکام زوجیت قطعاً‌ بار نمی‌شود.</w:t>
      </w:r>
    </w:p>
    <w:p w:rsidR="004022FD" w:rsidRPr="004022FD" w:rsidRDefault="004022FD" w:rsidP="004022FD">
      <w:pPr>
        <w:jc w:val="both"/>
        <w:rPr>
          <w:color w:val="008000"/>
          <w:rtl/>
        </w:rPr>
      </w:pPr>
      <w:r w:rsidRPr="002F3CD9">
        <w:rPr>
          <w:rFonts w:hint="cs"/>
          <w:rtl/>
        </w:rPr>
        <w:t xml:space="preserve">حَدَّثَنِي أَبِي عَنِ ابْنِ أَبِي عُمَيْرٍ عَنِ ابْنِ سِنَانٍ عَنْ أَبِي عَبْدِ اللَّهِ ع قَالَ‏ </w:t>
      </w:r>
      <w:r w:rsidRPr="00963C1A">
        <w:rPr>
          <w:rFonts w:hint="cs"/>
          <w:color w:val="008000"/>
          <w:rtl/>
        </w:rPr>
        <w:t>الْخُلْعُ لَا يَكُونُ إِلَّا أَنْ تَقُولَ الْمَرْأَةُ لِزَوْجِهَا- لَا أُبِرُّ لَكَ قَسَماً وَ لَأَخْرُجَنَّ بِغَيْرِ إِذْنِكَ- وَ لَأُوطِيَنَّ فِرَاشَكَ غَيْرَكَ وَ لَا أَغْتَسِلُ لَكَ مِنْ جَنَابَةٍ أَوْ تَقُولَ لَا أُطِيعُ لَكَ أَمْراً أَوْ تُطَلِّقَنِي، فَإِذَا قَالَتْ ذَلِكَ فَقَدْ حَلَّ لَهُ أَنْ يَأْخُذَ مِنْهَا جَمِيعَ مَا أَعْطَاهَا- وَ كُلَّ مَا قَدَرَ عَلَيْهِ مِمَّا تُعْطِيهِ مِنْ مَالِهَا- فَإِذَا تَرَاضَيَا عَلَى ذَلِكَ طَلَّقَهَا عَلَى طُهْرٍ بِشُهُودٍ- فَقَدْ بَانَتْ مِنْهُ بِوَاحِدَةٍ، وَ هُوَ خَاطِبٌ مِنَ الْخُطَّابِ- فَإِنْ شَاءَتْ تَزَوَّجَتْهُ وَ إِنْ شَاءَتْ لَمْ تَفْعَلْ، فَإِنْ تَزَوَّجَهَا فَهِيَ عِنْدَهُ عَلَى اثْنَتَيْنِ بَاقِيَتَيْنِ، وَ يَنْبَغِي لَهُ أَنْ يَشْتَرِطَ عَلَيْهَا كَمَا اشْتَرَطَ صَاحِبُ الْمُبَارَاةِ- إِنِ ارْتَجَعْتِ فِي شَيْ‏ءٍ مِمَّا أَعْطَيْتِنِي- فَأَنَا أَمْلَكُ بِبُضْعِكِ، وَ قَالَ لَا خُلْعَ وَ لَا مُبَارَاةَ وَ لَا تَخْيِيرَ- إِلَّا عَلَى طُهْرٍ مِنْ غَيْرِ جِمَاعٍ بِشَهَادَةِ شَاهِدَيْنِ عَدْلَيْنِ، وَ الْمُخْتَلِعَةُ إِذَا تَزَوَّجَتْ زَوْجاً آخَرَ ثُمَّ طَلَّقَهَا- تَحِلُّ لِلْأَوَّلِ أَنْ يَتَزَوَّجَ بِهَا، وَ قَالَ لَا رَجْعَةَ لِلزَّوْجِ عَلَى الْمُخْتَلِعَةِ وَ لَا الْمُبَارَاةِ- إِلَّا أَنْ يَبْدُوَ لِلْمَرْأَةِ فَيَرُدُّ عَلَيْهَا مَا أَخَذَ مِنْهَا</w:t>
      </w:r>
      <w:r w:rsidRPr="00963C1A">
        <w:rPr>
          <w:rStyle w:val="FootnoteReference"/>
          <w:color w:val="008000"/>
          <w:rtl/>
        </w:rPr>
        <w:footnoteReference w:id="5"/>
      </w:r>
    </w:p>
    <w:p w:rsidR="00B96B68" w:rsidRDefault="00B96B68" w:rsidP="001B0AA6">
      <w:pPr>
        <w:jc w:val="both"/>
        <w:rPr>
          <w:rtl/>
        </w:rPr>
      </w:pPr>
      <w:r>
        <w:rPr>
          <w:rFonts w:hint="cs"/>
          <w:rtl/>
        </w:rPr>
        <w:t>عبارت «</w:t>
      </w:r>
      <w:r w:rsidRPr="00AE6FAF">
        <w:rPr>
          <w:rStyle w:val="a6"/>
          <w:rFonts w:cs="B Badr"/>
          <w:b/>
          <w:bCs w:val="0"/>
          <w:color w:val="008000"/>
          <w:rtl/>
        </w:rPr>
        <w:t>لَا رَجْعَةَ لِلزَّوْجِ عَلَى الْمُخْتَلِعَةِ وَ لَا الْمُبَارَاةِ إِلَّا أَنْ يَبْدُوَ لِلْمَرْأَةِ فَيَرُدُّ عَلَيْهَا مَا أَخَذَ مِنْهَا</w:t>
      </w:r>
      <w:r>
        <w:rPr>
          <w:rFonts w:hint="cs"/>
          <w:rtl/>
        </w:rPr>
        <w:t xml:space="preserve">» در </w:t>
      </w:r>
      <w:r w:rsidR="006E6BEC">
        <w:rPr>
          <w:rFonts w:hint="cs"/>
          <w:rtl/>
        </w:rPr>
        <w:t>این روایت نیز</w:t>
      </w:r>
      <w:r>
        <w:rPr>
          <w:rFonts w:hint="cs"/>
          <w:rtl/>
        </w:rPr>
        <w:t xml:space="preserve"> شامل بحث ما نمی‌شود زیرا فرض روایت جایی است که اگر برای زن بداء حاصل شد و رجوع کرد، برای مرد هم حق رجوع پیدا شود. </w:t>
      </w:r>
      <w:r w:rsidR="001B0AA6">
        <w:rPr>
          <w:rFonts w:hint="cs"/>
          <w:rtl/>
        </w:rPr>
        <w:t xml:space="preserve">این روایت شامل </w:t>
      </w:r>
      <w:r>
        <w:rPr>
          <w:rFonts w:hint="cs"/>
          <w:rtl/>
        </w:rPr>
        <w:t xml:space="preserve">صورتی که بعد از رجوع زن، مرد حق رجوع پیدا نمی‌کند، </w:t>
      </w:r>
      <w:r w:rsidR="001B0AA6">
        <w:rPr>
          <w:rFonts w:hint="cs"/>
          <w:rtl/>
        </w:rPr>
        <w:t>نمی شود.</w:t>
      </w:r>
    </w:p>
    <w:p w:rsidR="00E7071A" w:rsidRDefault="002C0D39" w:rsidP="00742E80">
      <w:pPr>
        <w:jc w:val="both"/>
        <w:rPr>
          <w:rtl/>
        </w:rPr>
      </w:pPr>
      <w:r>
        <w:rPr>
          <w:rFonts w:hint="cs"/>
          <w:rtl/>
        </w:rPr>
        <w:t xml:space="preserve">همچنین عبارت </w:t>
      </w:r>
      <w:r w:rsidR="00B96B68">
        <w:rPr>
          <w:rFonts w:hint="cs"/>
          <w:rtl/>
        </w:rPr>
        <w:t>«</w:t>
      </w:r>
      <w:r w:rsidR="00B96B68" w:rsidRPr="00E7071A">
        <w:rPr>
          <w:rStyle w:val="a6"/>
          <w:rFonts w:cs="B Badr"/>
          <w:b/>
          <w:bCs w:val="0"/>
          <w:color w:val="008000"/>
          <w:szCs w:val="28"/>
          <w:rtl/>
        </w:rPr>
        <w:t>الْمُخْتَلِعَةُ إِنْ رَجَعَتْ فِي شَيْ‏ءٍ مِنَ الصُّلْحِ يَقُولُ لَأَرْجِعَنَّ فِي بُضْعِكِ</w:t>
      </w:r>
      <w:r w:rsidR="00B96B68">
        <w:rPr>
          <w:rFonts w:hint="cs"/>
          <w:rtl/>
        </w:rPr>
        <w:t>» در روایت ابی العباس هم</w:t>
      </w:r>
      <w:r w:rsidR="00E7071A">
        <w:rPr>
          <w:rFonts w:hint="cs"/>
          <w:rtl/>
        </w:rPr>
        <w:t xml:space="preserve"> </w:t>
      </w:r>
      <w:r w:rsidR="000230C4">
        <w:rPr>
          <w:rFonts w:hint="cs"/>
          <w:rtl/>
        </w:rPr>
        <w:t xml:space="preserve">شامل </w:t>
      </w:r>
      <w:r w:rsidR="00E7071A">
        <w:rPr>
          <w:rFonts w:hint="cs"/>
          <w:rtl/>
        </w:rPr>
        <w:t>جایی که</w:t>
      </w:r>
      <w:r w:rsidR="000230C4">
        <w:rPr>
          <w:rFonts w:hint="cs"/>
          <w:rtl/>
        </w:rPr>
        <w:t xml:space="preserve"> اگر</w:t>
      </w:r>
      <w:r w:rsidR="00E7071A">
        <w:rPr>
          <w:rFonts w:hint="cs"/>
          <w:rtl/>
        </w:rPr>
        <w:t xml:space="preserve"> زن رجوع در بذل کند، مرد نمی تواند رجوع کند</w:t>
      </w:r>
      <w:r w:rsidR="000230C4">
        <w:rPr>
          <w:rFonts w:hint="cs"/>
          <w:rtl/>
        </w:rPr>
        <w:t>، نمی شود.</w:t>
      </w:r>
    </w:p>
    <w:p w:rsidR="00966CB0" w:rsidRDefault="00B96B68" w:rsidP="00966CB0">
      <w:pPr>
        <w:jc w:val="both"/>
        <w:rPr>
          <w:rtl/>
        </w:rPr>
      </w:pPr>
      <w:r>
        <w:rPr>
          <w:rFonts w:hint="cs"/>
          <w:rtl/>
        </w:rPr>
        <w:t xml:space="preserve">به نظر </w:t>
      </w:r>
      <w:r w:rsidR="00E7071A">
        <w:rPr>
          <w:rFonts w:hint="cs"/>
          <w:rtl/>
        </w:rPr>
        <w:t>می رسد</w:t>
      </w:r>
      <w:r>
        <w:rPr>
          <w:rFonts w:hint="cs"/>
          <w:rtl/>
        </w:rPr>
        <w:t xml:space="preserve"> فرمایش صاحب جواهر </w:t>
      </w:r>
      <w:r w:rsidR="00E7071A">
        <w:rPr>
          <w:rFonts w:hint="cs"/>
          <w:rtl/>
        </w:rPr>
        <w:t>تمام باشد</w:t>
      </w:r>
      <w:r>
        <w:rPr>
          <w:rFonts w:hint="cs"/>
          <w:rtl/>
        </w:rPr>
        <w:t xml:space="preserve"> </w:t>
      </w:r>
      <w:r w:rsidR="00E7071A">
        <w:rPr>
          <w:rFonts w:hint="cs"/>
          <w:rtl/>
        </w:rPr>
        <w:t>گر چه</w:t>
      </w:r>
      <w:r>
        <w:rPr>
          <w:rFonts w:hint="cs"/>
          <w:rtl/>
        </w:rPr>
        <w:t xml:space="preserve"> به این دلیل که این روایات اجمال دارند و قدر متیقن </w:t>
      </w:r>
      <w:r w:rsidR="00A93675">
        <w:rPr>
          <w:rFonts w:hint="cs"/>
          <w:rtl/>
        </w:rPr>
        <w:t>این سه روایت</w:t>
      </w:r>
      <w:r>
        <w:rPr>
          <w:rFonts w:hint="cs"/>
          <w:rtl/>
        </w:rPr>
        <w:t xml:space="preserve"> جایی</w:t>
      </w:r>
      <w:r w:rsidR="00966CB0">
        <w:rPr>
          <w:rFonts w:hint="cs"/>
          <w:rtl/>
        </w:rPr>
        <w:t xml:space="preserve"> است که مرد حق رجوع داشته باشد.</w:t>
      </w:r>
    </w:p>
    <w:p w:rsidR="00B96B68" w:rsidRDefault="00B96B68" w:rsidP="00966CB0">
      <w:pPr>
        <w:jc w:val="both"/>
        <w:rPr>
          <w:rtl/>
        </w:rPr>
      </w:pPr>
      <w:r>
        <w:rPr>
          <w:rFonts w:hint="cs"/>
          <w:rtl/>
        </w:rPr>
        <w:lastRenderedPageBreak/>
        <w:t>ممکن است بگوییم روشن نیست که این روایات به جایی</w:t>
      </w:r>
      <w:r w:rsidR="00966CB0" w:rsidRPr="00966CB0">
        <w:rPr>
          <w:rFonts w:hint="cs"/>
          <w:rtl/>
        </w:rPr>
        <w:t xml:space="preserve"> </w:t>
      </w:r>
      <w:r w:rsidR="00966CB0">
        <w:rPr>
          <w:rFonts w:hint="cs"/>
          <w:rtl/>
        </w:rPr>
        <w:t>اختصاص</w:t>
      </w:r>
      <w:r>
        <w:rPr>
          <w:rFonts w:hint="cs"/>
          <w:rtl/>
        </w:rPr>
        <w:t xml:space="preserve"> داشته باشند که مرد حق رجوع داشته باشد، اما در هر حال ظهور این روایات در تعمیم روشن نیست و می‌توان گفت که</w:t>
      </w:r>
      <w:r w:rsidR="00194012">
        <w:rPr>
          <w:rFonts w:hint="cs"/>
          <w:rtl/>
        </w:rPr>
        <w:t xml:space="preserve"> روایات از این باب اجمال دارند.</w:t>
      </w:r>
    </w:p>
    <w:p w:rsidR="004E11C0" w:rsidRDefault="00B96B68" w:rsidP="00917EA4">
      <w:pPr>
        <w:jc w:val="both"/>
        <w:rPr>
          <w:rtl/>
        </w:rPr>
      </w:pPr>
      <w:r>
        <w:rPr>
          <w:rFonts w:hint="cs"/>
          <w:rtl/>
        </w:rPr>
        <w:t xml:space="preserve">البته ما «تکون امراته» را غیر از معنایی </w:t>
      </w:r>
      <w:r w:rsidR="005E5544">
        <w:rPr>
          <w:rFonts w:hint="cs"/>
          <w:rtl/>
        </w:rPr>
        <w:t>که صاحب جواهر بیان کرد</w:t>
      </w:r>
      <w:r w:rsidR="007A4CEF">
        <w:rPr>
          <w:rFonts w:hint="cs"/>
          <w:rtl/>
        </w:rPr>
        <w:t xml:space="preserve">، معنا </w:t>
      </w:r>
      <w:r>
        <w:rPr>
          <w:rFonts w:hint="cs"/>
          <w:rtl/>
        </w:rPr>
        <w:t xml:space="preserve">‌کردیم و گفتیم که معنای </w:t>
      </w:r>
      <w:r w:rsidR="008922ED">
        <w:rPr>
          <w:rFonts w:hint="cs"/>
          <w:rtl/>
        </w:rPr>
        <w:t>«</w:t>
      </w:r>
      <w:r>
        <w:rPr>
          <w:rFonts w:hint="cs"/>
          <w:rtl/>
        </w:rPr>
        <w:t>تکون امراته</w:t>
      </w:r>
      <w:r w:rsidR="008922ED">
        <w:rPr>
          <w:rFonts w:hint="cs"/>
          <w:rtl/>
        </w:rPr>
        <w:t>»</w:t>
      </w:r>
      <w:r>
        <w:rPr>
          <w:rFonts w:hint="cs"/>
          <w:rtl/>
        </w:rPr>
        <w:t xml:space="preserve"> این است که اراده‌</w:t>
      </w:r>
      <w:r w:rsidR="00146AF2">
        <w:rPr>
          <w:rFonts w:hint="cs"/>
          <w:rtl/>
        </w:rPr>
        <w:t>‌ی</w:t>
      </w:r>
      <w:r>
        <w:rPr>
          <w:rFonts w:hint="cs"/>
          <w:rtl/>
        </w:rPr>
        <w:t xml:space="preserve"> زن این است که مرد شوهرش باشد و از طرف او مطلب تمام است؛ اما شو</w:t>
      </w:r>
      <w:r w:rsidR="004E11C0">
        <w:rPr>
          <w:rFonts w:hint="cs"/>
          <w:rtl/>
        </w:rPr>
        <w:t xml:space="preserve">هر </w:t>
      </w:r>
      <w:r w:rsidR="00917EA4">
        <w:rPr>
          <w:rFonts w:hint="cs"/>
          <w:rtl/>
        </w:rPr>
        <w:t>فعلا</w:t>
      </w:r>
      <w:r w:rsidR="004E11C0">
        <w:rPr>
          <w:rFonts w:hint="cs"/>
          <w:rtl/>
        </w:rPr>
        <w:t xml:space="preserve"> نمی‌تواند رجوع نماید.</w:t>
      </w:r>
    </w:p>
    <w:p w:rsidR="00B96B68" w:rsidRDefault="00B96B68" w:rsidP="00833765">
      <w:pPr>
        <w:jc w:val="both"/>
        <w:rPr>
          <w:rtl/>
        </w:rPr>
      </w:pPr>
      <w:r>
        <w:rPr>
          <w:rFonts w:hint="cs"/>
          <w:rtl/>
        </w:rPr>
        <w:t xml:space="preserve">ممکن است گفته شود که همین که مرد می‌تواند خامسه یا اخت را طلاق بدهد، کافی است برای اینکه بگوییم زن اراده کرده است که همسر آن مرد باشد. ولی به نظر ما روایت در این مطلب ظهوری ندارد، بلکه ظاهر روایت این است که زن اراده کرده است که همسر این مرد باشد و این اراده قوه‌ی قریب به فعلیت است. (یعنی اگر او با رجوع در بذل چنین اراده‌ای کرد، زمینه‌ی نزدیک به زوجه شدن فراهم است) مخصوصاً که طلاق دادن زن باید در طهر غیر مواقعه باشد که مقدمات را بعیده می‌کند. ظاهر </w:t>
      </w:r>
      <w:r w:rsidR="00833765">
        <w:rPr>
          <w:rFonts w:hint="cs"/>
          <w:rtl/>
        </w:rPr>
        <w:t>عبارت</w:t>
      </w:r>
      <w:r>
        <w:rPr>
          <w:rFonts w:hint="cs"/>
          <w:rtl/>
        </w:rPr>
        <w:t xml:space="preserve"> «</w:t>
      </w:r>
      <w:r w:rsidRPr="004E11C0">
        <w:rPr>
          <w:rStyle w:val="a6"/>
          <w:rFonts w:cs="B Badr"/>
          <w:b/>
          <w:bCs w:val="0"/>
          <w:color w:val="008000"/>
          <w:szCs w:val="28"/>
          <w:rtl/>
        </w:rPr>
        <w:t>لَا رَجْعَةَ لِلزَّوْجِ عَلَى الْمُخْتَلِعَةِ</w:t>
      </w:r>
      <w:r>
        <w:rPr>
          <w:rFonts w:hint="cs"/>
          <w:rtl/>
        </w:rPr>
        <w:t>»</w:t>
      </w:r>
      <w:r w:rsidR="00833765">
        <w:rPr>
          <w:rFonts w:hint="cs"/>
          <w:rtl/>
        </w:rPr>
        <w:t xml:space="preserve"> در روایت ابن سنان</w:t>
      </w:r>
      <w:r>
        <w:rPr>
          <w:rFonts w:hint="cs"/>
          <w:rtl/>
        </w:rPr>
        <w:t xml:space="preserve"> هم این است که اگر برای زن بداء حاصل شد، مرد می‌تواند رجوع نماید؛ </w:t>
      </w:r>
      <w:r w:rsidR="00146AF2">
        <w:rPr>
          <w:rFonts w:hint="cs"/>
          <w:rtl/>
        </w:rPr>
        <w:t>در حالی که</w:t>
      </w:r>
      <w:r>
        <w:rPr>
          <w:rFonts w:hint="cs"/>
          <w:rtl/>
        </w:rPr>
        <w:t xml:space="preserve"> مرد همین الآن نمی‌تواند رجوع نماید و لازم است که زن فعلی‌اش را طلاق دهد. </w:t>
      </w:r>
    </w:p>
    <w:p w:rsidR="00B96B68" w:rsidRDefault="00B96B68" w:rsidP="00472839">
      <w:pPr>
        <w:jc w:val="both"/>
        <w:rPr>
          <w:rtl/>
        </w:rPr>
      </w:pPr>
      <w:r>
        <w:rPr>
          <w:rFonts w:hint="cs"/>
          <w:rtl/>
        </w:rPr>
        <w:t>پس هرچند نمی‌توان اختصاص روایت به موردی که صاحب جواهر فرموده است را ثابت کرد، اما عدم ظهور روایت در تعمیم، برای اثبات مدعای صاحب جواهر کافی است.</w:t>
      </w:r>
      <w:r w:rsidR="00430F29">
        <w:rPr>
          <w:rFonts w:hint="cs"/>
          <w:rtl/>
        </w:rPr>
        <w:t xml:space="preserve"> در نتیجه در این صورت زن حق رجوع ندارد.</w:t>
      </w:r>
      <w:r w:rsidR="003B54F1">
        <w:rPr>
          <w:rFonts w:hint="cs"/>
          <w:rtl/>
        </w:rPr>
        <w:t xml:space="preserve"> بله اگر مرد، زن پنجم یا خواهر زن را طلاق بائن داد، حق رجوع برای زن ثابت می شود.</w:t>
      </w:r>
    </w:p>
    <w:p w:rsidR="00846D14" w:rsidRPr="006162A2" w:rsidRDefault="00846D14" w:rsidP="00E14A2C">
      <w:pPr>
        <w:jc w:val="both"/>
        <w:rPr>
          <w:rtl/>
        </w:rPr>
      </w:pPr>
    </w:p>
    <w:sectPr w:rsidR="00846D1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6D5" w:rsidRDefault="009B66D5" w:rsidP="008B750B">
      <w:pPr>
        <w:spacing w:line="240" w:lineRule="auto"/>
      </w:pPr>
      <w:r>
        <w:separator/>
      </w:r>
    </w:p>
  </w:endnote>
  <w:endnote w:type="continuationSeparator" w:id="0">
    <w:p w:rsidR="009B66D5" w:rsidRDefault="009B66D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Lotus">
    <w:altName w:val="Times New Roman"/>
    <w:charset w:val="00"/>
    <w:family w:val="auto"/>
    <w:pitch w:val="variable"/>
    <w:sig w:usb0="00000000" w:usb1="00000000" w:usb2="00000000" w:usb3="00000000" w:csb0="00000041"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529BA" w:rsidRPr="000529B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27AC4" w:rsidP="001B6799">
          <w:pPr>
            <w:pStyle w:val="Footer"/>
            <w:bidi w:val="0"/>
            <w:rPr>
              <w:color w:val="808080" w:themeColor="background1" w:themeShade="80"/>
              <w:rtl/>
            </w:rPr>
          </w:pPr>
          <w:bookmarkStart w:id="11" w:name="BokAdres"/>
          <w:bookmarkEnd w:id="11"/>
          <w:r>
            <w:rPr>
              <w:color w:val="808080" w:themeColor="background1" w:themeShade="80"/>
            </w:rPr>
            <w:t>F1js1_14000311-108_mk3_mfeb.ir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6D5" w:rsidRDefault="009B66D5" w:rsidP="008B750B">
      <w:pPr>
        <w:spacing w:line="240" w:lineRule="auto"/>
      </w:pPr>
      <w:r>
        <w:separator/>
      </w:r>
    </w:p>
  </w:footnote>
  <w:footnote w:type="continuationSeparator" w:id="0">
    <w:p w:rsidR="009B66D5" w:rsidRDefault="009B66D5" w:rsidP="008B750B">
      <w:pPr>
        <w:spacing w:line="240" w:lineRule="auto"/>
      </w:pPr>
      <w:r>
        <w:continuationSeparator/>
      </w:r>
    </w:p>
  </w:footnote>
  <w:footnote w:id="1">
    <w:p w:rsidR="005F05AC" w:rsidRPr="005F05AC" w:rsidRDefault="005F05AC" w:rsidP="005F05AC">
      <w:pPr>
        <w:pStyle w:val="FootnoteText"/>
      </w:pPr>
      <w:r w:rsidRPr="005F05AC">
        <w:footnoteRef/>
      </w:r>
      <w:r w:rsidRPr="005F05AC">
        <w:rPr>
          <w:rtl/>
        </w:rPr>
        <w:t xml:space="preserve"> </w:t>
      </w:r>
      <w:hyperlink r:id="rId1" w:history="1">
        <w:r w:rsidRPr="005F05AC">
          <w:rPr>
            <w:rStyle w:val="Hyperlink"/>
            <w:rFonts w:hint="cs"/>
            <w:rtl/>
          </w:rPr>
          <w:t>تهذیب</w:t>
        </w:r>
        <w:r w:rsidRPr="005F05AC">
          <w:rPr>
            <w:rStyle w:val="Hyperlink"/>
            <w:rtl/>
          </w:rPr>
          <w:t xml:space="preserve"> </w:t>
        </w:r>
        <w:r w:rsidRPr="005F05AC">
          <w:rPr>
            <w:rStyle w:val="Hyperlink"/>
            <w:rFonts w:hint="cs"/>
            <w:rtl/>
          </w:rPr>
          <w:t>الاحکام،</w:t>
        </w:r>
        <w:r w:rsidRPr="005F05AC">
          <w:rPr>
            <w:rStyle w:val="Hyperlink"/>
            <w:rtl/>
          </w:rPr>
          <w:t xml:space="preserve"> </w:t>
        </w:r>
        <w:r w:rsidRPr="005F05AC">
          <w:rPr>
            <w:rStyle w:val="Hyperlink"/>
            <w:rFonts w:hint="cs"/>
            <w:rtl/>
          </w:rPr>
          <w:t>شیخ</w:t>
        </w:r>
        <w:r w:rsidRPr="005F05AC">
          <w:rPr>
            <w:rStyle w:val="Hyperlink"/>
            <w:rtl/>
          </w:rPr>
          <w:t xml:space="preserve"> </w:t>
        </w:r>
        <w:r w:rsidRPr="005F05AC">
          <w:rPr>
            <w:rStyle w:val="Hyperlink"/>
            <w:rFonts w:hint="cs"/>
            <w:rtl/>
          </w:rPr>
          <w:t>طوسی،</w:t>
        </w:r>
        <w:r w:rsidRPr="005F05AC">
          <w:rPr>
            <w:rStyle w:val="Hyperlink"/>
            <w:rtl/>
          </w:rPr>
          <w:t xml:space="preserve"> </w:t>
        </w:r>
        <w:r w:rsidRPr="005F05AC">
          <w:rPr>
            <w:rStyle w:val="Hyperlink"/>
            <w:rFonts w:hint="cs"/>
            <w:rtl/>
          </w:rPr>
          <w:t>ج</w:t>
        </w:r>
        <w:r w:rsidRPr="005F05AC">
          <w:rPr>
            <w:rStyle w:val="Hyperlink"/>
            <w:rtl/>
          </w:rPr>
          <w:t>8</w:t>
        </w:r>
        <w:r w:rsidRPr="005F05AC">
          <w:rPr>
            <w:rStyle w:val="Hyperlink"/>
            <w:rFonts w:hint="cs"/>
            <w:rtl/>
          </w:rPr>
          <w:t>،</w:t>
        </w:r>
        <w:r w:rsidRPr="005F05AC">
          <w:rPr>
            <w:rStyle w:val="Hyperlink"/>
            <w:rtl/>
          </w:rPr>
          <w:t xml:space="preserve"> </w:t>
        </w:r>
        <w:r w:rsidRPr="005F05AC">
          <w:rPr>
            <w:rStyle w:val="Hyperlink"/>
            <w:rFonts w:hint="cs"/>
            <w:rtl/>
          </w:rPr>
          <w:t>ص</w:t>
        </w:r>
        <w:r w:rsidRPr="005F05AC">
          <w:rPr>
            <w:rStyle w:val="Hyperlink"/>
            <w:rtl/>
          </w:rPr>
          <w:t>137.</w:t>
        </w:r>
      </w:hyperlink>
    </w:p>
  </w:footnote>
  <w:footnote w:id="2">
    <w:p w:rsidR="00A9093F" w:rsidRPr="00A9093F" w:rsidRDefault="00A9093F" w:rsidP="00A9093F">
      <w:pPr>
        <w:pStyle w:val="FootnoteText"/>
      </w:pPr>
      <w:r w:rsidRPr="00A9093F">
        <w:footnoteRef/>
      </w:r>
      <w:r w:rsidRPr="00A9093F">
        <w:rPr>
          <w:rtl/>
        </w:rPr>
        <w:t xml:space="preserve"> </w:t>
      </w:r>
      <w:hyperlink r:id="rId2" w:history="1">
        <w:r w:rsidRPr="00A9093F">
          <w:rPr>
            <w:rStyle w:val="Hyperlink"/>
            <w:rFonts w:hint="cs"/>
            <w:rtl/>
          </w:rPr>
          <w:t>مسالک</w:t>
        </w:r>
        <w:r w:rsidRPr="00A9093F">
          <w:rPr>
            <w:rStyle w:val="Hyperlink"/>
            <w:rtl/>
          </w:rPr>
          <w:t xml:space="preserve"> </w:t>
        </w:r>
        <w:r w:rsidRPr="00A9093F">
          <w:rPr>
            <w:rStyle w:val="Hyperlink"/>
            <w:rFonts w:hint="cs"/>
            <w:rtl/>
          </w:rPr>
          <w:t>الأفهام</w:t>
        </w:r>
        <w:r w:rsidRPr="00A9093F">
          <w:rPr>
            <w:rStyle w:val="Hyperlink"/>
            <w:rtl/>
          </w:rPr>
          <w:t xml:space="preserve"> </w:t>
        </w:r>
        <w:r w:rsidRPr="00A9093F">
          <w:rPr>
            <w:rStyle w:val="Hyperlink"/>
            <w:rFonts w:hint="cs"/>
            <w:rtl/>
          </w:rPr>
          <w:t>إلی</w:t>
        </w:r>
        <w:r w:rsidRPr="00A9093F">
          <w:rPr>
            <w:rStyle w:val="Hyperlink"/>
            <w:rtl/>
          </w:rPr>
          <w:t xml:space="preserve"> </w:t>
        </w:r>
        <w:r w:rsidRPr="00A9093F">
          <w:rPr>
            <w:rStyle w:val="Hyperlink"/>
            <w:rFonts w:hint="cs"/>
            <w:rtl/>
          </w:rPr>
          <w:t>تنقیح</w:t>
        </w:r>
        <w:r w:rsidRPr="00A9093F">
          <w:rPr>
            <w:rStyle w:val="Hyperlink"/>
            <w:rtl/>
          </w:rPr>
          <w:t xml:space="preserve"> </w:t>
        </w:r>
        <w:r w:rsidRPr="00A9093F">
          <w:rPr>
            <w:rStyle w:val="Hyperlink"/>
            <w:rFonts w:hint="cs"/>
            <w:rtl/>
          </w:rPr>
          <w:t>شرائع</w:t>
        </w:r>
        <w:r w:rsidRPr="00A9093F">
          <w:rPr>
            <w:rStyle w:val="Hyperlink"/>
            <w:rtl/>
          </w:rPr>
          <w:t xml:space="preserve"> </w:t>
        </w:r>
        <w:r w:rsidRPr="00A9093F">
          <w:rPr>
            <w:rStyle w:val="Hyperlink"/>
            <w:rFonts w:hint="cs"/>
            <w:rtl/>
          </w:rPr>
          <w:t>الإسلام،</w:t>
        </w:r>
        <w:r w:rsidRPr="00A9093F">
          <w:rPr>
            <w:rStyle w:val="Hyperlink"/>
            <w:rtl/>
          </w:rPr>
          <w:t xml:space="preserve"> </w:t>
        </w:r>
        <w:r w:rsidRPr="00A9093F">
          <w:rPr>
            <w:rStyle w:val="Hyperlink"/>
            <w:rFonts w:hint="cs"/>
            <w:rtl/>
          </w:rPr>
          <w:t>زین</w:t>
        </w:r>
        <w:r w:rsidRPr="00A9093F">
          <w:rPr>
            <w:rStyle w:val="Hyperlink"/>
            <w:rtl/>
          </w:rPr>
          <w:t xml:space="preserve"> </w:t>
        </w:r>
        <w:r w:rsidRPr="00A9093F">
          <w:rPr>
            <w:rStyle w:val="Hyperlink"/>
            <w:rFonts w:hint="cs"/>
            <w:rtl/>
          </w:rPr>
          <w:t>الدین</w:t>
        </w:r>
        <w:r w:rsidRPr="00A9093F">
          <w:rPr>
            <w:rStyle w:val="Hyperlink"/>
            <w:rtl/>
          </w:rPr>
          <w:t xml:space="preserve"> </w:t>
        </w:r>
        <w:r w:rsidRPr="00A9093F">
          <w:rPr>
            <w:rStyle w:val="Hyperlink"/>
            <w:rFonts w:hint="cs"/>
            <w:rtl/>
          </w:rPr>
          <w:t>بن</w:t>
        </w:r>
        <w:r w:rsidRPr="00A9093F">
          <w:rPr>
            <w:rStyle w:val="Hyperlink"/>
            <w:rtl/>
          </w:rPr>
          <w:t xml:space="preserve"> </w:t>
        </w:r>
        <w:r w:rsidRPr="00A9093F">
          <w:rPr>
            <w:rStyle w:val="Hyperlink"/>
            <w:rFonts w:hint="cs"/>
            <w:rtl/>
          </w:rPr>
          <w:t>علی</w:t>
        </w:r>
        <w:r w:rsidRPr="00A9093F">
          <w:rPr>
            <w:rStyle w:val="Hyperlink"/>
            <w:rtl/>
          </w:rPr>
          <w:t xml:space="preserve"> </w:t>
        </w:r>
        <w:r w:rsidRPr="00A9093F">
          <w:rPr>
            <w:rStyle w:val="Hyperlink"/>
            <w:rFonts w:hint="cs"/>
            <w:rtl/>
          </w:rPr>
          <w:t>العاملی</w:t>
        </w:r>
        <w:r w:rsidRPr="00A9093F">
          <w:rPr>
            <w:rStyle w:val="Hyperlink"/>
            <w:rtl/>
          </w:rPr>
          <w:t xml:space="preserve"> (</w:t>
        </w:r>
        <w:r w:rsidRPr="00A9093F">
          <w:rPr>
            <w:rStyle w:val="Hyperlink"/>
            <w:rFonts w:hint="cs"/>
            <w:rtl/>
          </w:rPr>
          <w:t>الشهید</w:t>
        </w:r>
        <w:r w:rsidRPr="00A9093F">
          <w:rPr>
            <w:rStyle w:val="Hyperlink"/>
            <w:rtl/>
          </w:rPr>
          <w:t xml:space="preserve"> </w:t>
        </w:r>
        <w:r w:rsidRPr="00A9093F">
          <w:rPr>
            <w:rStyle w:val="Hyperlink"/>
            <w:rFonts w:hint="cs"/>
            <w:rtl/>
          </w:rPr>
          <w:t>الثانی</w:t>
        </w:r>
        <w:r w:rsidRPr="00A9093F">
          <w:rPr>
            <w:rStyle w:val="Hyperlink"/>
            <w:rtl/>
          </w:rPr>
          <w:t>)</w:t>
        </w:r>
        <w:r w:rsidRPr="00A9093F">
          <w:rPr>
            <w:rStyle w:val="Hyperlink"/>
            <w:rFonts w:hint="cs"/>
            <w:rtl/>
          </w:rPr>
          <w:t>،</w:t>
        </w:r>
        <w:r w:rsidRPr="00A9093F">
          <w:rPr>
            <w:rStyle w:val="Hyperlink"/>
            <w:rtl/>
          </w:rPr>
          <w:t xml:space="preserve"> </w:t>
        </w:r>
        <w:r w:rsidRPr="00A9093F">
          <w:rPr>
            <w:rStyle w:val="Hyperlink"/>
            <w:rFonts w:hint="cs"/>
            <w:rtl/>
          </w:rPr>
          <w:t>ج</w:t>
        </w:r>
        <w:r w:rsidRPr="00A9093F">
          <w:rPr>
            <w:rStyle w:val="Hyperlink"/>
            <w:rtl/>
          </w:rPr>
          <w:t>9</w:t>
        </w:r>
        <w:r w:rsidRPr="00A9093F">
          <w:rPr>
            <w:rStyle w:val="Hyperlink"/>
            <w:rFonts w:hint="cs"/>
            <w:rtl/>
          </w:rPr>
          <w:t>،</w:t>
        </w:r>
        <w:r w:rsidRPr="00A9093F">
          <w:rPr>
            <w:rStyle w:val="Hyperlink"/>
            <w:rtl/>
          </w:rPr>
          <w:t xml:space="preserve"> </w:t>
        </w:r>
        <w:r w:rsidRPr="00A9093F">
          <w:rPr>
            <w:rStyle w:val="Hyperlink"/>
            <w:rFonts w:hint="cs"/>
            <w:rtl/>
          </w:rPr>
          <w:t>ص</w:t>
        </w:r>
        <w:r w:rsidRPr="00A9093F">
          <w:rPr>
            <w:rStyle w:val="Hyperlink"/>
            <w:rtl/>
          </w:rPr>
          <w:t>428.</w:t>
        </w:r>
      </w:hyperlink>
    </w:p>
  </w:footnote>
  <w:footnote w:id="3">
    <w:p w:rsidR="00E24BF6" w:rsidRDefault="00E24BF6">
      <w:pPr>
        <w:pStyle w:val="FootnoteText"/>
      </w:pPr>
      <w:r>
        <w:rPr>
          <w:rStyle w:val="FootnoteReference"/>
        </w:rPr>
        <w:footnoteRef/>
      </w:r>
      <w:r>
        <w:rPr>
          <w:rtl/>
        </w:rPr>
        <w:t xml:space="preserve"> </w:t>
      </w:r>
      <w:r>
        <w:rPr>
          <w:rFonts w:hint="cs"/>
          <w:rtl/>
        </w:rPr>
        <w:t>شهید ثانی صحیحه تعبیر کرده است.</w:t>
      </w:r>
    </w:p>
  </w:footnote>
  <w:footnote w:id="4">
    <w:p w:rsidR="00A24511" w:rsidRPr="00785E9F" w:rsidRDefault="00A24511" w:rsidP="00A24511">
      <w:pPr>
        <w:pStyle w:val="FootnoteText"/>
      </w:pPr>
      <w:r w:rsidRPr="00785E9F">
        <w:footnoteRef/>
      </w:r>
      <w:r w:rsidRPr="00785E9F">
        <w:rPr>
          <w:rtl/>
        </w:rPr>
        <w:t xml:space="preserve"> </w:t>
      </w:r>
      <w:hyperlink r:id="rId3" w:history="1">
        <w:r w:rsidRPr="00785E9F">
          <w:rPr>
            <w:rStyle w:val="Hyperlink"/>
            <w:rFonts w:hint="cs"/>
            <w:rtl/>
          </w:rPr>
          <w:t>تهذیب</w:t>
        </w:r>
        <w:r w:rsidRPr="00785E9F">
          <w:rPr>
            <w:rStyle w:val="Hyperlink"/>
            <w:rtl/>
          </w:rPr>
          <w:t xml:space="preserve"> </w:t>
        </w:r>
        <w:r w:rsidRPr="00785E9F">
          <w:rPr>
            <w:rStyle w:val="Hyperlink"/>
            <w:rFonts w:hint="cs"/>
            <w:rtl/>
          </w:rPr>
          <w:t>الاحکام،</w:t>
        </w:r>
        <w:r w:rsidRPr="00785E9F">
          <w:rPr>
            <w:rStyle w:val="Hyperlink"/>
            <w:rtl/>
          </w:rPr>
          <w:t xml:space="preserve"> </w:t>
        </w:r>
        <w:r w:rsidRPr="00785E9F">
          <w:rPr>
            <w:rStyle w:val="Hyperlink"/>
            <w:rFonts w:hint="cs"/>
            <w:rtl/>
          </w:rPr>
          <w:t>شیخ</w:t>
        </w:r>
        <w:r w:rsidRPr="00785E9F">
          <w:rPr>
            <w:rStyle w:val="Hyperlink"/>
            <w:rtl/>
          </w:rPr>
          <w:t xml:space="preserve"> </w:t>
        </w:r>
        <w:r w:rsidRPr="00785E9F">
          <w:rPr>
            <w:rStyle w:val="Hyperlink"/>
            <w:rFonts w:hint="cs"/>
            <w:rtl/>
          </w:rPr>
          <w:t>طوسی،</w:t>
        </w:r>
        <w:r w:rsidRPr="00785E9F">
          <w:rPr>
            <w:rStyle w:val="Hyperlink"/>
            <w:rtl/>
          </w:rPr>
          <w:t xml:space="preserve"> </w:t>
        </w:r>
        <w:r w:rsidRPr="00785E9F">
          <w:rPr>
            <w:rStyle w:val="Hyperlink"/>
            <w:rFonts w:hint="cs"/>
            <w:rtl/>
          </w:rPr>
          <w:t>ج</w:t>
        </w:r>
        <w:r w:rsidRPr="00785E9F">
          <w:rPr>
            <w:rStyle w:val="Hyperlink"/>
            <w:rtl/>
          </w:rPr>
          <w:t>8</w:t>
        </w:r>
        <w:r w:rsidRPr="00785E9F">
          <w:rPr>
            <w:rStyle w:val="Hyperlink"/>
            <w:rFonts w:hint="cs"/>
            <w:rtl/>
          </w:rPr>
          <w:t>،</w:t>
        </w:r>
        <w:r w:rsidRPr="00785E9F">
          <w:rPr>
            <w:rStyle w:val="Hyperlink"/>
            <w:rtl/>
          </w:rPr>
          <w:t xml:space="preserve"> </w:t>
        </w:r>
        <w:r w:rsidRPr="00785E9F">
          <w:rPr>
            <w:rStyle w:val="Hyperlink"/>
            <w:rFonts w:hint="cs"/>
            <w:rtl/>
          </w:rPr>
          <w:t>ص</w:t>
        </w:r>
        <w:r w:rsidRPr="00785E9F">
          <w:rPr>
            <w:rStyle w:val="Hyperlink"/>
            <w:rtl/>
          </w:rPr>
          <w:t>98.</w:t>
        </w:r>
      </w:hyperlink>
    </w:p>
  </w:footnote>
  <w:footnote w:id="5">
    <w:p w:rsidR="004022FD" w:rsidRPr="002F3CD9" w:rsidRDefault="004022FD" w:rsidP="004022FD">
      <w:pPr>
        <w:pStyle w:val="FootnoteText"/>
      </w:pPr>
      <w:r w:rsidRPr="002F3CD9">
        <w:footnoteRef/>
      </w:r>
      <w:r w:rsidRPr="002F3CD9">
        <w:rPr>
          <w:rtl/>
        </w:rPr>
        <w:t xml:space="preserve"> </w:t>
      </w:r>
      <w:hyperlink r:id="rId4" w:history="1">
        <w:r w:rsidRPr="002F3CD9">
          <w:rPr>
            <w:rStyle w:val="Hyperlink"/>
            <w:rFonts w:hint="cs"/>
            <w:rtl/>
          </w:rPr>
          <w:t>تفسیر</w:t>
        </w:r>
        <w:r w:rsidRPr="002F3CD9">
          <w:rPr>
            <w:rStyle w:val="Hyperlink"/>
            <w:rtl/>
          </w:rPr>
          <w:t xml:space="preserve"> </w:t>
        </w:r>
        <w:r w:rsidRPr="002F3CD9">
          <w:rPr>
            <w:rStyle w:val="Hyperlink"/>
            <w:rFonts w:hint="cs"/>
            <w:rtl/>
          </w:rPr>
          <w:t>القمی،</w:t>
        </w:r>
        <w:r w:rsidRPr="002F3CD9">
          <w:rPr>
            <w:rStyle w:val="Hyperlink"/>
            <w:rtl/>
          </w:rPr>
          <w:t xml:space="preserve"> </w:t>
        </w:r>
        <w:r w:rsidRPr="002F3CD9">
          <w:rPr>
            <w:rStyle w:val="Hyperlink"/>
            <w:rFonts w:hint="cs"/>
            <w:rtl/>
          </w:rPr>
          <w:t>علی</w:t>
        </w:r>
        <w:r w:rsidRPr="002F3CD9">
          <w:rPr>
            <w:rStyle w:val="Hyperlink"/>
            <w:rtl/>
          </w:rPr>
          <w:t xml:space="preserve"> </w:t>
        </w:r>
        <w:r w:rsidRPr="002F3CD9">
          <w:rPr>
            <w:rStyle w:val="Hyperlink"/>
            <w:rFonts w:hint="cs"/>
            <w:rtl/>
          </w:rPr>
          <w:t>بن</w:t>
        </w:r>
        <w:r w:rsidRPr="002F3CD9">
          <w:rPr>
            <w:rStyle w:val="Hyperlink"/>
            <w:rtl/>
          </w:rPr>
          <w:t xml:space="preserve"> </w:t>
        </w:r>
        <w:r w:rsidRPr="002F3CD9">
          <w:rPr>
            <w:rStyle w:val="Hyperlink"/>
            <w:rFonts w:hint="cs"/>
            <w:rtl/>
          </w:rPr>
          <w:t>ابراهیم</w:t>
        </w:r>
        <w:r w:rsidRPr="002F3CD9">
          <w:rPr>
            <w:rStyle w:val="Hyperlink"/>
            <w:rtl/>
          </w:rPr>
          <w:t xml:space="preserve"> </w:t>
        </w:r>
        <w:r w:rsidRPr="002F3CD9">
          <w:rPr>
            <w:rStyle w:val="Hyperlink"/>
            <w:rFonts w:hint="cs"/>
            <w:rtl/>
          </w:rPr>
          <w:t>قمی،</w:t>
        </w:r>
        <w:r w:rsidRPr="002F3CD9">
          <w:rPr>
            <w:rStyle w:val="Hyperlink"/>
            <w:rtl/>
          </w:rPr>
          <w:t xml:space="preserve"> </w:t>
        </w:r>
        <w:r w:rsidRPr="002F3CD9">
          <w:rPr>
            <w:rStyle w:val="Hyperlink"/>
            <w:rFonts w:hint="cs"/>
            <w:rtl/>
          </w:rPr>
          <w:t>ج</w:t>
        </w:r>
        <w:r w:rsidRPr="002F3CD9">
          <w:rPr>
            <w:rStyle w:val="Hyperlink"/>
            <w:rtl/>
          </w:rPr>
          <w:t>1</w:t>
        </w:r>
        <w:r w:rsidRPr="002F3CD9">
          <w:rPr>
            <w:rStyle w:val="Hyperlink"/>
            <w:rFonts w:hint="cs"/>
            <w:rtl/>
          </w:rPr>
          <w:t>،</w:t>
        </w:r>
        <w:r w:rsidRPr="002F3CD9">
          <w:rPr>
            <w:rStyle w:val="Hyperlink"/>
            <w:rtl/>
          </w:rPr>
          <w:t xml:space="preserve"> </w:t>
        </w:r>
        <w:r w:rsidRPr="002F3CD9">
          <w:rPr>
            <w:rStyle w:val="Hyperlink"/>
            <w:rFonts w:hint="cs"/>
            <w:rtl/>
          </w:rPr>
          <w:t>ص</w:t>
        </w:r>
        <w:r w:rsidRPr="002F3CD9">
          <w:rPr>
            <w:rStyle w:val="Hyperlink"/>
            <w:rtl/>
          </w:rPr>
          <w:t>75.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827AC4">
      <w:rPr>
        <w:b/>
        <w:bCs/>
        <w:sz w:val="20"/>
        <w:szCs w:val="24"/>
        <w:rtl/>
      </w:rPr>
      <w:t>108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827AC4">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827AC4">
      <w:rPr>
        <w:rFonts w:hint="cs"/>
        <w:b/>
        <w:bCs/>
        <w:color w:val="632423" w:themeColor="accent2" w:themeShade="80"/>
        <w:sz w:val="20"/>
        <w:szCs w:val="24"/>
        <w:rtl/>
      </w:rPr>
      <w:t>سید</w:t>
    </w:r>
    <w:r w:rsidR="00827AC4">
      <w:rPr>
        <w:b/>
        <w:bCs/>
        <w:color w:val="632423" w:themeColor="accent2" w:themeShade="80"/>
        <w:sz w:val="20"/>
        <w:szCs w:val="24"/>
        <w:rtl/>
      </w:rPr>
      <w:t xml:space="preserve"> </w:t>
    </w:r>
    <w:r w:rsidR="00827AC4">
      <w:rPr>
        <w:rFonts w:hint="cs"/>
        <w:b/>
        <w:bCs/>
        <w:color w:val="632423" w:themeColor="accent2" w:themeShade="80"/>
        <w:sz w:val="20"/>
        <w:szCs w:val="24"/>
        <w:rtl/>
      </w:rPr>
      <w:t>محمد</w:t>
    </w:r>
    <w:r w:rsidR="00827AC4">
      <w:rPr>
        <w:b/>
        <w:bCs/>
        <w:color w:val="632423" w:themeColor="accent2" w:themeShade="80"/>
        <w:sz w:val="20"/>
        <w:szCs w:val="24"/>
        <w:rtl/>
      </w:rPr>
      <w:t xml:space="preserve"> </w:t>
    </w:r>
    <w:r w:rsidR="00827AC4">
      <w:rPr>
        <w:rFonts w:hint="cs"/>
        <w:b/>
        <w:bCs/>
        <w:color w:val="632423" w:themeColor="accent2" w:themeShade="80"/>
        <w:sz w:val="20"/>
        <w:szCs w:val="24"/>
        <w:rtl/>
      </w:rPr>
      <w:t>جواد</w:t>
    </w:r>
    <w:r w:rsidR="00827AC4">
      <w:rPr>
        <w:b/>
        <w:bCs/>
        <w:color w:val="632423" w:themeColor="accent2" w:themeShade="80"/>
        <w:sz w:val="20"/>
        <w:szCs w:val="24"/>
        <w:rtl/>
      </w:rPr>
      <w:t xml:space="preserve"> </w:t>
    </w:r>
    <w:r w:rsidR="00827AC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827AC4">
      <w:rPr>
        <w:sz w:val="24"/>
        <w:szCs w:val="24"/>
        <w:rtl/>
      </w:rPr>
      <w:t>11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827AC4">
      <w:rPr>
        <w:rFonts w:hint="cs"/>
        <w:color w:val="000000" w:themeColor="text1"/>
        <w:sz w:val="24"/>
        <w:szCs w:val="24"/>
        <w:rtl/>
      </w:rPr>
      <w:t>فصل</w:t>
    </w:r>
    <w:r w:rsidR="00827AC4">
      <w:rPr>
        <w:color w:val="000000" w:themeColor="text1"/>
        <w:sz w:val="24"/>
        <w:szCs w:val="24"/>
        <w:rtl/>
      </w:rPr>
      <w:t xml:space="preserve"> </w:t>
    </w:r>
    <w:r w:rsidR="00827AC4">
      <w:rPr>
        <w:rFonts w:hint="cs"/>
        <w:color w:val="000000" w:themeColor="text1"/>
        <w:sz w:val="24"/>
        <w:szCs w:val="24"/>
        <w:rtl/>
      </w:rPr>
      <w:t>ششم</w:t>
    </w:r>
    <w:r w:rsidR="00827AC4">
      <w:rPr>
        <w:color w:val="000000" w:themeColor="text1"/>
        <w:sz w:val="24"/>
        <w:szCs w:val="24"/>
        <w:rtl/>
      </w:rPr>
      <w:t xml:space="preserve"> </w:t>
    </w:r>
    <w:r w:rsidR="00827AC4">
      <w:rPr>
        <w:rFonts w:hint="cs"/>
        <w:color w:val="000000" w:themeColor="text1"/>
        <w:sz w:val="24"/>
        <w:szCs w:val="24"/>
        <w:rtl/>
      </w:rPr>
      <w:t>تکمله‌ی</w:t>
    </w:r>
    <w:r w:rsidR="00827AC4">
      <w:rPr>
        <w:color w:val="000000" w:themeColor="text1"/>
        <w:sz w:val="24"/>
        <w:szCs w:val="24"/>
        <w:rtl/>
      </w:rPr>
      <w:t xml:space="preserve"> </w:t>
    </w:r>
    <w:r w:rsidR="00827AC4">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827AC4">
      <w:rPr>
        <w:rFonts w:hint="cs"/>
        <w:sz w:val="24"/>
        <w:szCs w:val="24"/>
        <w:rtl/>
      </w:rPr>
      <w:t>مهدی</w:t>
    </w:r>
    <w:r w:rsidR="00827AC4">
      <w:rPr>
        <w:sz w:val="24"/>
        <w:szCs w:val="24"/>
        <w:rtl/>
      </w:rPr>
      <w:t xml:space="preserve"> </w:t>
    </w:r>
    <w:r w:rsidR="00827AC4">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827AC4">
      <w:rPr>
        <w:rFonts w:hint="cs"/>
        <w:sz w:val="24"/>
        <w:szCs w:val="24"/>
        <w:rtl/>
      </w:rPr>
      <w:t>تبدیل</w:t>
    </w:r>
    <w:r w:rsidR="00827AC4">
      <w:rPr>
        <w:sz w:val="24"/>
        <w:szCs w:val="24"/>
        <w:rtl/>
      </w:rPr>
      <w:t xml:space="preserve"> </w:t>
    </w:r>
    <w:r w:rsidR="00827AC4">
      <w:rPr>
        <w:rFonts w:hint="cs"/>
        <w:sz w:val="24"/>
        <w:szCs w:val="24"/>
        <w:rtl/>
      </w:rPr>
      <w:t>طلاق</w:t>
    </w:r>
    <w:r w:rsidR="00827AC4">
      <w:rPr>
        <w:sz w:val="24"/>
        <w:szCs w:val="24"/>
        <w:rtl/>
      </w:rPr>
      <w:t xml:space="preserve"> </w:t>
    </w:r>
    <w:r w:rsidR="00827AC4">
      <w:rPr>
        <w:rFonts w:hint="cs"/>
        <w:sz w:val="24"/>
        <w:szCs w:val="24"/>
        <w:rtl/>
      </w:rPr>
      <w:t>بائن</w:t>
    </w:r>
    <w:r w:rsidR="00827AC4">
      <w:rPr>
        <w:sz w:val="24"/>
        <w:szCs w:val="24"/>
        <w:rtl/>
      </w:rPr>
      <w:t xml:space="preserve"> </w:t>
    </w:r>
    <w:r w:rsidR="00827AC4">
      <w:rPr>
        <w:rFonts w:hint="cs"/>
        <w:sz w:val="24"/>
        <w:szCs w:val="24"/>
        <w:rtl/>
      </w:rPr>
      <w:t>به</w:t>
    </w:r>
    <w:r w:rsidR="00827AC4">
      <w:rPr>
        <w:sz w:val="24"/>
        <w:szCs w:val="24"/>
        <w:rtl/>
      </w:rPr>
      <w:t xml:space="preserve"> </w:t>
    </w:r>
    <w:r w:rsidR="00827AC4">
      <w:rPr>
        <w:rFonts w:hint="cs"/>
        <w:sz w:val="24"/>
        <w:szCs w:val="24"/>
        <w:rtl/>
      </w:rPr>
      <w:t>طلاق</w:t>
    </w:r>
    <w:r w:rsidR="00827AC4">
      <w:rPr>
        <w:sz w:val="24"/>
        <w:szCs w:val="24"/>
        <w:rtl/>
      </w:rPr>
      <w:t xml:space="preserve"> </w:t>
    </w:r>
    <w:r w:rsidR="00827AC4">
      <w:rPr>
        <w:rFonts w:hint="cs"/>
        <w:sz w:val="24"/>
        <w:szCs w:val="24"/>
        <w:rtl/>
      </w:rPr>
      <w:t>رجعی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A74DF0"/>
    <w:multiLevelType w:val="hybridMultilevel"/>
    <w:tmpl w:val="5F38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0C4"/>
    <w:rsid w:val="00025777"/>
    <w:rsid w:val="00025B70"/>
    <w:rsid w:val="000278E7"/>
    <w:rsid w:val="000353D7"/>
    <w:rsid w:val="000529BA"/>
    <w:rsid w:val="00055496"/>
    <w:rsid w:val="00063CBA"/>
    <w:rsid w:val="00080A41"/>
    <w:rsid w:val="0008299B"/>
    <w:rsid w:val="000913AA"/>
    <w:rsid w:val="00094847"/>
    <w:rsid w:val="00095B6D"/>
    <w:rsid w:val="00096C63"/>
    <w:rsid w:val="000B5DB5"/>
    <w:rsid w:val="000C3947"/>
    <w:rsid w:val="000D2A37"/>
    <w:rsid w:val="000D30E9"/>
    <w:rsid w:val="000D6818"/>
    <w:rsid w:val="000E335E"/>
    <w:rsid w:val="000F16CF"/>
    <w:rsid w:val="000F281B"/>
    <w:rsid w:val="000F5BAC"/>
    <w:rsid w:val="00102585"/>
    <w:rsid w:val="00114AB7"/>
    <w:rsid w:val="00116B2B"/>
    <w:rsid w:val="00124E3D"/>
    <w:rsid w:val="00127E95"/>
    <w:rsid w:val="00130659"/>
    <w:rsid w:val="001347C7"/>
    <w:rsid w:val="001356B0"/>
    <w:rsid w:val="001441A7"/>
    <w:rsid w:val="00146AF2"/>
    <w:rsid w:val="00151937"/>
    <w:rsid w:val="0015412C"/>
    <w:rsid w:val="00180C26"/>
    <w:rsid w:val="00181844"/>
    <w:rsid w:val="001837E9"/>
    <w:rsid w:val="00187DFA"/>
    <w:rsid w:val="00194012"/>
    <w:rsid w:val="00196947"/>
    <w:rsid w:val="00196F61"/>
    <w:rsid w:val="001972CA"/>
    <w:rsid w:val="001A1BC1"/>
    <w:rsid w:val="001A1EA5"/>
    <w:rsid w:val="001A2574"/>
    <w:rsid w:val="001A27D7"/>
    <w:rsid w:val="001A294E"/>
    <w:rsid w:val="001A4ED8"/>
    <w:rsid w:val="001B0AA6"/>
    <w:rsid w:val="001B2488"/>
    <w:rsid w:val="001B6799"/>
    <w:rsid w:val="001C1362"/>
    <w:rsid w:val="001D2E9A"/>
    <w:rsid w:val="001D597F"/>
    <w:rsid w:val="001E3FD4"/>
    <w:rsid w:val="0020241A"/>
    <w:rsid w:val="00202763"/>
    <w:rsid w:val="00203821"/>
    <w:rsid w:val="00211632"/>
    <w:rsid w:val="0021630D"/>
    <w:rsid w:val="00237C4B"/>
    <w:rsid w:val="0024121B"/>
    <w:rsid w:val="00247D2F"/>
    <w:rsid w:val="00256560"/>
    <w:rsid w:val="00273554"/>
    <w:rsid w:val="0027605E"/>
    <w:rsid w:val="00281E00"/>
    <w:rsid w:val="002914D4"/>
    <w:rsid w:val="00294A52"/>
    <w:rsid w:val="002B575F"/>
    <w:rsid w:val="002B729B"/>
    <w:rsid w:val="002C0D39"/>
    <w:rsid w:val="002C23B5"/>
    <w:rsid w:val="002C3DA1"/>
    <w:rsid w:val="002C53A2"/>
    <w:rsid w:val="002D0040"/>
    <w:rsid w:val="002D2FA8"/>
    <w:rsid w:val="002E220F"/>
    <w:rsid w:val="002F240B"/>
    <w:rsid w:val="002F4520"/>
    <w:rsid w:val="00307311"/>
    <w:rsid w:val="00317A48"/>
    <w:rsid w:val="0032100F"/>
    <w:rsid w:val="0033402C"/>
    <w:rsid w:val="00340521"/>
    <w:rsid w:val="00345C73"/>
    <w:rsid w:val="00354A99"/>
    <w:rsid w:val="00360311"/>
    <w:rsid w:val="00361922"/>
    <w:rsid w:val="0037339B"/>
    <w:rsid w:val="00386C11"/>
    <w:rsid w:val="00397466"/>
    <w:rsid w:val="003A6148"/>
    <w:rsid w:val="003B54F1"/>
    <w:rsid w:val="003C33F6"/>
    <w:rsid w:val="003C3D2E"/>
    <w:rsid w:val="003C43A5"/>
    <w:rsid w:val="003E1C5C"/>
    <w:rsid w:val="003E6650"/>
    <w:rsid w:val="003F4868"/>
    <w:rsid w:val="003F5B46"/>
    <w:rsid w:val="00401363"/>
    <w:rsid w:val="004022FD"/>
    <w:rsid w:val="00402E47"/>
    <w:rsid w:val="00425015"/>
    <w:rsid w:val="00430994"/>
    <w:rsid w:val="00430F29"/>
    <w:rsid w:val="00441B6D"/>
    <w:rsid w:val="00447FEA"/>
    <w:rsid w:val="004556EF"/>
    <w:rsid w:val="00462B07"/>
    <w:rsid w:val="004642A7"/>
    <w:rsid w:val="00465BD2"/>
    <w:rsid w:val="004715C8"/>
    <w:rsid w:val="00472839"/>
    <w:rsid w:val="00481C31"/>
    <w:rsid w:val="00482FC1"/>
    <w:rsid w:val="00483027"/>
    <w:rsid w:val="004871AA"/>
    <w:rsid w:val="004918D7"/>
    <w:rsid w:val="004926E1"/>
    <w:rsid w:val="004A2FEA"/>
    <w:rsid w:val="004D2DD7"/>
    <w:rsid w:val="004D5D5C"/>
    <w:rsid w:val="004D75C5"/>
    <w:rsid w:val="004E11C0"/>
    <w:rsid w:val="004E2186"/>
    <w:rsid w:val="004E66FB"/>
    <w:rsid w:val="004F470A"/>
    <w:rsid w:val="004F4C59"/>
    <w:rsid w:val="004F5EEE"/>
    <w:rsid w:val="00500C8F"/>
    <w:rsid w:val="00501909"/>
    <w:rsid w:val="00502A4F"/>
    <w:rsid w:val="00507BBB"/>
    <w:rsid w:val="005128DF"/>
    <w:rsid w:val="0051592A"/>
    <w:rsid w:val="005206FE"/>
    <w:rsid w:val="005257ED"/>
    <w:rsid w:val="005306F8"/>
    <w:rsid w:val="00532F10"/>
    <w:rsid w:val="0054023D"/>
    <w:rsid w:val="005426BF"/>
    <w:rsid w:val="0056213C"/>
    <w:rsid w:val="00566A2F"/>
    <w:rsid w:val="00580C24"/>
    <w:rsid w:val="005968EF"/>
    <w:rsid w:val="00596C1E"/>
    <w:rsid w:val="005A2E26"/>
    <w:rsid w:val="005B7BCA"/>
    <w:rsid w:val="005C0DAE"/>
    <w:rsid w:val="005C188E"/>
    <w:rsid w:val="005D2349"/>
    <w:rsid w:val="005D3F95"/>
    <w:rsid w:val="005D41B3"/>
    <w:rsid w:val="005E1B60"/>
    <w:rsid w:val="005E5507"/>
    <w:rsid w:val="005E5544"/>
    <w:rsid w:val="005E607B"/>
    <w:rsid w:val="005F05AC"/>
    <w:rsid w:val="005F0A8D"/>
    <w:rsid w:val="00601229"/>
    <w:rsid w:val="00603B67"/>
    <w:rsid w:val="00607AF1"/>
    <w:rsid w:val="006162A2"/>
    <w:rsid w:val="00616A5F"/>
    <w:rsid w:val="006240DA"/>
    <w:rsid w:val="0063256E"/>
    <w:rsid w:val="006326A8"/>
    <w:rsid w:val="00633F04"/>
    <w:rsid w:val="00635219"/>
    <w:rsid w:val="00635EC0"/>
    <w:rsid w:val="00636542"/>
    <w:rsid w:val="00640B58"/>
    <w:rsid w:val="00651B02"/>
    <w:rsid w:val="00651B19"/>
    <w:rsid w:val="00660A29"/>
    <w:rsid w:val="00677E1F"/>
    <w:rsid w:val="00695519"/>
    <w:rsid w:val="006A4134"/>
    <w:rsid w:val="006A5DDA"/>
    <w:rsid w:val="006A6701"/>
    <w:rsid w:val="006B21F4"/>
    <w:rsid w:val="006B3753"/>
    <w:rsid w:val="006B6027"/>
    <w:rsid w:val="006B7AD6"/>
    <w:rsid w:val="006C50FD"/>
    <w:rsid w:val="006C5B9F"/>
    <w:rsid w:val="006D1DD4"/>
    <w:rsid w:val="006D4014"/>
    <w:rsid w:val="006D44C1"/>
    <w:rsid w:val="006E5651"/>
    <w:rsid w:val="006E5B85"/>
    <w:rsid w:val="006E6BEC"/>
    <w:rsid w:val="006F026A"/>
    <w:rsid w:val="006F2020"/>
    <w:rsid w:val="0070265B"/>
    <w:rsid w:val="00704813"/>
    <w:rsid w:val="0072290D"/>
    <w:rsid w:val="00723D6D"/>
    <w:rsid w:val="00724537"/>
    <w:rsid w:val="0072739A"/>
    <w:rsid w:val="00731724"/>
    <w:rsid w:val="0073474B"/>
    <w:rsid w:val="00735511"/>
    <w:rsid w:val="00737208"/>
    <w:rsid w:val="00742E80"/>
    <w:rsid w:val="00744DE6"/>
    <w:rsid w:val="00762452"/>
    <w:rsid w:val="007639E0"/>
    <w:rsid w:val="007746D2"/>
    <w:rsid w:val="00775507"/>
    <w:rsid w:val="00783473"/>
    <w:rsid w:val="0078594B"/>
    <w:rsid w:val="007924AA"/>
    <w:rsid w:val="00795E02"/>
    <w:rsid w:val="007979D0"/>
    <w:rsid w:val="007A051E"/>
    <w:rsid w:val="007A4CEF"/>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7AC4"/>
    <w:rsid w:val="00830C53"/>
    <w:rsid w:val="00833765"/>
    <w:rsid w:val="00837FAA"/>
    <w:rsid w:val="00841F77"/>
    <w:rsid w:val="00846D14"/>
    <w:rsid w:val="0085276D"/>
    <w:rsid w:val="008548CB"/>
    <w:rsid w:val="00863390"/>
    <w:rsid w:val="0086385C"/>
    <w:rsid w:val="00871916"/>
    <w:rsid w:val="00881776"/>
    <w:rsid w:val="008922ED"/>
    <w:rsid w:val="008956DD"/>
    <w:rsid w:val="008A451C"/>
    <w:rsid w:val="008A510E"/>
    <w:rsid w:val="008A522A"/>
    <w:rsid w:val="008A542B"/>
    <w:rsid w:val="008B4464"/>
    <w:rsid w:val="008B750B"/>
    <w:rsid w:val="008C3162"/>
    <w:rsid w:val="008D1F14"/>
    <w:rsid w:val="008E3924"/>
    <w:rsid w:val="008E74FD"/>
    <w:rsid w:val="008F13F7"/>
    <w:rsid w:val="008F5B4D"/>
    <w:rsid w:val="0090320D"/>
    <w:rsid w:val="00907425"/>
    <w:rsid w:val="00917EA4"/>
    <w:rsid w:val="00923C34"/>
    <w:rsid w:val="00924152"/>
    <w:rsid w:val="0092513D"/>
    <w:rsid w:val="00927A9F"/>
    <w:rsid w:val="009335CC"/>
    <w:rsid w:val="00935A55"/>
    <w:rsid w:val="00941CEB"/>
    <w:rsid w:val="0094720F"/>
    <w:rsid w:val="00953B28"/>
    <w:rsid w:val="00954322"/>
    <w:rsid w:val="00955876"/>
    <w:rsid w:val="00957CAA"/>
    <w:rsid w:val="00966CB0"/>
    <w:rsid w:val="0096778A"/>
    <w:rsid w:val="00977656"/>
    <w:rsid w:val="009846A7"/>
    <w:rsid w:val="0098794D"/>
    <w:rsid w:val="0099497B"/>
    <w:rsid w:val="009A43BA"/>
    <w:rsid w:val="009B0D05"/>
    <w:rsid w:val="009B4CA6"/>
    <w:rsid w:val="009B66D5"/>
    <w:rsid w:val="009B79F8"/>
    <w:rsid w:val="009C66D5"/>
    <w:rsid w:val="009D13FD"/>
    <w:rsid w:val="009D266A"/>
    <w:rsid w:val="009E3AE1"/>
    <w:rsid w:val="009F7E07"/>
    <w:rsid w:val="00A01522"/>
    <w:rsid w:val="00A10A11"/>
    <w:rsid w:val="00A13C6A"/>
    <w:rsid w:val="00A17B09"/>
    <w:rsid w:val="00A24511"/>
    <w:rsid w:val="00A31DB0"/>
    <w:rsid w:val="00A457C6"/>
    <w:rsid w:val="00A46AD0"/>
    <w:rsid w:val="00A47063"/>
    <w:rsid w:val="00A473A8"/>
    <w:rsid w:val="00A513F0"/>
    <w:rsid w:val="00A61AC8"/>
    <w:rsid w:val="00A6366F"/>
    <w:rsid w:val="00A65D4C"/>
    <w:rsid w:val="00A70512"/>
    <w:rsid w:val="00A9093F"/>
    <w:rsid w:val="00A93675"/>
    <w:rsid w:val="00AA1F60"/>
    <w:rsid w:val="00AA40D7"/>
    <w:rsid w:val="00AB5F7D"/>
    <w:rsid w:val="00AC0C50"/>
    <w:rsid w:val="00AC6FE2"/>
    <w:rsid w:val="00AE3FB5"/>
    <w:rsid w:val="00AE6FAF"/>
    <w:rsid w:val="00AF3925"/>
    <w:rsid w:val="00B1296B"/>
    <w:rsid w:val="00B2292F"/>
    <w:rsid w:val="00B43169"/>
    <w:rsid w:val="00B501A8"/>
    <w:rsid w:val="00B55AE4"/>
    <w:rsid w:val="00B56548"/>
    <w:rsid w:val="00B60264"/>
    <w:rsid w:val="00B70B46"/>
    <w:rsid w:val="00B739B0"/>
    <w:rsid w:val="00B814A3"/>
    <w:rsid w:val="00B96B68"/>
    <w:rsid w:val="00B96F38"/>
    <w:rsid w:val="00BC716B"/>
    <w:rsid w:val="00BD0E74"/>
    <w:rsid w:val="00BD3E7B"/>
    <w:rsid w:val="00BD5F8C"/>
    <w:rsid w:val="00BE29DD"/>
    <w:rsid w:val="00C066AF"/>
    <w:rsid w:val="00C10E06"/>
    <w:rsid w:val="00C145B8"/>
    <w:rsid w:val="00C2438F"/>
    <w:rsid w:val="00C31AF0"/>
    <w:rsid w:val="00C32A7E"/>
    <w:rsid w:val="00C34F28"/>
    <w:rsid w:val="00C368DF"/>
    <w:rsid w:val="00C36E7C"/>
    <w:rsid w:val="00C442C5"/>
    <w:rsid w:val="00C57B5C"/>
    <w:rsid w:val="00C57C7C"/>
    <w:rsid w:val="00C61049"/>
    <w:rsid w:val="00C63FFE"/>
    <w:rsid w:val="00C823C1"/>
    <w:rsid w:val="00C91EB6"/>
    <w:rsid w:val="00CA10B0"/>
    <w:rsid w:val="00CA2F8E"/>
    <w:rsid w:val="00CA3EE2"/>
    <w:rsid w:val="00CA7FD5"/>
    <w:rsid w:val="00CB3287"/>
    <w:rsid w:val="00CB33E2"/>
    <w:rsid w:val="00CB4E68"/>
    <w:rsid w:val="00CC2733"/>
    <w:rsid w:val="00CD0050"/>
    <w:rsid w:val="00CE7481"/>
    <w:rsid w:val="00CF0A8F"/>
    <w:rsid w:val="00CF44F4"/>
    <w:rsid w:val="00D048CE"/>
    <w:rsid w:val="00D10998"/>
    <w:rsid w:val="00D15CBD"/>
    <w:rsid w:val="00D221CB"/>
    <w:rsid w:val="00D23391"/>
    <w:rsid w:val="00D31805"/>
    <w:rsid w:val="00D5192A"/>
    <w:rsid w:val="00D552B9"/>
    <w:rsid w:val="00D735B2"/>
    <w:rsid w:val="00D74021"/>
    <w:rsid w:val="00D76D01"/>
    <w:rsid w:val="00D922A9"/>
    <w:rsid w:val="00D9394A"/>
    <w:rsid w:val="00DB0CBB"/>
    <w:rsid w:val="00DB67CC"/>
    <w:rsid w:val="00DC3783"/>
    <w:rsid w:val="00DE1070"/>
    <w:rsid w:val="00E00219"/>
    <w:rsid w:val="00E026E9"/>
    <w:rsid w:val="00E0316B"/>
    <w:rsid w:val="00E123CA"/>
    <w:rsid w:val="00E14A2C"/>
    <w:rsid w:val="00E24BF6"/>
    <w:rsid w:val="00E25E10"/>
    <w:rsid w:val="00E3538A"/>
    <w:rsid w:val="00E50B41"/>
    <w:rsid w:val="00E5219B"/>
    <w:rsid w:val="00E52D07"/>
    <w:rsid w:val="00E5518B"/>
    <w:rsid w:val="00E609FE"/>
    <w:rsid w:val="00E62440"/>
    <w:rsid w:val="00E630BE"/>
    <w:rsid w:val="00E7071A"/>
    <w:rsid w:val="00E75920"/>
    <w:rsid w:val="00E80D96"/>
    <w:rsid w:val="00E871FA"/>
    <w:rsid w:val="00E936A4"/>
    <w:rsid w:val="00E954BB"/>
    <w:rsid w:val="00EA45E7"/>
    <w:rsid w:val="00EB780E"/>
    <w:rsid w:val="00EB78E3"/>
    <w:rsid w:val="00EB7BE3"/>
    <w:rsid w:val="00EC1C4B"/>
    <w:rsid w:val="00EC735A"/>
    <w:rsid w:val="00ED23C1"/>
    <w:rsid w:val="00ED5F38"/>
    <w:rsid w:val="00EE2EFC"/>
    <w:rsid w:val="00EF27FE"/>
    <w:rsid w:val="00EF5820"/>
    <w:rsid w:val="00EF5A45"/>
    <w:rsid w:val="00F07FB6"/>
    <w:rsid w:val="00F1310E"/>
    <w:rsid w:val="00F149D0"/>
    <w:rsid w:val="00F16B53"/>
    <w:rsid w:val="00F25ECD"/>
    <w:rsid w:val="00F318BE"/>
    <w:rsid w:val="00F33297"/>
    <w:rsid w:val="00F343FB"/>
    <w:rsid w:val="00F359FE"/>
    <w:rsid w:val="00F42159"/>
    <w:rsid w:val="00F4256E"/>
    <w:rsid w:val="00F42EE1"/>
    <w:rsid w:val="00F600BC"/>
    <w:rsid w:val="00F60F1F"/>
    <w:rsid w:val="00F60F97"/>
    <w:rsid w:val="00F64141"/>
    <w:rsid w:val="00F67508"/>
    <w:rsid w:val="00F71FC9"/>
    <w:rsid w:val="00F73B48"/>
    <w:rsid w:val="00F74F51"/>
    <w:rsid w:val="00F842AD"/>
    <w:rsid w:val="00F914EB"/>
    <w:rsid w:val="00F91B85"/>
    <w:rsid w:val="00F938E7"/>
    <w:rsid w:val="00F946FA"/>
    <w:rsid w:val="00FA3B17"/>
    <w:rsid w:val="00FA5E8D"/>
    <w:rsid w:val="00FA5F3D"/>
    <w:rsid w:val="00FB399E"/>
    <w:rsid w:val="00FB7F50"/>
    <w:rsid w:val="00FC21FA"/>
    <w:rsid w:val="00FC225C"/>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customStyle="1" w:styleId="a4">
    <w:name w:val="روایات در پاورقی"/>
    <w:basedOn w:val="DefaultParagraphFont"/>
    <w:uiPriority w:val="3"/>
    <w:qFormat/>
    <w:rsid w:val="00E62440"/>
    <w:rPr>
      <w:rFonts w:cs="IRLotus"/>
      <w:bCs/>
      <w:iCs w:val="0"/>
      <w:color w:val="0070C0"/>
      <w:spacing w:val="0"/>
      <w:sz w:val="22"/>
      <w:szCs w:val="20"/>
      <w:lang w:eastAsia="en-GB"/>
    </w:rPr>
  </w:style>
  <w:style w:type="character" w:customStyle="1" w:styleId="a5">
    <w:name w:val="سند روایات در پاورقی"/>
    <w:basedOn w:val="DefaultParagraphFont"/>
    <w:uiPriority w:val="3"/>
    <w:qFormat/>
    <w:rsid w:val="00E62440"/>
    <w:rPr>
      <w:rFonts w:cs="IRLotus"/>
      <w:bCs w:val="0"/>
      <w:iCs w:val="0"/>
      <w:color w:val="632423" w:themeColor="accent2" w:themeShade="80"/>
      <w:spacing w:val="0"/>
      <w:sz w:val="20"/>
      <w:szCs w:val="20"/>
      <w:lang w:eastAsia="en-GB"/>
    </w:rPr>
  </w:style>
  <w:style w:type="character" w:customStyle="1" w:styleId="a6">
    <w:name w:val="متن روایات"/>
    <w:basedOn w:val="DefaultParagraphFont"/>
    <w:uiPriority w:val="1"/>
    <w:qFormat/>
    <w:rsid w:val="00B96B68"/>
    <w:rPr>
      <w:rFonts w:cs="IRLotus"/>
      <w:bCs/>
      <w:iCs w:val="0"/>
      <w:color w:val="0070C0"/>
      <w:spacing w:val="0"/>
      <w:sz w:val="28"/>
      <w:szCs w:val="26"/>
      <w:lang w:eastAsia="en-GB"/>
    </w:rPr>
  </w:style>
  <w:style w:type="paragraph" w:customStyle="1" w:styleId="a7">
    <w:name w:val="اشکالات"/>
    <w:next w:val="Normal"/>
    <w:link w:val="Char"/>
    <w:qFormat/>
    <w:rsid w:val="00B96B68"/>
    <w:pPr>
      <w:shd w:val="clear" w:color="auto" w:fill="E5B8B7" w:themeFill="accent2" w:themeFillTint="66"/>
      <w:bidi/>
      <w:jc w:val="both"/>
    </w:pPr>
    <w:rPr>
      <w:rFonts w:ascii="Times New Roman" w:eastAsia="Times New Roman" w:hAnsi="Times New Roman" w:cs="IRLotus"/>
      <w:sz w:val="28"/>
      <w:szCs w:val="30"/>
    </w:rPr>
  </w:style>
  <w:style w:type="character" w:customStyle="1" w:styleId="Char">
    <w:name w:val="اشکالات Char"/>
    <w:basedOn w:val="DefaultParagraphFont"/>
    <w:link w:val="a7"/>
    <w:rsid w:val="00B96B68"/>
    <w:rPr>
      <w:rFonts w:ascii="Times New Roman" w:eastAsia="Times New Roman" w:hAnsi="Times New Roman" w:cs="IRLotus"/>
      <w:sz w:val="28"/>
      <w:szCs w:val="30"/>
      <w:shd w:val="clear" w:color="auto" w:fill="E5B8B7" w:themeFill="accent2"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2457080">
      <w:bodyDiv w:val="1"/>
      <w:marLeft w:val="0"/>
      <w:marRight w:val="0"/>
      <w:marTop w:val="0"/>
      <w:marBottom w:val="0"/>
      <w:divBdr>
        <w:top w:val="none" w:sz="0" w:space="0" w:color="auto"/>
        <w:left w:val="none" w:sz="0" w:space="0" w:color="auto"/>
        <w:bottom w:val="none" w:sz="0" w:space="0" w:color="auto"/>
        <w:right w:val="none" w:sz="0" w:space="0" w:color="auto"/>
      </w:divBdr>
    </w:div>
    <w:div w:id="47395779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0926040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128780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795336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98/&#1578;&#1576;&#1575;&#1585;&#1740;" TargetMode="External"/><Relationship Id="rId2" Type="http://schemas.openxmlformats.org/officeDocument/2006/relationships/hyperlink" Target="http://lib.eshia.ir/10151/9/428/&#1602;&#1575;&#1604;" TargetMode="External"/><Relationship Id="rId1" Type="http://schemas.openxmlformats.org/officeDocument/2006/relationships/hyperlink" Target="http://lib.eshia.ir/10083/8/137/&#1575;&#1582;&#1578;&#1604;&#1593;&#1578;" TargetMode="External"/><Relationship Id="rId4" Type="http://schemas.openxmlformats.org/officeDocument/2006/relationships/hyperlink" Target="http://lib.eshia.ir/12015/1/75/&#1587;&#1616;&#1606;&#1614;&#1575;&#1606;&#16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E24D-14C9-4153-B3B9-455B82B3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1066</TotalTime>
  <Pages>6</Pages>
  <Words>1691</Words>
  <Characters>9641</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98</cp:revision>
  <cp:lastPrinted>2021-06-07T12:15:00Z</cp:lastPrinted>
  <dcterms:created xsi:type="dcterms:W3CDTF">2021-06-03T04:26:00Z</dcterms:created>
  <dcterms:modified xsi:type="dcterms:W3CDTF">2021-06-12T01:51:00Z</dcterms:modified>
  <cp:contentStatus>ویرایش 2.5</cp:contentStatus>
  <cp:version>2.7</cp:version>
</cp:coreProperties>
</file>