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EBD" w:rsidRDefault="00F02EBD" w:rsidP="00F02EBD">
      <w:pPr>
        <w:rPr>
          <w:rFonts w:ascii="IRANSans" w:hAnsi="IRANSans" w:cs="IRANSans"/>
          <w:b/>
          <w:bCs/>
          <w:color w:val="0101FF"/>
          <w:sz w:val="24"/>
          <w:szCs w:val="24"/>
          <w:shd w:val="clear" w:color="auto" w:fill="FFFFFF"/>
          <w:rtl/>
          <w:lang w:val="x-none"/>
        </w:rPr>
      </w:pPr>
      <w:bookmarkStart w:id="0" w:name="_GoBack"/>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F02EBD" w:rsidRPr="00C745F1" w:rsidRDefault="00F02EBD" w:rsidP="00F02EBD">
      <w:pPr>
        <w:rPr>
          <w:rFonts w:ascii="IRANSans" w:hAnsi="IRANSans" w:cs="IRANSans"/>
          <w:b/>
          <w:bCs/>
          <w:color w:val="0101FF"/>
          <w:sz w:val="24"/>
          <w:szCs w:val="24"/>
          <w:shd w:val="clear" w:color="auto" w:fill="FFFFFF"/>
          <w:lang w:val="x-none"/>
        </w:rPr>
      </w:pPr>
      <w:r w:rsidRPr="000E0B96">
        <w:rPr>
          <w:rFonts w:ascii="IRANSans" w:hAnsi="IRANSans" w:cs="IRANSans"/>
          <w:b/>
          <w:bCs/>
          <w:color w:val="0101FF"/>
          <w:sz w:val="24"/>
          <w:szCs w:val="24"/>
          <w:shd w:val="clear" w:color="auto" w:fill="FFFFFF"/>
          <w:rtl/>
          <w:lang w:val="x-none"/>
        </w:rPr>
        <w:t>جلسه3</w:t>
      </w:r>
      <w:r>
        <w:rPr>
          <w:rFonts w:ascii="IRANSans" w:hAnsi="IRANSans" w:cs="IRANSans" w:hint="cs"/>
          <w:b/>
          <w:bCs/>
          <w:color w:val="0101FF"/>
          <w:sz w:val="24"/>
          <w:szCs w:val="24"/>
          <w:shd w:val="clear" w:color="auto" w:fill="FFFFFF"/>
          <w:rtl/>
          <w:lang w:val="x-none"/>
        </w:rPr>
        <w:t>7</w:t>
      </w:r>
      <w:r>
        <w:rPr>
          <w:rFonts w:ascii="IRANSans" w:hAnsi="IRANSans" w:cs="IRANSans" w:hint="cs"/>
          <w:b/>
          <w:bCs/>
          <w:color w:val="0101FF"/>
          <w:sz w:val="24"/>
          <w:szCs w:val="24"/>
          <w:shd w:val="clear" w:color="auto" w:fill="FFFFFF"/>
          <w:rtl/>
          <w:lang w:val="x-none"/>
        </w:rPr>
        <w:t>8</w:t>
      </w:r>
      <w:r w:rsidRPr="000E0B96">
        <w:rPr>
          <w:rFonts w:ascii="IRANSans" w:hAnsi="IRANSans" w:cs="IRANSans"/>
          <w:b/>
          <w:bCs/>
          <w:color w:val="0101FF"/>
          <w:sz w:val="24"/>
          <w:szCs w:val="24"/>
          <w:shd w:val="clear" w:color="auto" w:fill="FFFFFF"/>
          <w:rtl/>
          <w:lang w:val="x-none"/>
        </w:rPr>
        <w:t xml:space="preserve">– </w:t>
      </w:r>
      <w:r>
        <w:rPr>
          <w:rFonts w:ascii="IRANSans" w:hAnsi="IRANSans" w:cs="IRANSans" w:hint="cs"/>
          <w:b/>
          <w:bCs/>
          <w:color w:val="0101FF"/>
          <w:sz w:val="24"/>
          <w:szCs w:val="24"/>
          <w:shd w:val="clear" w:color="auto" w:fill="FFFFFF"/>
          <w:rtl/>
          <w:lang w:val="x-none"/>
        </w:rPr>
        <w:t>0</w:t>
      </w:r>
      <w:r>
        <w:rPr>
          <w:rFonts w:ascii="IRANSans" w:hAnsi="IRANSans" w:cs="IRANSans" w:hint="cs"/>
          <w:b/>
          <w:bCs/>
          <w:color w:val="0101FF"/>
          <w:sz w:val="24"/>
          <w:szCs w:val="24"/>
          <w:shd w:val="clear" w:color="auto" w:fill="FFFFFF"/>
          <w:rtl/>
          <w:lang w:val="x-none"/>
        </w:rPr>
        <w:t>3</w:t>
      </w:r>
      <w:r w:rsidRPr="000E0B96">
        <w:rPr>
          <w:rFonts w:ascii="IRANSans" w:hAnsi="IRANSans" w:cs="IRANSans"/>
          <w:b/>
          <w:bCs/>
          <w:color w:val="0101FF"/>
          <w:sz w:val="24"/>
          <w:szCs w:val="24"/>
          <w:shd w:val="clear" w:color="auto" w:fill="FFFFFF"/>
          <w:rtl/>
          <w:lang w:val="x-none"/>
        </w:rPr>
        <w:t>/</w:t>
      </w:r>
      <w:r>
        <w:rPr>
          <w:rFonts w:ascii="IRANSans" w:hAnsi="IRANSans" w:cs="IRANSans" w:hint="cs"/>
          <w:b/>
          <w:bCs/>
          <w:color w:val="0101FF"/>
          <w:sz w:val="24"/>
          <w:szCs w:val="24"/>
          <w:shd w:val="clear" w:color="auto" w:fill="FFFFFF"/>
          <w:rtl/>
          <w:lang w:val="x-none"/>
        </w:rPr>
        <w:t>03</w:t>
      </w:r>
      <w:r w:rsidRPr="000E0B96">
        <w:rPr>
          <w:rFonts w:ascii="IRANSans" w:hAnsi="IRANSans" w:cs="IRANSans"/>
          <w:b/>
          <w:bCs/>
          <w:color w:val="0101FF"/>
          <w:sz w:val="24"/>
          <w:szCs w:val="24"/>
          <w:shd w:val="clear" w:color="auto" w:fill="FFFFFF"/>
          <w:rtl/>
          <w:lang w:val="x-none"/>
        </w:rPr>
        <w:t>/ 1</w:t>
      </w:r>
      <w:r>
        <w:rPr>
          <w:rFonts w:ascii="IRANSans" w:hAnsi="IRANSans" w:cs="IRANSans" w:hint="cs"/>
          <w:b/>
          <w:bCs/>
          <w:color w:val="0101FF"/>
          <w:sz w:val="24"/>
          <w:szCs w:val="24"/>
          <w:shd w:val="clear" w:color="auto" w:fill="FFFFFF"/>
          <w:rtl/>
          <w:lang w:val="x-none"/>
        </w:rPr>
        <w:t>400</w:t>
      </w:r>
      <w:r w:rsidRPr="000E0B96">
        <w:rPr>
          <w:rFonts w:ascii="IRANSans" w:hAnsi="IRANSans" w:cs="IRANSans"/>
          <w:b/>
          <w:bCs/>
          <w:color w:val="0101FF"/>
          <w:sz w:val="24"/>
          <w:szCs w:val="24"/>
          <w:shd w:val="clear" w:color="auto" w:fill="FFFFFF"/>
          <w:rtl/>
          <w:lang w:val="x-none"/>
        </w:rPr>
        <w:t xml:space="preserve"> </w:t>
      </w:r>
      <w:r w:rsidRPr="00056E77">
        <w:rPr>
          <w:rFonts w:ascii="IRANSans" w:hAnsi="IRANSans" w:cs="IRANSans" w:hint="cs"/>
          <w:b/>
          <w:bCs/>
          <w:color w:val="0101FF"/>
          <w:sz w:val="24"/>
          <w:szCs w:val="24"/>
          <w:shd w:val="clear" w:color="auto" w:fill="FFFFFF"/>
          <w:rtl/>
          <w:lang w:val="x-none"/>
        </w:rPr>
        <w:t>نفقه‌ی</w:t>
      </w:r>
      <w:r w:rsidRPr="00056E77">
        <w:rPr>
          <w:rFonts w:ascii="IRANSans" w:hAnsi="IRANSans" w:cs="IRANSans"/>
          <w:b/>
          <w:bCs/>
          <w:color w:val="0101FF"/>
          <w:sz w:val="24"/>
          <w:szCs w:val="24"/>
          <w:shd w:val="clear" w:color="auto" w:fill="FFFFFF"/>
          <w:rtl/>
          <w:lang w:val="x-none"/>
        </w:rPr>
        <w:t xml:space="preserve"> </w:t>
      </w:r>
      <w:r w:rsidRPr="00056E77">
        <w:rPr>
          <w:rFonts w:ascii="IRANSans" w:hAnsi="IRANSans" w:cs="IRANSans" w:hint="cs"/>
          <w:b/>
          <w:bCs/>
          <w:color w:val="0101FF"/>
          <w:sz w:val="24"/>
          <w:szCs w:val="24"/>
          <w:shd w:val="clear" w:color="auto" w:fill="FFFFFF"/>
          <w:rtl/>
          <w:lang w:val="x-none"/>
        </w:rPr>
        <w:t>حامل</w:t>
      </w:r>
      <w:r w:rsidRPr="00056E77">
        <w:rPr>
          <w:rFonts w:ascii="IRANSans" w:hAnsi="IRANSans" w:cs="IRANSans"/>
          <w:b/>
          <w:bCs/>
          <w:color w:val="0101FF"/>
          <w:sz w:val="24"/>
          <w:szCs w:val="24"/>
          <w:shd w:val="clear" w:color="auto" w:fill="FFFFFF"/>
          <w:rtl/>
          <w:lang w:val="x-none"/>
        </w:rPr>
        <w:t xml:space="preserve"> </w:t>
      </w:r>
      <w:r w:rsidRPr="00056E77">
        <w:rPr>
          <w:rFonts w:ascii="IRANSans" w:hAnsi="IRANSans" w:cs="IRANSans" w:hint="cs"/>
          <w:b/>
          <w:bCs/>
          <w:color w:val="0101FF"/>
          <w:sz w:val="24"/>
          <w:szCs w:val="24"/>
          <w:shd w:val="clear" w:color="auto" w:fill="FFFFFF"/>
          <w:rtl/>
          <w:lang w:val="x-none"/>
        </w:rPr>
        <w:t>متوفی</w:t>
      </w:r>
      <w:r w:rsidRPr="00056E77">
        <w:rPr>
          <w:rFonts w:ascii="IRANSans" w:hAnsi="IRANSans" w:cs="IRANSans"/>
          <w:b/>
          <w:bCs/>
          <w:color w:val="0101FF"/>
          <w:sz w:val="24"/>
          <w:szCs w:val="24"/>
          <w:shd w:val="clear" w:color="auto" w:fill="FFFFFF"/>
          <w:rtl/>
          <w:lang w:val="x-none"/>
        </w:rPr>
        <w:t xml:space="preserve"> </w:t>
      </w:r>
      <w:r w:rsidRPr="00056E77">
        <w:rPr>
          <w:rFonts w:ascii="IRANSans" w:hAnsi="IRANSans" w:cs="IRANSans" w:hint="cs"/>
          <w:b/>
          <w:bCs/>
          <w:color w:val="0101FF"/>
          <w:sz w:val="24"/>
          <w:szCs w:val="24"/>
          <w:shd w:val="clear" w:color="auto" w:fill="FFFFFF"/>
          <w:rtl/>
          <w:lang w:val="x-none"/>
        </w:rPr>
        <w:t>عنها</w:t>
      </w:r>
      <w:r w:rsidRPr="00056E77">
        <w:rPr>
          <w:rFonts w:ascii="IRANSans" w:hAnsi="IRANSans" w:cs="IRANSans"/>
          <w:b/>
          <w:bCs/>
          <w:color w:val="0101FF"/>
          <w:sz w:val="24"/>
          <w:szCs w:val="24"/>
          <w:shd w:val="clear" w:color="auto" w:fill="FFFFFF"/>
          <w:rtl/>
          <w:lang w:val="x-none"/>
        </w:rPr>
        <w:t xml:space="preserve"> </w:t>
      </w:r>
      <w:r w:rsidRPr="00056E77">
        <w:rPr>
          <w:rFonts w:ascii="IRANSans" w:hAnsi="IRANSans" w:cs="IRANSans" w:hint="cs"/>
          <w:b/>
          <w:bCs/>
          <w:color w:val="0101FF"/>
          <w:sz w:val="24"/>
          <w:szCs w:val="24"/>
          <w:shd w:val="clear" w:color="auto" w:fill="FFFFFF"/>
          <w:rtl/>
          <w:lang w:val="x-none"/>
        </w:rPr>
        <w:t xml:space="preserve">زوجها </w:t>
      </w:r>
      <w:r w:rsidRPr="00132C16">
        <w:rPr>
          <w:rFonts w:ascii="IRANSans" w:hAnsi="IRANSans" w:cs="IRANSans" w:hint="cs"/>
          <w:b/>
          <w:bCs/>
          <w:color w:val="0101FF"/>
          <w:sz w:val="24"/>
          <w:szCs w:val="24"/>
          <w:shd w:val="clear" w:color="auto" w:fill="FFFFFF"/>
          <w:rtl/>
          <w:lang w:val="x-none"/>
        </w:rPr>
        <w:t>/فصل</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ششم</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تکمله‌ی</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عروه /اقوال</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فقها</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در</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عده</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p>
    <w:p w:rsidR="000B6698" w:rsidRDefault="003D1216" w:rsidP="007B5BAF">
      <w:pPr>
        <w:pBdr>
          <w:bottom w:val="double" w:sz="6" w:space="1" w:color="auto"/>
        </w:pBdr>
        <w:jc w:val="both"/>
        <w:rPr>
          <w:rtl/>
        </w:rPr>
      </w:pPr>
      <w:r>
        <w:rPr>
          <w:rFonts w:hint="cs"/>
          <w:rtl/>
        </w:rPr>
        <w:t xml:space="preserve">بحث در نفقه داشتن یا نداشتن حامل متوفی عنها زوجها بود. روایات مساله مختلف بود. یکی از جمع ها از باب انقلاب نسبت بود که </w:t>
      </w:r>
      <w:r w:rsidR="008162B5">
        <w:rPr>
          <w:rFonts w:hint="cs"/>
          <w:rtl/>
        </w:rPr>
        <w:t>اشکالات آن را بیان کردیم.</w:t>
      </w:r>
    </w:p>
    <w:p w:rsidR="00247D2F" w:rsidRPr="003A6148" w:rsidRDefault="00247D2F" w:rsidP="00D039A5">
      <w:pPr>
        <w:pBdr>
          <w:bottom w:val="double" w:sz="6" w:space="1" w:color="auto"/>
        </w:pBdr>
        <w:jc w:val="both"/>
      </w:pPr>
    </w:p>
    <w:p w:rsidR="008F5B4D" w:rsidRDefault="008F5B4D" w:rsidP="00D039A5">
      <w:pPr>
        <w:jc w:val="both"/>
      </w:pPr>
    </w:p>
    <w:p w:rsidR="00870F02" w:rsidRDefault="00870F02" w:rsidP="00870F02">
      <w:pPr>
        <w:pStyle w:val="Heading1"/>
        <w:rPr>
          <w:rtl/>
        </w:rPr>
      </w:pPr>
      <w:bookmarkStart w:id="1" w:name="_Toc73087180"/>
      <w:r>
        <w:rPr>
          <w:rFonts w:hint="cs"/>
          <w:rtl/>
        </w:rPr>
        <w:t>جمع بین روایات</w:t>
      </w:r>
      <w:bookmarkEnd w:id="1"/>
    </w:p>
    <w:p w:rsidR="008A00A8" w:rsidRDefault="008A00A8" w:rsidP="008A00A8">
      <w:pPr>
        <w:pStyle w:val="Heading2"/>
        <w:rPr>
          <w:rtl/>
        </w:rPr>
      </w:pPr>
      <w:bookmarkStart w:id="2" w:name="_Toc73087181"/>
      <w:r>
        <w:rPr>
          <w:rFonts w:hint="cs"/>
          <w:rtl/>
        </w:rPr>
        <w:t>وجه جمع دوم</w:t>
      </w:r>
      <w:bookmarkEnd w:id="2"/>
    </w:p>
    <w:p w:rsidR="00870F02" w:rsidRDefault="00870F02" w:rsidP="00870F02">
      <w:pPr>
        <w:jc w:val="both"/>
        <w:rPr>
          <w:rtl/>
        </w:rPr>
      </w:pPr>
      <w:r>
        <w:rPr>
          <w:rFonts w:hint="cs"/>
          <w:rtl/>
        </w:rPr>
        <w:t>وجه جمع دیگر این بود که روایات به دو حیث متفاوت ناظرند. روایاتی که می فرمایند زن نفقه ندارد، ناظر به این است که ذاتا نفقه ندارد؛ یعنی نفقه ای که در هر صورت واجب باشد، چه زن معسر باشد و چه موسر باشد ( مانند نفقه‌ی زوجیت) و ناظر به این نیست که در شرایط خاصی نفقه واجب باشد. روایت ابی الصباح الکنانی ناظر به این است که فرزند گر چه در شکم مادر می باشد، شارع برای او ملکیت اعتبار کرده است و او را یکی از اقارب مادرش تلقی کرده است که در صورتی که قریبی فقیر باشد، وظیفه‌ی قریب دیگر پرداخت نفقه‌ی او می باشد. این وجه از کلام یحیی بن سعید در الجامع للشرایع استفاده می شود. صاحب جواهر از الجامع للشرایع نقل می کند که انفاق از نصیب ولد را به اعسار مادر مقید کرده است. معنای این کلام این است که این نفقه را از باب نفقه‌ی اقارب گرفته است و نفقه‌ی اقارب در صورتی است که شخص منفق علیه، معسر باشد، در غیر این صورت بر او انفاق نمی شود.</w:t>
      </w:r>
    </w:p>
    <w:p w:rsidR="00870F02" w:rsidRDefault="00870F02" w:rsidP="00870F02">
      <w:pPr>
        <w:jc w:val="both"/>
        <w:rPr>
          <w:rtl/>
        </w:rPr>
      </w:pPr>
      <w:r>
        <w:rPr>
          <w:rFonts w:hint="cs"/>
          <w:rtl/>
        </w:rPr>
        <w:t>نتیجه‌ی این جمع و جمع اول</w:t>
      </w:r>
      <w:r w:rsidR="00C24DDE">
        <w:rPr>
          <w:rFonts w:hint="cs"/>
          <w:rtl/>
        </w:rPr>
        <w:t xml:space="preserve"> ( انقلاب نسبت)</w:t>
      </w:r>
      <w:r>
        <w:rPr>
          <w:rFonts w:hint="cs"/>
          <w:rtl/>
        </w:rPr>
        <w:t xml:space="preserve"> یکسان است.</w:t>
      </w:r>
    </w:p>
    <w:p w:rsidR="00A44241" w:rsidRDefault="00A44241" w:rsidP="00A44241">
      <w:pPr>
        <w:jc w:val="both"/>
        <w:rPr>
          <w:rtl/>
        </w:rPr>
      </w:pPr>
      <w:r>
        <w:rPr>
          <w:rFonts w:hint="cs"/>
          <w:rtl/>
        </w:rPr>
        <w:lastRenderedPageBreak/>
        <w:t>البته در جمع اول این مساله روشن نشد که اگر زن فرزندان دیگری نیز داشته باشد، آن ها هم باید نفقه‌ی مادر را بدهند یا خیر؟ اما در جمع دوم در واقع نفقه‌ی اقارب را به جنین نیز تعمیم دادیم؛ یعنی جنین نیز جزء اقارب به شمار می رود.</w:t>
      </w:r>
    </w:p>
    <w:p w:rsidR="008A00A8" w:rsidRDefault="008A00A8" w:rsidP="008A00A8">
      <w:pPr>
        <w:pStyle w:val="Heading2"/>
        <w:rPr>
          <w:rtl/>
        </w:rPr>
      </w:pPr>
      <w:bookmarkStart w:id="3" w:name="_Toc73087182"/>
      <w:r>
        <w:rPr>
          <w:rFonts w:hint="cs"/>
          <w:rtl/>
        </w:rPr>
        <w:t>وجه جمع سوم</w:t>
      </w:r>
      <w:bookmarkEnd w:id="3"/>
    </w:p>
    <w:p w:rsidR="003E6650" w:rsidRDefault="00A44241" w:rsidP="00D039A5">
      <w:pPr>
        <w:jc w:val="both"/>
        <w:rPr>
          <w:rtl/>
        </w:rPr>
      </w:pPr>
      <w:r>
        <w:rPr>
          <w:rFonts w:hint="cs"/>
          <w:rtl/>
        </w:rPr>
        <w:t>وجه جمع سوم این است که روایاتی که نفقه را نفی می کنند، ناظر به این است که از مال زوج به او داده نمی شود و منافاتی ندارد که از نصیب ولد به زن انفاق شود؛ به عبارت دیگر گر چه ظاهر روایاتی که نفقه را از زن حامل متوفی عنها زوجها نفی می کنند، این است که نه از ترکه‌ی زوج و نه از مال شخص دیگر نفقه دارد؛ اما به قرینه‌ی روایت دیگر که می فرماید از نصیب ولد انفاق می شود، روایات نفی نفقه را حمل می کنیم بر این که از ترکه‌ی زوج، نفقه ای بر زن ثابت نیست.</w:t>
      </w:r>
      <w:r w:rsidR="001630D0">
        <w:rPr>
          <w:rFonts w:hint="cs"/>
          <w:rtl/>
        </w:rPr>
        <w:t xml:space="preserve"> یعنی این روایات مقید می شوند به این</w:t>
      </w:r>
      <w:r w:rsidR="00BE6357">
        <w:rPr>
          <w:rFonts w:hint="cs"/>
          <w:rtl/>
        </w:rPr>
        <w:t xml:space="preserve"> که از مال رجل متوفی نفقه ندارد و منافاتی ندارد که در مال شخص دیگری نفقه داشته باشد.</w:t>
      </w:r>
    </w:p>
    <w:p w:rsidR="00851217" w:rsidRDefault="008633DD" w:rsidP="00D039A5">
      <w:pPr>
        <w:jc w:val="both"/>
        <w:rPr>
          <w:rtl/>
        </w:rPr>
      </w:pPr>
      <w:r>
        <w:rPr>
          <w:rFonts w:hint="cs"/>
          <w:rtl/>
        </w:rPr>
        <w:t>شیخ طوسی در نهایه می فرماید:</w:t>
      </w:r>
    </w:p>
    <w:p w:rsidR="008633DD" w:rsidRPr="008633DD" w:rsidRDefault="008633DD" w:rsidP="008633DD">
      <w:pPr>
        <w:jc w:val="both"/>
        <w:rPr>
          <w:color w:val="000080"/>
        </w:rPr>
      </w:pPr>
      <w:r w:rsidRPr="008633DD">
        <w:rPr>
          <w:rFonts w:hint="cs"/>
          <w:color w:val="000080"/>
          <w:rtl/>
        </w:rPr>
        <w:t>و لا نفقة للتي مات عنها زوجها من تركة الرّجل. فإن كانت حاملا أنفق عليها من نصيب ولدها الذي في بطنها.</w:t>
      </w:r>
      <w:r>
        <w:rPr>
          <w:rStyle w:val="FootnoteReference"/>
          <w:color w:val="000080"/>
          <w:rtl/>
        </w:rPr>
        <w:footnoteReference w:id="1"/>
      </w:r>
    </w:p>
    <w:p w:rsidR="008633DD" w:rsidRDefault="00E0050A" w:rsidP="00D039A5">
      <w:pPr>
        <w:jc w:val="both"/>
        <w:rPr>
          <w:rtl/>
        </w:rPr>
      </w:pPr>
      <w:r>
        <w:rPr>
          <w:rFonts w:hint="cs"/>
          <w:rtl/>
        </w:rPr>
        <w:t xml:space="preserve">قید </w:t>
      </w:r>
      <w:r w:rsidRPr="008633DD">
        <w:rPr>
          <w:rFonts w:hint="cs"/>
          <w:color w:val="000080"/>
          <w:rtl/>
        </w:rPr>
        <w:t>من تركة الرّجل</w:t>
      </w:r>
      <w:r>
        <w:rPr>
          <w:rFonts w:hint="cs"/>
          <w:rtl/>
        </w:rPr>
        <w:t xml:space="preserve"> گویا در مقام جمع بین روایاتی است که می فرمایند نفقه برای مادر ثابت نیست و روایاتی که نفقه را در نصیب ولد ثابت کرده است.</w:t>
      </w:r>
    </w:p>
    <w:p w:rsidR="00CB580D" w:rsidRDefault="00D81E0B" w:rsidP="00F73F1E">
      <w:pPr>
        <w:jc w:val="both"/>
        <w:rPr>
          <w:rtl/>
        </w:rPr>
      </w:pPr>
      <w:r>
        <w:rPr>
          <w:rFonts w:hint="cs"/>
          <w:rtl/>
        </w:rPr>
        <w:t>اما به نظر می رسد این جمع عرفی نباشد؛ اختصاص روایات متعددی که می فرمایند زن نفقه ندارد، به این که در ترکه‌ی زوج نفقه ندارد؛ اما از نصیب ولدی که</w:t>
      </w:r>
      <w:r w:rsidR="00F73F1E">
        <w:rPr>
          <w:rFonts w:hint="cs"/>
          <w:rtl/>
        </w:rPr>
        <w:t xml:space="preserve"> آن هم</w:t>
      </w:r>
      <w:r>
        <w:rPr>
          <w:rFonts w:hint="cs"/>
          <w:rtl/>
        </w:rPr>
        <w:t xml:space="preserve"> از ترکه‌ی زوج می باشد، نفقه داشته باشد، جمع عرفی </w:t>
      </w:r>
      <w:r w:rsidR="00F73F1E">
        <w:rPr>
          <w:rFonts w:hint="cs"/>
          <w:rtl/>
        </w:rPr>
        <w:t>نیست.</w:t>
      </w:r>
    </w:p>
    <w:p w:rsidR="00851217" w:rsidRDefault="00B226CC" w:rsidP="00D039A5">
      <w:pPr>
        <w:jc w:val="both"/>
        <w:rPr>
          <w:rtl/>
        </w:rPr>
      </w:pPr>
      <w:r>
        <w:rPr>
          <w:rFonts w:hint="cs"/>
          <w:rtl/>
        </w:rPr>
        <w:t>همچنین این جمع با روایت محمد بن مسلم که می فرماید از نصیب خود زن بر او انفاق می شود، منافات دارد.</w:t>
      </w:r>
      <w:r w:rsidR="00FC41A6">
        <w:rPr>
          <w:rFonts w:hint="cs"/>
          <w:rtl/>
        </w:rPr>
        <w:t xml:space="preserve"> در نتیجه این وجه جمع، تمام نیست.</w:t>
      </w:r>
    </w:p>
    <w:p w:rsidR="008A00A8" w:rsidRDefault="00F26514" w:rsidP="00F26514">
      <w:pPr>
        <w:pStyle w:val="Heading2"/>
        <w:rPr>
          <w:rtl/>
        </w:rPr>
      </w:pPr>
      <w:bookmarkStart w:id="4" w:name="_Toc73087183"/>
      <w:r>
        <w:rPr>
          <w:rFonts w:hint="cs"/>
          <w:rtl/>
        </w:rPr>
        <w:t>وجه جمع چهارم</w:t>
      </w:r>
      <w:bookmarkEnd w:id="4"/>
    </w:p>
    <w:p w:rsidR="00B91886" w:rsidRDefault="00B91886" w:rsidP="00D039A5">
      <w:pPr>
        <w:jc w:val="both"/>
        <w:rPr>
          <w:rtl/>
        </w:rPr>
      </w:pPr>
      <w:r>
        <w:rPr>
          <w:rFonts w:hint="cs"/>
          <w:rtl/>
        </w:rPr>
        <w:t>یک وجه جمع دیگر که به نظر ما می رسد و البته عرفی هم نیست، به این صورت است که روایاتی که می فرمایند زن نفقه ندارد، اشاره به نفقه ای است که برای خود مادر باشد و روایاتی که می فرمایند نفقه دارد، نفقه‌ی حمل برای او وجود دارد. یعنی نفقه‌ی حمل بر عهده‌ی خود حمل است؛ اما برای ایصال این نفقه به حمل، نفقه را به مادر می دهیم.</w:t>
      </w:r>
    </w:p>
    <w:p w:rsidR="001F608F" w:rsidRDefault="001F608F" w:rsidP="00F35AE9">
      <w:pPr>
        <w:jc w:val="both"/>
        <w:rPr>
          <w:rtl/>
        </w:rPr>
      </w:pPr>
      <w:r>
        <w:rPr>
          <w:rFonts w:hint="cs"/>
          <w:rtl/>
        </w:rPr>
        <w:lastRenderedPageBreak/>
        <w:t xml:space="preserve">اشکال این وجه جمع این است که </w:t>
      </w:r>
      <w:r w:rsidR="001822D2">
        <w:rPr>
          <w:rFonts w:hint="cs"/>
          <w:rtl/>
        </w:rPr>
        <w:t>هم برای حیات مادر و هم برای حیات جنین به این نفقه نیاز است.</w:t>
      </w:r>
      <w:r w:rsidR="00944FE8">
        <w:rPr>
          <w:rFonts w:hint="cs"/>
          <w:rtl/>
        </w:rPr>
        <w:t xml:space="preserve"> چه مقدار از این نفقه را نصیب مادر و چه مقدار از آن را نصیب جنین فرض کنیم؟</w:t>
      </w:r>
      <w:r w:rsidR="00714B37">
        <w:rPr>
          <w:rFonts w:hint="cs"/>
          <w:rtl/>
        </w:rPr>
        <w:t xml:space="preserve"> این توضیحات در این روایت نیامده است که گفته شود روایت ناظر به نفقه‌ی ولد است.</w:t>
      </w:r>
    </w:p>
    <w:p w:rsidR="00714B37" w:rsidRDefault="00714B37" w:rsidP="00D039A5">
      <w:pPr>
        <w:jc w:val="both"/>
        <w:rPr>
          <w:rtl/>
        </w:rPr>
      </w:pPr>
      <w:r>
        <w:rPr>
          <w:rFonts w:hint="cs"/>
          <w:rtl/>
        </w:rPr>
        <w:t>هیچ یک از فقها هم این وجه جمع را ذکر نکرده اند. همین مطلب کاشف از این است که عرف متعارف این معنا را از روایت درک نمی کند.</w:t>
      </w:r>
    </w:p>
    <w:p w:rsidR="00592785" w:rsidRDefault="00592785" w:rsidP="00592785">
      <w:pPr>
        <w:pStyle w:val="Heading2"/>
        <w:rPr>
          <w:rtl/>
        </w:rPr>
      </w:pPr>
      <w:bookmarkStart w:id="5" w:name="_Toc73087184"/>
      <w:r>
        <w:rPr>
          <w:rFonts w:hint="cs"/>
          <w:rtl/>
        </w:rPr>
        <w:t>اقرب الوجوه</w:t>
      </w:r>
      <w:bookmarkEnd w:id="5"/>
    </w:p>
    <w:p w:rsidR="00381FA8" w:rsidRDefault="00B94A1C" w:rsidP="00D039A5">
      <w:pPr>
        <w:jc w:val="both"/>
        <w:rPr>
          <w:rtl/>
        </w:rPr>
      </w:pPr>
      <w:r>
        <w:rPr>
          <w:rFonts w:hint="cs"/>
          <w:rtl/>
        </w:rPr>
        <w:t>به نظر می رسد وجه جمع دوم که این نفقه، بر نفقه‌ی اقارب حمل شود، اقرب الوجوه است.</w:t>
      </w:r>
      <w:r w:rsidR="002D00B8">
        <w:rPr>
          <w:rFonts w:hint="cs"/>
          <w:rtl/>
        </w:rPr>
        <w:t xml:space="preserve"> احتمال دارد مرحوم شیخ طوسی و برخی از فقهای دیگر که از آن ها نقل شده است که «ینفق علیها من نصیب الولد»، گر چه کلامشان مطلق است</w:t>
      </w:r>
      <w:r w:rsidR="009D7E16">
        <w:rPr>
          <w:rFonts w:hint="cs"/>
          <w:rtl/>
        </w:rPr>
        <w:t xml:space="preserve"> و قید نزده اند به</w:t>
      </w:r>
      <w:r w:rsidR="00DB43CD">
        <w:rPr>
          <w:rFonts w:hint="cs"/>
          <w:rtl/>
        </w:rPr>
        <w:t xml:space="preserve"> صورتی که مادر اعسار داشته باشد؛ اما احتمالا مرادشان همین صورت اعسار است.</w:t>
      </w:r>
    </w:p>
    <w:p w:rsidR="00B226CC" w:rsidRDefault="00E15607" w:rsidP="00D039A5">
      <w:pPr>
        <w:jc w:val="both"/>
        <w:rPr>
          <w:rtl/>
        </w:rPr>
      </w:pPr>
      <w:r>
        <w:rPr>
          <w:rFonts w:hint="cs"/>
          <w:rtl/>
        </w:rPr>
        <w:t>صاحب جواهر به روایاتی که می فرمایند زن متوفی عنها زوجها هیچ نفقه ای ندارد، اعتماد می کند، شهرت هم موافق این روایات است؛ در حالی که مساله خیلی روشن نیست.</w:t>
      </w:r>
      <w:r w:rsidR="00E676A1">
        <w:rPr>
          <w:rFonts w:hint="cs"/>
          <w:rtl/>
        </w:rPr>
        <w:t xml:space="preserve"> شیخ مفید، ابن ابی عقیل، ابن ادریس و ... طبق همین روایات فتوا داده اند که زن هیچ نفقه ای ندارد.</w:t>
      </w:r>
    </w:p>
    <w:p w:rsidR="00B679F9" w:rsidRDefault="00880E47" w:rsidP="007C4FF6">
      <w:pPr>
        <w:jc w:val="both"/>
        <w:rPr>
          <w:rtl/>
        </w:rPr>
      </w:pPr>
      <w:r>
        <w:rPr>
          <w:rFonts w:hint="cs"/>
          <w:rtl/>
        </w:rPr>
        <w:t>برخی فقها قول دیگر</w:t>
      </w:r>
      <w:r w:rsidR="00B679F9">
        <w:rPr>
          <w:rFonts w:hint="cs"/>
          <w:rtl/>
        </w:rPr>
        <w:t xml:space="preserve"> ( از نصیب ولد به مادر داده می شود)</w:t>
      </w:r>
      <w:r>
        <w:rPr>
          <w:rFonts w:hint="cs"/>
          <w:rtl/>
        </w:rPr>
        <w:t xml:space="preserve"> را اختیار کرده اند. از جمله شیخ صدوق در فقیه؛ علامه از شیخ صدوق در مقنع نیز این قول را نقل کرده است؛ اما </w:t>
      </w:r>
      <w:r w:rsidR="00435A14">
        <w:rPr>
          <w:rFonts w:hint="cs"/>
          <w:rtl/>
        </w:rPr>
        <w:t xml:space="preserve">این قول </w:t>
      </w:r>
      <w:r>
        <w:rPr>
          <w:rFonts w:hint="cs"/>
          <w:rtl/>
        </w:rPr>
        <w:t>در مقنع چاپی ن</w:t>
      </w:r>
      <w:r w:rsidR="005726D9">
        <w:rPr>
          <w:rFonts w:hint="cs"/>
          <w:rtl/>
        </w:rPr>
        <w:t>می باشد؛ احتمالا اشتباه شده است. در کافی نیز روایت ابی الصباح الکنانی را نقل کرده است؛ اما روشن نیست فتوای مرحوم کلینی چیست؛ زیرا روایات دیگر را نیز</w:t>
      </w:r>
      <w:r w:rsidR="00D80247">
        <w:rPr>
          <w:rFonts w:hint="cs"/>
          <w:rtl/>
        </w:rPr>
        <w:t xml:space="preserve"> که نفقه را </w:t>
      </w:r>
      <w:r w:rsidR="00D757A0">
        <w:rPr>
          <w:rFonts w:hint="cs"/>
          <w:rtl/>
        </w:rPr>
        <w:t>نفی</w:t>
      </w:r>
      <w:r w:rsidR="00D80247">
        <w:rPr>
          <w:rFonts w:hint="cs"/>
          <w:rtl/>
        </w:rPr>
        <w:t xml:space="preserve"> کرده است،</w:t>
      </w:r>
      <w:r w:rsidR="005726D9">
        <w:rPr>
          <w:rFonts w:hint="cs"/>
          <w:rtl/>
        </w:rPr>
        <w:t xml:space="preserve"> نقل کرده است</w:t>
      </w:r>
      <w:r w:rsidR="00D757A0">
        <w:rPr>
          <w:rFonts w:hint="cs"/>
          <w:rtl/>
        </w:rPr>
        <w:t>.</w:t>
      </w:r>
      <w:r w:rsidR="00BC6DB5">
        <w:rPr>
          <w:rFonts w:hint="cs"/>
          <w:rtl/>
        </w:rPr>
        <w:t xml:space="preserve"> ابوالصلاح حلبی،</w:t>
      </w:r>
      <w:r w:rsidR="007C4FF6">
        <w:rPr>
          <w:rFonts w:hint="cs"/>
          <w:rtl/>
        </w:rPr>
        <w:t xml:space="preserve"> </w:t>
      </w:r>
      <w:r w:rsidR="00BC6DB5">
        <w:rPr>
          <w:rFonts w:hint="cs"/>
          <w:rtl/>
        </w:rPr>
        <w:t>ابن براج در مهذب، ابن حمزه در وسیله و شیخ طوسی در نهایه این قول را اختیار کرده اند.</w:t>
      </w:r>
    </w:p>
    <w:p w:rsidR="00B226CC" w:rsidRDefault="00FB5A08" w:rsidP="00312139">
      <w:pPr>
        <w:jc w:val="both"/>
        <w:rPr>
          <w:rtl/>
        </w:rPr>
      </w:pPr>
      <w:r>
        <w:rPr>
          <w:rFonts w:hint="cs"/>
          <w:rtl/>
        </w:rPr>
        <w:t xml:space="preserve">مرحوم محقق حلی می فرماید: در مساله دو روایت </w:t>
      </w:r>
      <w:r w:rsidR="00312139">
        <w:rPr>
          <w:rFonts w:hint="cs"/>
          <w:rtl/>
        </w:rPr>
        <w:t>وجود دارد</w:t>
      </w:r>
      <w:r>
        <w:rPr>
          <w:rFonts w:hint="cs"/>
          <w:rtl/>
        </w:rPr>
        <w:t xml:space="preserve"> </w:t>
      </w:r>
      <w:r w:rsidR="008E3AFB">
        <w:rPr>
          <w:rFonts w:hint="cs"/>
          <w:rtl/>
        </w:rPr>
        <w:t>و اشهرهما این است که نفقه ندارد و روایت دوم این است که از نصیب ولد به او داده می شود.</w:t>
      </w:r>
    </w:p>
    <w:p w:rsidR="001A1EA5" w:rsidRDefault="00EC137B" w:rsidP="00D919ED">
      <w:pPr>
        <w:jc w:val="both"/>
        <w:rPr>
          <w:rtl/>
        </w:rPr>
      </w:pPr>
      <w:r>
        <w:rPr>
          <w:rFonts w:hint="cs"/>
          <w:rtl/>
        </w:rPr>
        <w:t>به نظر می رسد روشن نیست که اشهر نفقه نداشتن باشد.</w:t>
      </w:r>
      <w:r w:rsidR="00FE7CBD">
        <w:rPr>
          <w:rFonts w:hint="cs"/>
          <w:rtl/>
        </w:rPr>
        <w:t xml:space="preserve"> اگر کسی اشهر را </w:t>
      </w:r>
      <w:r w:rsidR="00EB4169">
        <w:rPr>
          <w:rFonts w:hint="cs"/>
          <w:rtl/>
        </w:rPr>
        <w:t>نفقه‌ی زن از مال ولد بداند، گزاف نگفته است؛ زیرا</w:t>
      </w:r>
      <w:r w:rsidR="005445F1">
        <w:rPr>
          <w:rFonts w:hint="cs"/>
          <w:rtl/>
        </w:rPr>
        <w:t xml:space="preserve"> این قول از</w:t>
      </w:r>
      <w:r w:rsidR="00EB4169">
        <w:rPr>
          <w:rFonts w:hint="cs"/>
          <w:rtl/>
        </w:rPr>
        <w:t xml:space="preserve"> </w:t>
      </w:r>
      <w:r w:rsidR="00D919ED">
        <w:rPr>
          <w:rFonts w:hint="cs"/>
          <w:rtl/>
        </w:rPr>
        <w:t>بیش تر فقهای مطرح مثل ابن جنید، شیخ صدوق، شیخ طوسی</w:t>
      </w:r>
      <w:r w:rsidR="005445F1">
        <w:rPr>
          <w:rFonts w:hint="cs"/>
          <w:rtl/>
        </w:rPr>
        <w:t xml:space="preserve"> در نهایه، ابن براج و ابن حمزه نقل شده است.</w:t>
      </w:r>
      <w:r w:rsidR="003B01B9">
        <w:rPr>
          <w:rFonts w:hint="cs"/>
          <w:rtl/>
        </w:rPr>
        <w:t xml:space="preserve"> اما فقهایی که صریحا یا ظاهرا قول دیگر را اختیار کرده اند </w:t>
      </w:r>
      <w:r w:rsidR="004303AB">
        <w:rPr>
          <w:rFonts w:hint="cs"/>
          <w:rtl/>
        </w:rPr>
        <w:t>عبارتند از شیخ مفید، ابن ادریس،</w:t>
      </w:r>
      <w:r w:rsidR="003B01B9">
        <w:rPr>
          <w:rFonts w:hint="cs"/>
          <w:rtl/>
        </w:rPr>
        <w:t xml:space="preserve"> ظاهر شرایع</w:t>
      </w:r>
      <w:r w:rsidR="003B01B9">
        <w:rPr>
          <w:rStyle w:val="FootnoteReference"/>
          <w:rtl/>
        </w:rPr>
        <w:footnoteReference w:id="2"/>
      </w:r>
      <w:r w:rsidR="004303AB">
        <w:rPr>
          <w:rFonts w:hint="cs"/>
          <w:rtl/>
        </w:rPr>
        <w:t>، محقق و علامه.</w:t>
      </w:r>
    </w:p>
    <w:p w:rsidR="003546A3" w:rsidRDefault="00E674BF" w:rsidP="00D039A5">
      <w:pPr>
        <w:jc w:val="both"/>
        <w:rPr>
          <w:rtl/>
        </w:rPr>
      </w:pPr>
      <w:r>
        <w:rPr>
          <w:rFonts w:hint="cs"/>
          <w:rtl/>
        </w:rPr>
        <w:t>مجموعا مفتیان به انفاق از نصیب ولد هم بیش ترند و هم قدیمی ترند.</w:t>
      </w:r>
    </w:p>
    <w:p w:rsidR="000131BF" w:rsidRDefault="00741B74" w:rsidP="005335DC">
      <w:pPr>
        <w:jc w:val="both"/>
        <w:rPr>
          <w:rtl/>
        </w:rPr>
      </w:pPr>
      <w:r>
        <w:rPr>
          <w:rFonts w:hint="cs"/>
          <w:rtl/>
        </w:rPr>
        <w:t>خلاصه آن که روایتی که نفقه‌ی زن را از نصیب</w:t>
      </w:r>
      <w:r w:rsidR="000131BF">
        <w:rPr>
          <w:rFonts w:hint="cs"/>
          <w:rtl/>
        </w:rPr>
        <w:t xml:space="preserve"> ولد دانسته است، معرض عنها نیست و حمل آن بر اعسار زن، حمل خوبی است و اشکالی ندارد.</w:t>
      </w:r>
      <w:r w:rsidR="00275FF1">
        <w:rPr>
          <w:rFonts w:hint="cs"/>
          <w:rtl/>
        </w:rPr>
        <w:t xml:space="preserve"> احتمالا </w:t>
      </w:r>
      <w:r w:rsidR="005335DC">
        <w:rPr>
          <w:rFonts w:hint="cs"/>
          <w:rtl/>
        </w:rPr>
        <w:t>فقهایی</w:t>
      </w:r>
      <w:r w:rsidR="00275FF1">
        <w:rPr>
          <w:rFonts w:hint="cs"/>
          <w:rtl/>
        </w:rPr>
        <w:t xml:space="preserve"> هم که مطلق بیان کرده اند، مرادشان همین صورت اعسار زن باشد.</w:t>
      </w:r>
      <w:r w:rsidR="00186414">
        <w:rPr>
          <w:rFonts w:hint="cs"/>
          <w:rtl/>
        </w:rPr>
        <w:t xml:space="preserve"> یعنی نفقه‌ی زن از نصیب ولد، از باب نفقه‌ی اقارب است.</w:t>
      </w:r>
      <w:r w:rsidR="00361D57">
        <w:rPr>
          <w:rFonts w:hint="cs"/>
          <w:rtl/>
        </w:rPr>
        <w:t xml:space="preserve"> اقوی همین قول است؛ اما احوط این است که مادر از نصیب ولد اخذ نکند.</w:t>
      </w:r>
    </w:p>
    <w:p w:rsidR="001C7BD5" w:rsidRPr="001C7BD5" w:rsidRDefault="001C7BD5" w:rsidP="001C7BD5">
      <w:pPr>
        <w:jc w:val="both"/>
      </w:pPr>
      <w:r>
        <w:rPr>
          <w:rFonts w:hint="cs"/>
          <w:rtl/>
        </w:rPr>
        <w:t>عنوان باب جامع احادیث الشیعه، شبیه نهایه‌ی شیخ طوسی است. عنوان جامع احادیث الشیعه به این صورت است: «</w:t>
      </w:r>
      <w:r w:rsidRPr="001C7BD5">
        <w:rPr>
          <w:rFonts w:hint="cs"/>
          <w:color w:val="000080"/>
          <w:rtl/>
        </w:rPr>
        <w:t>باب عدم وجوب نفقة المتوفّى‏ عنها زوجها من مال زوجها وإن كانت حاملًا ولا سكناها وينفق عليها من مال ولدها الّذى فى بطنها</w:t>
      </w:r>
      <w:r>
        <w:rPr>
          <w:rFonts w:hint="cs"/>
          <w:rtl/>
        </w:rPr>
        <w:t>»</w:t>
      </w:r>
      <w:r>
        <w:rPr>
          <w:rStyle w:val="FootnoteReference"/>
          <w:rtl/>
        </w:rPr>
        <w:footnoteReference w:id="3"/>
      </w:r>
    </w:p>
    <w:p w:rsidR="00592785" w:rsidRDefault="00592785" w:rsidP="00592785">
      <w:pPr>
        <w:pStyle w:val="Heading2"/>
        <w:rPr>
          <w:rtl/>
        </w:rPr>
      </w:pPr>
      <w:bookmarkStart w:id="6" w:name="_Toc73087185"/>
      <w:r>
        <w:rPr>
          <w:rFonts w:hint="cs"/>
          <w:rtl/>
        </w:rPr>
        <w:t>روایت سکونی</w:t>
      </w:r>
      <w:bookmarkEnd w:id="6"/>
    </w:p>
    <w:p w:rsidR="001C7BD5" w:rsidRDefault="001C7BD5" w:rsidP="000131BF">
      <w:pPr>
        <w:jc w:val="both"/>
        <w:rPr>
          <w:rtl/>
        </w:rPr>
      </w:pPr>
      <w:r>
        <w:rPr>
          <w:rFonts w:hint="cs"/>
          <w:rtl/>
        </w:rPr>
        <w:t xml:space="preserve">روایت </w:t>
      </w:r>
      <w:r w:rsidR="00832663">
        <w:rPr>
          <w:rFonts w:hint="cs"/>
          <w:rtl/>
        </w:rPr>
        <w:t>دیگری که در این بحث وجود دارد، روایت سکونی است:</w:t>
      </w:r>
    </w:p>
    <w:p w:rsidR="0062777B" w:rsidRDefault="0062777B" w:rsidP="000131BF">
      <w:pPr>
        <w:jc w:val="both"/>
        <w:rPr>
          <w:rtl/>
        </w:rPr>
      </w:pPr>
      <w:r w:rsidRPr="00B602F4">
        <w:rPr>
          <w:rFonts w:hint="cs"/>
          <w:rtl/>
        </w:rPr>
        <w:t xml:space="preserve">مُحَمَّدُ بْنُ عَلِيِّ بْنِ مَحْبُوبٍ عَنْ أَحْمَدَ بْنِ مُحَمَّدٍ عَنِ الْبَرْقِيِّ عَنْ عَبْدِ اللَّهِ بْنِ الْمُغِيرَةِ عَنِ السَّكُونِيِّ عَنْ جَعْفَرٍ عَنْ أَبِيهِ عَنْ عَلِيٍّ ع قَالَ: </w:t>
      </w:r>
      <w:r w:rsidRPr="00B602F4">
        <w:rPr>
          <w:rFonts w:hint="cs"/>
          <w:color w:val="008000"/>
          <w:rtl/>
        </w:rPr>
        <w:t>فِي نَفَقَةِ الْحَامِلِ الْمُتَوَفَّى عَنْهَا زَوْجُهَا مِنْ جَمِيعِ الْمَالِ حَتَّى تَضَعَ.</w:t>
      </w:r>
      <w:r>
        <w:rPr>
          <w:rStyle w:val="FootnoteReference"/>
          <w:color w:val="008000"/>
          <w:rtl/>
        </w:rPr>
        <w:footnoteReference w:id="4"/>
      </w:r>
    </w:p>
    <w:p w:rsidR="003546A3" w:rsidRDefault="0062777B" w:rsidP="00D039A5">
      <w:pPr>
        <w:jc w:val="both"/>
        <w:rPr>
          <w:rtl/>
        </w:rPr>
      </w:pPr>
      <w:r>
        <w:rPr>
          <w:rFonts w:hint="cs"/>
          <w:rtl/>
        </w:rPr>
        <w:t>وثاقت سکونی از عبارت شیخ طوسی در عُدّه و همچنین اکثار روایت نوفلی به دست می آید؛ اما امامی بودنش برای ما ثابت نشد</w:t>
      </w:r>
      <w:r w:rsidR="00622F54">
        <w:rPr>
          <w:rFonts w:hint="cs"/>
          <w:rtl/>
        </w:rPr>
        <w:t>ه است</w:t>
      </w:r>
      <w:r>
        <w:rPr>
          <w:rFonts w:hint="cs"/>
          <w:rtl/>
        </w:rPr>
        <w:t>؛ گر چه احتمال امامی بودنش وجود دارد؛ یعنی تقیه می کرده است.</w:t>
      </w:r>
      <w:r w:rsidR="004119D1">
        <w:rPr>
          <w:rFonts w:hint="cs"/>
          <w:rtl/>
        </w:rPr>
        <w:t xml:space="preserve"> در نتیجه روایات سکونی در حکم موثقه تلقی می شود.</w:t>
      </w:r>
    </w:p>
    <w:p w:rsidR="002F7D6C" w:rsidRDefault="002F7D6C" w:rsidP="00D039A5">
      <w:pPr>
        <w:jc w:val="both"/>
        <w:rPr>
          <w:rtl/>
        </w:rPr>
      </w:pPr>
      <w:r>
        <w:rPr>
          <w:rFonts w:hint="cs"/>
          <w:rtl/>
        </w:rPr>
        <w:t xml:space="preserve">این روایت را به دو شکل می توان معنا کرد. ممکن است </w:t>
      </w:r>
      <w:r w:rsidRPr="00B602F4">
        <w:rPr>
          <w:rFonts w:hint="cs"/>
          <w:color w:val="008000"/>
          <w:rtl/>
        </w:rPr>
        <w:t>حَتَّى تَضَعَ</w:t>
      </w:r>
      <w:r>
        <w:rPr>
          <w:rFonts w:hint="cs"/>
          <w:rtl/>
        </w:rPr>
        <w:t xml:space="preserve"> قید نفقه باشد؛ به این معنا که تا وقتی که حامل، وضع حمل نکرده است، نفقه اش از جمی</w:t>
      </w:r>
      <w:r w:rsidR="00C82A73">
        <w:rPr>
          <w:rFonts w:hint="cs"/>
          <w:rtl/>
        </w:rPr>
        <w:t>ع مال است و پس از آن نفقه ندارد.</w:t>
      </w:r>
    </w:p>
    <w:p w:rsidR="003546A3" w:rsidRDefault="00C82A73" w:rsidP="00C82A73">
      <w:pPr>
        <w:jc w:val="both"/>
        <w:rPr>
          <w:rtl/>
        </w:rPr>
      </w:pPr>
      <w:r>
        <w:rPr>
          <w:rFonts w:hint="cs"/>
          <w:rtl/>
        </w:rPr>
        <w:t xml:space="preserve">معنای دیگر که قابل جمع با روایت ابی الصباح الکنانی است، به این صورت است که </w:t>
      </w:r>
      <w:r w:rsidRPr="00B602F4">
        <w:rPr>
          <w:rFonts w:hint="cs"/>
          <w:color w:val="008000"/>
          <w:rtl/>
        </w:rPr>
        <w:t>حَتَّى تَضَعَ</w:t>
      </w:r>
      <w:r>
        <w:rPr>
          <w:rFonts w:hint="cs"/>
          <w:rtl/>
        </w:rPr>
        <w:t xml:space="preserve"> ناظر به </w:t>
      </w:r>
      <w:r w:rsidRPr="00B602F4">
        <w:rPr>
          <w:rFonts w:hint="cs"/>
          <w:color w:val="008000"/>
          <w:rtl/>
        </w:rPr>
        <w:t xml:space="preserve">جَمِيعِ الْمَالِ </w:t>
      </w:r>
      <w:r>
        <w:rPr>
          <w:rFonts w:hint="cs"/>
          <w:rtl/>
        </w:rPr>
        <w:t xml:space="preserve">باشد؛ یعنی نفقه‌ی حامل متوفی عنها زوجها تا وضع حمل از </w:t>
      </w:r>
      <w:r w:rsidRPr="00B602F4">
        <w:rPr>
          <w:rFonts w:hint="cs"/>
          <w:color w:val="008000"/>
          <w:rtl/>
        </w:rPr>
        <w:t>جَمِيعِ الْمَالِ</w:t>
      </w:r>
      <w:r>
        <w:rPr>
          <w:rFonts w:hint="cs"/>
          <w:rtl/>
        </w:rPr>
        <w:t xml:space="preserve"> است؛ اما پس از وضع حمل که مشخص شد، فرزند پسر است یا دختر، یکی است یا چند تاست، از نصیب فرزند به او داده می شود.</w:t>
      </w:r>
    </w:p>
    <w:p w:rsidR="0078078F" w:rsidRDefault="0078078F" w:rsidP="00C82A73">
      <w:pPr>
        <w:jc w:val="both"/>
        <w:rPr>
          <w:rtl/>
        </w:rPr>
      </w:pPr>
      <w:r>
        <w:rPr>
          <w:rFonts w:hint="cs"/>
          <w:rtl/>
        </w:rPr>
        <w:t>شیخ طوسی هم ذیل این روایت به این مطلب اشاره کرده است:</w:t>
      </w:r>
    </w:p>
    <w:p w:rsidR="0078078F" w:rsidRPr="0078078F" w:rsidRDefault="0078078F" w:rsidP="0078078F">
      <w:pPr>
        <w:jc w:val="both"/>
        <w:rPr>
          <w:color w:val="000080"/>
        </w:rPr>
      </w:pPr>
      <w:r w:rsidRPr="0078078F">
        <w:rPr>
          <w:rFonts w:hint="cs"/>
          <w:color w:val="000080"/>
          <w:rtl/>
        </w:rPr>
        <w:t>أَنْ يَكُونَ الْوَجْهُ فِيهِ أَنْ يُنْفَقَ عَلَيْهَا مِنْ جَمِيعِ الْمَالِ لِأَنَّ نَصِيبَ الْحَمْلِ لَمْ يَتَمَيَّزْ بَعْدُ وَ إِنَّمَا يَتَمَيَّزُ إِذَا وَضَعَتْ فَيُعْلَمُ أَ ذَكَرٌ هُوَ أَمْ أُنْثَى فَحِينَئِذٍ يُعْزَلُ مَالُهُ فَإِذَا تَمَيَّزَ أُخِذَ مِنْهُ مَا أُنْفِقَ عَلَيْهَا وَ رُدَّ عَلَى الْوَرَثَةِ وَ يَكُونُ فَائِدَةُ الْخَبَرِ أَنْ لَا تَلْزَمَ النَّفَقَةُ عَلَيْهَا وَاحِداً دُونَ الْآخَرِ بَلْ يَكُونُونَ كُلُّهُمْ فِي ذَلِكَ سَوَاء</w:t>
      </w:r>
      <w:r w:rsidR="00666412">
        <w:rPr>
          <w:rStyle w:val="FootnoteReference"/>
          <w:color w:val="000080"/>
          <w:rtl/>
        </w:rPr>
        <w:footnoteReference w:id="5"/>
      </w:r>
    </w:p>
    <w:p w:rsidR="0078078F" w:rsidRDefault="0078078F" w:rsidP="00C82A73">
      <w:pPr>
        <w:jc w:val="both"/>
        <w:rPr>
          <w:rtl/>
        </w:rPr>
      </w:pPr>
      <w:r>
        <w:rPr>
          <w:rFonts w:hint="cs"/>
          <w:rtl/>
        </w:rPr>
        <w:t>به نظر می رسد این وجه که تا وضع حمل نفقه‌ی زن از جمیع مال است و پس از آن از جمیع مال نیست، وجه خوبی است.</w:t>
      </w:r>
    </w:p>
    <w:p w:rsidR="009B1C44" w:rsidRDefault="009B1C44" w:rsidP="00C82A73">
      <w:pPr>
        <w:jc w:val="both"/>
        <w:rPr>
          <w:rtl/>
        </w:rPr>
      </w:pPr>
      <w:r>
        <w:rPr>
          <w:rFonts w:hint="cs"/>
          <w:rtl/>
        </w:rPr>
        <w:t xml:space="preserve">روایت سکونی در جعفریات نیز </w:t>
      </w:r>
      <w:r w:rsidR="00666412">
        <w:rPr>
          <w:rFonts w:hint="cs"/>
          <w:rtl/>
        </w:rPr>
        <w:t xml:space="preserve">با این تعبیر </w:t>
      </w:r>
      <w:r>
        <w:rPr>
          <w:rFonts w:hint="cs"/>
          <w:rtl/>
        </w:rPr>
        <w:t>نقل شده است:</w:t>
      </w:r>
    </w:p>
    <w:p w:rsidR="00666412" w:rsidRPr="00666412" w:rsidRDefault="00666412" w:rsidP="00666412">
      <w:pPr>
        <w:jc w:val="both"/>
      </w:pPr>
      <w:r w:rsidRPr="00666412">
        <w:rPr>
          <w:rFonts w:hint="cs"/>
          <w:color w:val="008000"/>
          <w:rtl/>
        </w:rPr>
        <w:t>انّه قال الحامل المتوفّى‏ عنها زوجها نفقتها من جميع‏ المال‏ حتّى‏ تضع</w:t>
      </w:r>
      <w:r w:rsidRPr="00666412">
        <w:rPr>
          <w:rFonts w:hint="cs"/>
          <w:rtl/>
        </w:rPr>
        <w:t>‏</w:t>
      </w:r>
      <w:r>
        <w:rPr>
          <w:rStyle w:val="FootnoteReference"/>
          <w:rtl/>
        </w:rPr>
        <w:footnoteReference w:id="6"/>
      </w:r>
    </w:p>
    <w:p w:rsidR="003546A3" w:rsidRDefault="00DD656C" w:rsidP="00D450C1">
      <w:pPr>
        <w:jc w:val="both"/>
        <w:rPr>
          <w:rtl/>
        </w:rPr>
      </w:pPr>
      <w:r>
        <w:rPr>
          <w:rFonts w:hint="cs"/>
          <w:rtl/>
        </w:rPr>
        <w:t xml:space="preserve">سید </w:t>
      </w:r>
      <w:r w:rsidR="00D450C1">
        <w:rPr>
          <w:rFonts w:hint="cs"/>
          <w:rtl/>
        </w:rPr>
        <w:t>فضل</w:t>
      </w:r>
      <w:r>
        <w:rPr>
          <w:rFonts w:hint="cs"/>
          <w:rtl/>
        </w:rPr>
        <w:t xml:space="preserve"> الله راوندی در نوادرش این روایت را از امام موسی بن جعفر علیه السلام</w:t>
      </w:r>
      <w:r w:rsidR="006B3AC9">
        <w:rPr>
          <w:rStyle w:val="FootnoteReference"/>
          <w:rtl/>
        </w:rPr>
        <w:footnoteReference w:id="7"/>
      </w:r>
      <w:r>
        <w:rPr>
          <w:rFonts w:hint="cs"/>
          <w:rtl/>
        </w:rPr>
        <w:t xml:space="preserve"> نقل کرده است:</w:t>
      </w:r>
    </w:p>
    <w:p w:rsidR="00D450C1" w:rsidRPr="00D450C1" w:rsidRDefault="00D450C1" w:rsidP="00D450C1">
      <w:pPr>
        <w:jc w:val="both"/>
      </w:pPr>
      <w:r w:rsidRPr="00D450C1">
        <w:rPr>
          <w:rFonts w:hint="cs"/>
          <w:rtl/>
        </w:rPr>
        <w:t xml:space="preserve">قَالَ عَلِيٌّ ع‏ </w:t>
      </w:r>
      <w:r w:rsidRPr="00D450C1">
        <w:rPr>
          <w:rFonts w:hint="cs"/>
          <w:color w:val="008000"/>
          <w:rtl/>
        </w:rPr>
        <w:t>الْحَامِلُ الْمُتَوَفَّى عَنْهَا زَوْجُهَا نَفَقَتُهَا مِنْ جَمِيعِ مَالِ الزَّوْجِ حَتَّى تَضَع‏</w:t>
      </w:r>
      <w:r>
        <w:rPr>
          <w:rStyle w:val="FootnoteReference"/>
          <w:color w:val="008000"/>
          <w:rtl/>
        </w:rPr>
        <w:footnoteReference w:id="8"/>
      </w:r>
    </w:p>
    <w:p w:rsidR="00D450C1" w:rsidRDefault="00BE6C27" w:rsidP="003208F7">
      <w:pPr>
        <w:jc w:val="both"/>
        <w:rPr>
          <w:rtl/>
        </w:rPr>
      </w:pPr>
      <w:r>
        <w:rPr>
          <w:rFonts w:hint="cs"/>
          <w:rtl/>
        </w:rPr>
        <w:t xml:space="preserve">نوادر سید فضل الله راوندی </w:t>
      </w:r>
      <w:r w:rsidR="00FA0739">
        <w:rPr>
          <w:rFonts w:hint="cs"/>
          <w:rtl/>
        </w:rPr>
        <w:t xml:space="preserve">نسخه‌ی کامل تری از جعفریات است. گاهی بعضی نقلیات در نوادر است که در نسخه‌ی چاپی </w:t>
      </w:r>
      <w:r w:rsidR="003208F7">
        <w:rPr>
          <w:rFonts w:hint="cs"/>
          <w:rtl/>
        </w:rPr>
        <w:t>جعفریات</w:t>
      </w:r>
      <w:r w:rsidR="00FA0739">
        <w:rPr>
          <w:rFonts w:hint="cs"/>
          <w:rtl/>
        </w:rPr>
        <w:t xml:space="preserve"> نیامده است.</w:t>
      </w:r>
    </w:p>
    <w:p w:rsidR="005206C6" w:rsidRDefault="005206C6" w:rsidP="003208F7">
      <w:pPr>
        <w:jc w:val="both"/>
        <w:rPr>
          <w:rtl/>
        </w:rPr>
      </w:pPr>
      <w:r>
        <w:rPr>
          <w:rFonts w:hint="cs"/>
          <w:rtl/>
        </w:rPr>
        <w:t>بعضی گفته اند: جعفریات همان روایات سکونی است.</w:t>
      </w:r>
    </w:p>
    <w:p w:rsidR="005206C6" w:rsidRDefault="005206C6" w:rsidP="003208F7">
      <w:pPr>
        <w:jc w:val="both"/>
        <w:rPr>
          <w:rtl/>
        </w:rPr>
      </w:pPr>
      <w:r>
        <w:rPr>
          <w:rFonts w:hint="cs"/>
          <w:rtl/>
        </w:rPr>
        <w:t>وجه قابل توجهی بر این مطلب وجود ندارد؛ بله مشابهات زیادی بین روایات سکونی و جعفریات وجود دارد؛ اما این مشابهات ممکن است از این باب باشد که مثلا امام صادق علیه السلام یک متن مکتوبی را که از پدرشان از امام علی علیه السلام روایت کرده اند، در اختیار سکونی و همچنین فرزندانشان قرار داده باشند که جعفریات از طریق فرزندان است. همچنین ممکن است امام صادق علیه السلام در جلسه‌ی مشترکی که هم سکونی و هم فرزندش در آن جلسه بوده است، این روایات را نقل کرده باشد.</w:t>
      </w:r>
    </w:p>
    <w:p w:rsidR="005206C6" w:rsidRDefault="005206C6" w:rsidP="003208F7">
      <w:pPr>
        <w:jc w:val="both"/>
        <w:rPr>
          <w:rtl/>
        </w:rPr>
      </w:pPr>
      <w:r>
        <w:rPr>
          <w:rFonts w:hint="cs"/>
          <w:rtl/>
        </w:rPr>
        <w:t>یک عبارتی در ترجمه‌ی ابی البختری وجود دارد</w:t>
      </w:r>
      <w:r w:rsidR="001C5256">
        <w:rPr>
          <w:rFonts w:hint="cs"/>
          <w:rtl/>
        </w:rPr>
        <w:t>. در این عبارت احتمالی وجود دارد که ممکن است در این بحث سودمند باشد.</w:t>
      </w:r>
    </w:p>
    <w:p w:rsidR="003546A3" w:rsidRDefault="00D45316" w:rsidP="00D039A5">
      <w:pPr>
        <w:jc w:val="both"/>
        <w:rPr>
          <w:rtl/>
        </w:rPr>
      </w:pPr>
      <w:r>
        <w:rPr>
          <w:rFonts w:hint="cs"/>
          <w:rtl/>
        </w:rPr>
        <w:t>هنگامی که هارون الرشید با خنجر و لباس رزم بال</w:t>
      </w:r>
      <w:r w:rsidR="00845477">
        <w:rPr>
          <w:rFonts w:hint="cs"/>
          <w:rtl/>
        </w:rPr>
        <w:t>ای منبر پیامبر رفت، ابی البختری روایتی را از امام صادق علیه السلام نقل کرد که جبرئیل بر پیامبر نازل شد در حالی که با همین هئیت هارون الرشید بود</w:t>
      </w:r>
      <w:r w:rsidR="001D63EA">
        <w:rPr>
          <w:rFonts w:hint="cs"/>
          <w:rtl/>
        </w:rPr>
        <w:t>. بعضی از شعرا ابی البختری را هجو کرده اند که ابی البختری دروغ گو است:</w:t>
      </w:r>
    </w:p>
    <w:p w:rsidR="001D63EA" w:rsidRPr="00643149" w:rsidRDefault="001D63EA" w:rsidP="001D63EA">
      <w:pPr>
        <w:jc w:val="both"/>
        <w:rPr>
          <w:color w:val="000080"/>
        </w:rPr>
      </w:pPr>
      <w:r w:rsidRPr="00643149">
        <w:rPr>
          <w:rFonts w:hint="cs"/>
          <w:color w:val="000080"/>
          <w:rtl/>
        </w:rPr>
        <w:t>قال: لما قدم الرشيد المدينة، أعظم أن يرقى منبر النبيّ (صلّى اللّه عليه و آله و سلم) في قباء اسود و منطقة، فقال أبو البختري: حدّثني جعفر بن محمّد الصادق عن أبيه، قال: نزل جبرئيل على النبيّ (صلّى اللّه عليه و آله)، و عليه قباء و منطقة، مخنجرا فيها بخنجر.</w:t>
      </w:r>
    </w:p>
    <w:p w:rsidR="001D63EA" w:rsidRPr="00643149" w:rsidRDefault="001D63EA" w:rsidP="001D63EA">
      <w:pPr>
        <w:jc w:val="both"/>
        <w:rPr>
          <w:color w:val="000080"/>
          <w:rtl/>
        </w:rPr>
      </w:pPr>
      <w:r w:rsidRPr="00643149">
        <w:rPr>
          <w:rFonts w:hint="cs"/>
          <w:color w:val="000080"/>
          <w:rtl/>
        </w:rPr>
        <w:t>فترى القاضي يرتجل وضع الحديث، رغبة لنوال السلطان! و قال المعافى التميمي:</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4145"/>
        <w:gridCol w:w="921"/>
        <w:gridCol w:w="4145"/>
      </w:tblGrid>
      <w:tr w:rsidR="001D63EA" w:rsidRPr="00643149" w:rsidTr="001D63EA">
        <w:trPr>
          <w:tblCellSpacing w:w="0" w:type="dxa"/>
          <w:jc w:val="center"/>
        </w:trPr>
        <w:tc>
          <w:tcPr>
            <w:tcW w:w="2250" w:type="pct"/>
            <w:vAlign w:val="center"/>
            <w:hideMark/>
          </w:tcPr>
          <w:p w:rsidR="001D63EA" w:rsidRPr="00643149" w:rsidRDefault="001D63EA" w:rsidP="001D63EA">
            <w:pPr>
              <w:jc w:val="both"/>
              <w:rPr>
                <w:color w:val="000080"/>
                <w:rtl/>
                <w:lang w:bidi="ar-SA"/>
              </w:rPr>
            </w:pPr>
            <w:r w:rsidRPr="00643149">
              <w:rPr>
                <w:color w:val="000080"/>
                <w:rtl/>
                <w:lang w:bidi="ar-SA"/>
              </w:rPr>
              <w:t>ويل و عول لأبي البختري‏</w:t>
            </w:r>
          </w:p>
        </w:tc>
        <w:tc>
          <w:tcPr>
            <w:tcW w:w="500" w:type="pct"/>
            <w:vAlign w:val="center"/>
            <w:hideMark/>
          </w:tcPr>
          <w:p w:rsidR="001D63EA" w:rsidRPr="00643149" w:rsidRDefault="001D63EA" w:rsidP="001D63EA">
            <w:pPr>
              <w:jc w:val="both"/>
              <w:rPr>
                <w:color w:val="000080"/>
              </w:rPr>
            </w:pPr>
          </w:p>
        </w:tc>
        <w:tc>
          <w:tcPr>
            <w:tcW w:w="2250" w:type="pct"/>
            <w:vAlign w:val="center"/>
            <w:hideMark/>
          </w:tcPr>
          <w:p w:rsidR="001D63EA" w:rsidRPr="00643149" w:rsidRDefault="001D63EA" w:rsidP="001D63EA">
            <w:pPr>
              <w:jc w:val="both"/>
              <w:rPr>
                <w:color w:val="000080"/>
              </w:rPr>
            </w:pPr>
            <w:r w:rsidRPr="00643149">
              <w:rPr>
                <w:color w:val="000080"/>
                <w:rtl/>
                <w:lang w:bidi="ar-SA"/>
              </w:rPr>
              <w:t>اذا ثوى للناس في المحشر</w:t>
            </w:r>
          </w:p>
        </w:tc>
      </w:tr>
      <w:tr w:rsidR="001D63EA" w:rsidRPr="00643149" w:rsidTr="001D63EA">
        <w:trPr>
          <w:tblCellSpacing w:w="0" w:type="dxa"/>
          <w:jc w:val="center"/>
        </w:trPr>
        <w:tc>
          <w:tcPr>
            <w:tcW w:w="2250" w:type="pct"/>
            <w:vAlign w:val="center"/>
            <w:hideMark/>
          </w:tcPr>
          <w:p w:rsidR="001D63EA" w:rsidRPr="00643149" w:rsidRDefault="001D63EA" w:rsidP="001D63EA">
            <w:pPr>
              <w:jc w:val="both"/>
              <w:rPr>
                <w:color w:val="000080"/>
              </w:rPr>
            </w:pPr>
            <w:r w:rsidRPr="00643149">
              <w:rPr>
                <w:color w:val="000080"/>
                <w:rtl/>
                <w:lang w:bidi="ar-SA"/>
              </w:rPr>
              <w:t>من قوله الزور و اعلانه‏</w:t>
            </w:r>
          </w:p>
        </w:tc>
        <w:tc>
          <w:tcPr>
            <w:tcW w:w="500" w:type="pct"/>
            <w:vAlign w:val="center"/>
            <w:hideMark/>
          </w:tcPr>
          <w:p w:rsidR="001D63EA" w:rsidRPr="00643149" w:rsidRDefault="001D63EA" w:rsidP="001D63EA">
            <w:pPr>
              <w:jc w:val="both"/>
              <w:rPr>
                <w:color w:val="000080"/>
              </w:rPr>
            </w:pPr>
          </w:p>
        </w:tc>
        <w:tc>
          <w:tcPr>
            <w:tcW w:w="2250" w:type="pct"/>
            <w:vAlign w:val="center"/>
            <w:hideMark/>
          </w:tcPr>
          <w:p w:rsidR="001D63EA" w:rsidRPr="00643149" w:rsidRDefault="001D63EA" w:rsidP="001D63EA">
            <w:pPr>
              <w:jc w:val="both"/>
              <w:rPr>
                <w:color w:val="000080"/>
              </w:rPr>
            </w:pPr>
            <w:r w:rsidRPr="00643149">
              <w:rPr>
                <w:color w:val="000080"/>
                <w:rtl/>
                <w:lang w:bidi="ar-SA"/>
              </w:rPr>
              <w:t>بالكذب في الناس على جعفر</w:t>
            </w:r>
          </w:p>
        </w:tc>
      </w:tr>
      <w:tr w:rsidR="001D63EA" w:rsidRPr="00643149" w:rsidTr="001D63EA">
        <w:trPr>
          <w:tblCellSpacing w:w="0" w:type="dxa"/>
          <w:jc w:val="center"/>
        </w:trPr>
        <w:tc>
          <w:tcPr>
            <w:tcW w:w="2250" w:type="pct"/>
            <w:vAlign w:val="center"/>
            <w:hideMark/>
          </w:tcPr>
          <w:p w:rsidR="001D63EA" w:rsidRPr="00643149" w:rsidRDefault="001D63EA" w:rsidP="001D63EA">
            <w:pPr>
              <w:jc w:val="both"/>
              <w:rPr>
                <w:color w:val="000080"/>
              </w:rPr>
            </w:pPr>
            <w:r w:rsidRPr="00643149">
              <w:rPr>
                <w:color w:val="000080"/>
                <w:rtl/>
                <w:lang w:bidi="ar-SA"/>
              </w:rPr>
              <w:t>و</w:t>
            </w:r>
            <w:r w:rsidRPr="00643149">
              <w:rPr>
                <w:color w:val="000080"/>
              </w:rPr>
              <w:t xml:space="preserve"> </w:t>
            </w:r>
            <w:r w:rsidRPr="00643149">
              <w:rPr>
                <w:color w:val="000080"/>
                <w:rtl/>
                <w:lang w:bidi="ar-SA"/>
              </w:rPr>
              <w:t>اللّه‏</w:t>
            </w:r>
            <w:r w:rsidRPr="00643149">
              <w:rPr>
                <w:color w:val="000080"/>
              </w:rPr>
              <w:t xml:space="preserve"> </w:t>
            </w:r>
            <w:r w:rsidRPr="00643149">
              <w:rPr>
                <w:color w:val="000080"/>
                <w:rtl/>
                <w:lang w:bidi="ar-SA"/>
              </w:rPr>
              <w:t>ما</w:t>
            </w:r>
            <w:r w:rsidRPr="00643149">
              <w:rPr>
                <w:color w:val="000080"/>
              </w:rPr>
              <w:t xml:space="preserve"> </w:t>
            </w:r>
            <w:r w:rsidRPr="00643149">
              <w:rPr>
                <w:color w:val="000080"/>
                <w:rtl/>
                <w:lang w:bidi="ar-SA"/>
              </w:rPr>
              <w:t>جالسه‏</w:t>
            </w:r>
            <w:r w:rsidRPr="00643149">
              <w:rPr>
                <w:color w:val="000080"/>
              </w:rPr>
              <w:t xml:space="preserve"> </w:t>
            </w:r>
            <w:r w:rsidRPr="00643149">
              <w:rPr>
                <w:color w:val="000080"/>
                <w:rtl/>
                <w:lang w:bidi="ar-SA"/>
              </w:rPr>
              <w:t>ساعة</w:t>
            </w:r>
          </w:p>
        </w:tc>
        <w:tc>
          <w:tcPr>
            <w:tcW w:w="500" w:type="pct"/>
            <w:vAlign w:val="center"/>
            <w:hideMark/>
          </w:tcPr>
          <w:p w:rsidR="001D63EA" w:rsidRPr="00643149" w:rsidRDefault="001D63EA" w:rsidP="001D63EA">
            <w:pPr>
              <w:jc w:val="both"/>
              <w:rPr>
                <w:color w:val="000080"/>
              </w:rPr>
            </w:pPr>
          </w:p>
        </w:tc>
        <w:tc>
          <w:tcPr>
            <w:tcW w:w="2250" w:type="pct"/>
            <w:vAlign w:val="center"/>
            <w:hideMark/>
          </w:tcPr>
          <w:p w:rsidR="001D63EA" w:rsidRPr="00643149" w:rsidRDefault="001D63EA" w:rsidP="001D63EA">
            <w:pPr>
              <w:jc w:val="both"/>
              <w:rPr>
                <w:color w:val="000080"/>
              </w:rPr>
            </w:pPr>
            <w:r w:rsidRPr="00643149">
              <w:rPr>
                <w:color w:val="000080"/>
                <w:rtl/>
                <w:lang w:bidi="ar-SA"/>
              </w:rPr>
              <w:t>للفقه في بدو و لا محضر</w:t>
            </w:r>
          </w:p>
        </w:tc>
      </w:tr>
      <w:tr w:rsidR="001D63EA" w:rsidRPr="00643149" w:rsidTr="001D63EA">
        <w:trPr>
          <w:tblCellSpacing w:w="0" w:type="dxa"/>
          <w:jc w:val="center"/>
        </w:trPr>
        <w:tc>
          <w:tcPr>
            <w:tcW w:w="2250" w:type="pct"/>
            <w:vAlign w:val="center"/>
            <w:hideMark/>
          </w:tcPr>
          <w:p w:rsidR="001D63EA" w:rsidRPr="00643149" w:rsidRDefault="001D63EA" w:rsidP="001D63EA">
            <w:pPr>
              <w:jc w:val="both"/>
              <w:rPr>
                <w:color w:val="000080"/>
              </w:rPr>
            </w:pPr>
            <w:r w:rsidRPr="00643149">
              <w:rPr>
                <w:color w:val="000080"/>
                <w:rtl/>
                <w:lang w:bidi="ar-SA"/>
              </w:rPr>
              <w:t>و لا رآه الناس في دهره‏</w:t>
            </w:r>
          </w:p>
        </w:tc>
        <w:tc>
          <w:tcPr>
            <w:tcW w:w="500" w:type="pct"/>
            <w:vAlign w:val="center"/>
            <w:hideMark/>
          </w:tcPr>
          <w:p w:rsidR="001D63EA" w:rsidRPr="00643149" w:rsidRDefault="001D63EA" w:rsidP="001D63EA">
            <w:pPr>
              <w:jc w:val="both"/>
              <w:rPr>
                <w:color w:val="000080"/>
              </w:rPr>
            </w:pPr>
          </w:p>
        </w:tc>
        <w:tc>
          <w:tcPr>
            <w:tcW w:w="2250" w:type="pct"/>
            <w:vAlign w:val="center"/>
            <w:hideMark/>
          </w:tcPr>
          <w:p w:rsidR="001D63EA" w:rsidRPr="00643149" w:rsidRDefault="001D63EA" w:rsidP="001D63EA">
            <w:pPr>
              <w:jc w:val="both"/>
              <w:rPr>
                <w:color w:val="000080"/>
              </w:rPr>
            </w:pPr>
            <w:r w:rsidRPr="00643149">
              <w:rPr>
                <w:color w:val="000080"/>
                <w:rtl/>
                <w:lang w:bidi="ar-SA"/>
              </w:rPr>
              <w:t xml:space="preserve">يمرّ </w:t>
            </w:r>
            <w:r w:rsidRPr="00560A1E">
              <w:rPr>
                <w:color w:val="000080"/>
                <w:u w:val="single"/>
                <w:rtl/>
                <w:lang w:bidi="ar-SA"/>
              </w:rPr>
              <w:t>بين القبر و المنبر</w:t>
            </w:r>
          </w:p>
        </w:tc>
      </w:tr>
      <w:tr w:rsidR="001D63EA" w:rsidRPr="00643149" w:rsidTr="001D63EA">
        <w:trPr>
          <w:tblCellSpacing w:w="0" w:type="dxa"/>
          <w:jc w:val="center"/>
        </w:trPr>
        <w:tc>
          <w:tcPr>
            <w:tcW w:w="2250" w:type="pct"/>
            <w:vAlign w:val="center"/>
            <w:hideMark/>
          </w:tcPr>
          <w:p w:rsidR="001D63EA" w:rsidRPr="00643149" w:rsidRDefault="001D63EA" w:rsidP="001D63EA">
            <w:pPr>
              <w:jc w:val="both"/>
              <w:rPr>
                <w:color w:val="000080"/>
              </w:rPr>
            </w:pPr>
            <w:r w:rsidRPr="00643149">
              <w:rPr>
                <w:color w:val="000080"/>
                <w:rtl/>
                <w:lang w:bidi="ar-SA"/>
              </w:rPr>
              <w:t>يا قاتل اللّه ابن وهب لقد</w:t>
            </w:r>
          </w:p>
        </w:tc>
        <w:tc>
          <w:tcPr>
            <w:tcW w:w="500" w:type="pct"/>
            <w:vAlign w:val="center"/>
            <w:hideMark/>
          </w:tcPr>
          <w:p w:rsidR="001D63EA" w:rsidRPr="00643149" w:rsidRDefault="001D63EA" w:rsidP="001D63EA">
            <w:pPr>
              <w:jc w:val="both"/>
              <w:rPr>
                <w:color w:val="000080"/>
              </w:rPr>
            </w:pPr>
          </w:p>
        </w:tc>
        <w:tc>
          <w:tcPr>
            <w:tcW w:w="2250" w:type="pct"/>
            <w:vAlign w:val="center"/>
            <w:hideMark/>
          </w:tcPr>
          <w:p w:rsidR="001D63EA" w:rsidRPr="00643149" w:rsidRDefault="001D63EA" w:rsidP="001D63EA">
            <w:pPr>
              <w:jc w:val="both"/>
              <w:rPr>
                <w:color w:val="000080"/>
              </w:rPr>
            </w:pPr>
            <w:r w:rsidRPr="00643149">
              <w:rPr>
                <w:color w:val="000080"/>
                <w:rtl/>
                <w:lang w:bidi="ar-SA"/>
              </w:rPr>
              <w:t>اعلن بالزور و بالمنكر</w:t>
            </w:r>
          </w:p>
        </w:tc>
      </w:tr>
      <w:tr w:rsidR="001D63EA" w:rsidRPr="00643149" w:rsidTr="001D63EA">
        <w:trPr>
          <w:tblCellSpacing w:w="0" w:type="dxa"/>
          <w:jc w:val="center"/>
        </w:trPr>
        <w:tc>
          <w:tcPr>
            <w:tcW w:w="2250" w:type="pct"/>
            <w:vAlign w:val="center"/>
            <w:hideMark/>
          </w:tcPr>
          <w:p w:rsidR="001D63EA" w:rsidRPr="00643149" w:rsidRDefault="001D63EA" w:rsidP="001D63EA">
            <w:pPr>
              <w:jc w:val="both"/>
              <w:rPr>
                <w:color w:val="000080"/>
              </w:rPr>
            </w:pPr>
            <w:r w:rsidRPr="00643149">
              <w:rPr>
                <w:color w:val="000080"/>
                <w:rtl/>
                <w:lang w:bidi="ar-SA"/>
              </w:rPr>
              <w:t>يزعم ان المصطفى احمدا</w:t>
            </w:r>
          </w:p>
        </w:tc>
        <w:tc>
          <w:tcPr>
            <w:tcW w:w="500" w:type="pct"/>
            <w:vAlign w:val="center"/>
            <w:hideMark/>
          </w:tcPr>
          <w:p w:rsidR="001D63EA" w:rsidRPr="00643149" w:rsidRDefault="001D63EA" w:rsidP="001D63EA">
            <w:pPr>
              <w:jc w:val="both"/>
              <w:rPr>
                <w:color w:val="000080"/>
              </w:rPr>
            </w:pPr>
          </w:p>
        </w:tc>
        <w:tc>
          <w:tcPr>
            <w:tcW w:w="2250" w:type="pct"/>
            <w:vAlign w:val="center"/>
            <w:hideMark/>
          </w:tcPr>
          <w:p w:rsidR="001D63EA" w:rsidRPr="00643149" w:rsidRDefault="001D63EA" w:rsidP="001D63EA">
            <w:pPr>
              <w:jc w:val="both"/>
              <w:rPr>
                <w:color w:val="000080"/>
              </w:rPr>
            </w:pPr>
            <w:r w:rsidRPr="00643149">
              <w:rPr>
                <w:color w:val="000080"/>
                <w:rtl/>
                <w:lang w:bidi="ar-SA"/>
              </w:rPr>
              <w:t>أتاه جبريل التقي السري‏</w:t>
            </w:r>
          </w:p>
        </w:tc>
      </w:tr>
      <w:tr w:rsidR="001D63EA" w:rsidRPr="00643149" w:rsidTr="001D63EA">
        <w:trPr>
          <w:tblCellSpacing w:w="0" w:type="dxa"/>
          <w:jc w:val="center"/>
        </w:trPr>
        <w:tc>
          <w:tcPr>
            <w:tcW w:w="2250" w:type="pct"/>
            <w:vAlign w:val="center"/>
            <w:hideMark/>
          </w:tcPr>
          <w:p w:rsidR="001D63EA" w:rsidRPr="00643149" w:rsidRDefault="001D63EA" w:rsidP="001D63EA">
            <w:pPr>
              <w:jc w:val="both"/>
              <w:rPr>
                <w:color w:val="000080"/>
              </w:rPr>
            </w:pPr>
            <w:r w:rsidRPr="00643149">
              <w:rPr>
                <w:color w:val="000080"/>
                <w:rtl/>
                <w:lang w:bidi="ar-SA"/>
              </w:rPr>
              <w:t>عليه خف و قبا أسود</w:t>
            </w:r>
          </w:p>
        </w:tc>
        <w:tc>
          <w:tcPr>
            <w:tcW w:w="500" w:type="pct"/>
            <w:vAlign w:val="center"/>
            <w:hideMark/>
          </w:tcPr>
          <w:p w:rsidR="001D63EA" w:rsidRPr="00643149" w:rsidRDefault="001D63EA" w:rsidP="001D63EA">
            <w:pPr>
              <w:jc w:val="both"/>
              <w:rPr>
                <w:color w:val="000080"/>
              </w:rPr>
            </w:pPr>
          </w:p>
        </w:tc>
        <w:tc>
          <w:tcPr>
            <w:tcW w:w="2250" w:type="pct"/>
            <w:vAlign w:val="center"/>
            <w:hideMark/>
          </w:tcPr>
          <w:p w:rsidR="001D63EA" w:rsidRPr="00643149" w:rsidRDefault="001D63EA" w:rsidP="001D63EA">
            <w:pPr>
              <w:jc w:val="both"/>
              <w:rPr>
                <w:color w:val="000080"/>
              </w:rPr>
            </w:pPr>
            <w:r w:rsidRPr="00643149">
              <w:rPr>
                <w:color w:val="000080"/>
                <w:rtl/>
                <w:lang w:bidi="ar-SA"/>
              </w:rPr>
              <w:t>مخنجرا في الحقو بالخنجر</w:t>
            </w:r>
            <w:r w:rsidR="00643149">
              <w:rPr>
                <w:rStyle w:val="FootnoteReference"/>
                <w:color w:val="000080"/>
                <w:rtl/>
                <w:lang w:bidi="ar-SA"/>
              </w:rPr>
              <w:footnoteReference w:id="9"/>
            </w:r>
          </w:p>
        </w:tc>
      </w:tr>
      <w:tr w:rsidR="001D63EA" w:rsidRPr="001D63EA" w:rsidTr="001D63EA">
        <w:trPr>
          <w:tblCellSpacing w:w="0" w:type="dxa"/>
          <w:jc w:val="center"/>
        </w:trPr>
        <w:tc>
          <w:tcPr>
            <w:tcW w:w="2250" w:type="pct"/>
            <w:vAlign w:val="center"/>
            <w:hideMark/>
          </w:tcPr>
          <w:p w:rsidR="001D63EA" w:rsidRPr="001D63EA" w:rsidRDefault="001D63EA" w:rsidP="001D63EA">
            <w:pPr>
              <w:jc w:val="both"/>
            </w:pPr>
          </w:p>
        </w:tc>
        <w:tc>
          <w:tcPr>
            <w:tcW w:w="0" w:type="auto"/>
            <w:vAlign w:val="center"/>
            <w:hideMark/>
          </w:tcPr>
          <w:p w:rsidR="001D63EA" w:rsidRPr="001D63EA" w:rsidRDefault="001D63EA" w:rsidP="001D63EA">
            <w:pPr>
              <w:jc w:val="both"/>
            </w:pPr>
          </w:p>
        </w:tc>
        <w:tc>
          <w:tcPr>
            <w:tcW w:w="0" w:type="auto"/>
            <w:vAlign w:val="center"/>
            <w:hideMark/>
          </w:tcPr>
          <w:p w:rsidR="001D63EA" w:rsidRPr="001D63EA" w:rsidRDefault="001D63EA" w:rsidP="001D63EA">
            <w:pPr>
              <w:jc w:val="both"/>
            </w:pPr>
          </w:p>
        </w:tc>
      </w:tr>
    </w:tbl>
    <w:p w:rsidR="001D63EA" w:rsidRDefault="00560A1E" w:rsidP="00D039A5">
      <w:pPr>
        <w:jc w:val="both"/>
        <w:rPr>
          <w:rtl/>
        </w:rPr>
      </w:pPr>
      <w:r>
        <w:rPr>
          <w:rFonts w:hint="cs"/>
          <w:rtl/>
        </w:rPr>
        <w:t>احتمالا بین قبر و منبر محل تدریس رسمی امام صادق علیه السلام بوده است. امام صادق علیه السلام آن جا می نشستند و حدیث نقل می کردند.</w:t>
      </w:r>
      <w:r w:rsidR="00D06866">
        <w:rPr>
          <w:rFonts w:hint="cs"/>
          <w:rtl/>
        </w:rPr>
        <w:t xml:space="preserve"> شاعر می گوید: ابی البختری هیچ گاه نه مجالست خصوصی با </w:t>
      </w:r>
      <w:r w:rsidR="00BD2153">
        <w:rPr>
          <w:rFonts w:hint="cs"/>
          <w:rtl/>
        </w:rPr>
        <w:t>امام صادق علیه السلام داشته است و نه در جلسه‌ی عمومی حضرت حاضر می شده است.</w:t>
      </w:r>
    </w:p>
    <w:p w:rsidR="00D23630" w:rsidRDefault="00D23630" w:rsidP="00D039A5">
      <w:pPr>
        <w:jc w:val="both"/>
        <w:rPr>
          <w:rtl/>
        </w:rPr>
      </w:pPr>
      <w:r>
        <w:rPr>
          <w:rFonts w:hint="cs"/>
          <w:rtl/>
        </w:rPr>
        <w:t xml:space="preserve">در </w:t>
      </w:r>
      <w:r w:rsidR="00EA53F3">
        <w:rPr>
          <w:rFonts w:hint="cs"/>
          <w:rtl/>
        </w:rPr>
        <w:t>هر صورت احتمال دارد که امام صادق علیه السلام یک جلسه‌ی خصوصی داشته است که هم سکونی در آن حاضر می شده است و هم دیگران.</w:t>
      </w:r>
    </w:p>
    <w:p w:rsidR="00EA53F3" w:rsidRDefault="00EA53F3" w:rsidP="00D039A5">
      <w:pPr>
        <w:jc w:val="both"/>
        <w:rPr>
          <w:rtl/>
        </w:rPr>
      </w:pPr>
      <w:r>
        <w:rPr>
          <w:rFonts w:hint="cs"/>
          <w:rtl/>
        </w:rPr>
        <w:t>بعضی روایات مشابهی که بین بعضی روات این دوره مثل طلحة بن زید، محمد بن یحیی الخزاز، ابی البختری و سکونی است، احتمالا به خاطر جلسات درس عمومی امام صادق علیه السلام بوده است</w:t>
      </w:r>
      <w:r w:rsidR="00584088">
        <w:rPr>
          <w:rFonts w:hint="cs"/>
          <w:rtl/>
        </w:rPr>
        <w:t>.</w:t>
      </w:r>
    </w:p>
    <w:p w:rsidR="00584088" w:rsidRDefault="00584088" w:rsidP="00D039A5">
      <w:pPr>
        <w:jc w:val="both"/>
        <w:rPr>
          <w:rtl/>
        </w:rPr>
      </w:pPr>
      <w:r>
        <w:rPr>
          <w:rFonts w:hint="cs"/>
          <w:rtl/>
        </w:rPr>
        <w:t xml:space="preserve">نکته‌ی دیگر این است که در روایات جعفریات و روایات سکونی معمولا سوال </w:t>
      </w:r>
      <w:r w:rsidR="004D719B">
        <w:rPr>
          <w:rFonts w:hint="cs"/>
          <w:rtl/>
        </w:rPr>
        <w:t xml:space="preserve">از امام </w:t>
      </w:r>
      <w:r>
        <w:rPr>
          <w:rFonts w:hint="cs"/>
          <w:rtl/>
        </w:rPr>
        <w:t xml:space="preserve">وجود ندارد و </w:t>
      </w:r>
      <w:r w:rsidR="004D719B">
        <w:rPr>
          <w:rFonts w:hint="cs"/>
          <w:rtl/>
        </w:rPr>
        <w:t>گویا امام ابتدائا روایت را بیان کرده است و نقل از آباء از رسول الله یا امیر المومنین نیز زیاد دیده می شود.</w:t>
      </w:r>
    </w:p>
    <w:p w:rsidR="004D719B" w:rsidRDefault="004D719B" w:rsidP="00D039A5">
      <w:pPr>
        <w:jc w:val="both"/>
        <w:rPr>
          <w:rtl/>
        </w:rPr>
      </w:pPr>
      <w:r>
        <w:rPr>
          <w:rFonts w:hint="cs"/>
          <w:rtl/>
        </w:rPr>
        <w:t>بنابراین دلیلی وجود ندارد که روایات جعفریات همان روایات سکونی باشد و مجرد تشابه روایات این دو به این دلیل است که هر دو در جلسه‌ی امام شرکت کرده اند.</w:t>
      </w:r>
    </w:p>
    <w:p w:rsidR="001D63EA" w:rsidRDefault="00511BDC" w:rsidP="00511BDC">
      <w:pPr>
        <w:jc w:val="both"/>
        <w:rPr>
          <w:rtl/>
        </w:rPr>
      </w:pPr>
      <w:r w:rsidRPr="00511BDC">
        <w:rPr>
          <w:color w:val="000080"/>
          <w:rtl/>
          <w:lang w:bidi="ar-SA"/>
        </w:rPr>
        <w:t>يمرّ بين القبر و المنبر</w:t>
      </w:r>
      <w:r>
        <w:rPr>
          <w:rFonts w:hint="cs"/>
          <w:rtl/>
        </w:rPr>
        <w:t xml:space="preserve"> ممکن است به این صورت معنا شود که </w:t>
      </w:r>
      <w:r w:rsidR="007A6CCD">
        <w:rPr>
          <w:rFonts w:hint="cs"/>
          <w:rtl/>
        </w:rPr>
        <w:t>محل متعارف درس های اصل</w:t>
      </w:r>
      <w:r w:rsidR="00235D8D">
        <w:rPr>
          <w:rFonts w:hint="cs"/>
          <w:rtl/>
        </w:rPr>
        <w:t xml:space="preserve">ی حدیثی بین قبر و منبر بوده است و در واقع اشاره به این است که ابی البختری در مجالس عمده‌ی حدیثی شرکت نکرده است؛ نه خصوص مجلس امام صادق. یعنی نه با امام صادق علیه السلام ارتباط داشته است و نه با حلقه های حدیثی دیگر؛ یعنی اصلا عالم نیست و </w:t>
      </w:r>
      <w:r w:rsidR="001E4FF2">
        <w:rPr>
          <w:rFonts w:hint="cs"/>
          <w:rtl/>
        </w:rPr>
        <w:t>بهره ای از علم نبرده است.</w:t>
      </w:r>
    </w:p>
    <w:p w:rsidR="003806CC" w:rsidRDefault="003806CC" w:rsidP="00215126">
      <w:pPr>
        <w:jc w:val="both"/>
        <w:rPr>
          <w:rtl/>
        </w:rPr>
      </w:pPr>
      <w:r>
        <w:rPr>
          <w:rFonts w:hint="cs"/>
          <w:rtl/>
        </w:rPr>
        <w:t xml:space="preserve">اصرار نداریم که از این عبارت استفاده می شود که امام صادق علیه السلام بین قبر و </w:t>
      </w:r>
      <w:r w:rsidR="00215126">
        <w:rPr>
          <w:rFonts w:hint="cs"/>
          <w:rtl/>
        </w:rPr>
        <w:t>منبر مجلس تحدیثی داشته است؛ اما</w:t>
      </w:r>
      <w:r>
        <w:rPr>
          <w:rFonts w:hint="cs"/>
          <w:rtl/>
        </w:rPr>
        <w:t xml:space="preserve"> </w:t>
      </w:r>
      <w:r w:rsidR="00215126">
        <w:rPr>
          <w:rFonts w:hint="cs"/>
          <w:rtl/>
        </w:rPr>
        <w:t>ممکن است</w:t>
      </w:r>
      <w:r>
        <w:rPr>
          <w:rFonts w:hint="cs"/>
          <w:rtl/>
        </w:rPr>
        <w:t xml:space="preserve"> امام صادق علیه السلام مجالس تحدیثی عمومی و غیر عمومی داشته باشد که عده ای از روات در آن شرکت کرده باشند و مجرد اشتراک در بعضی از احادیث دلیل بر این نیست که احادیثشان یکی است و جعفریات همان روایات سکونی باشد.</w:t>
      </w:r>
    </w:p>
    <w:p w:rsidR="00D63E4E" w:rsidRDefault="00FC35C4" w:rsidP="00D63E4E">
      <w:pPr>
        <w:pStyle w:val="Heading1"/>
        <w:rPr>
          <w:rtl/>
        </w:rPr>
      </w:pPr>
      <w:bookmarkStart w:id="7" w:name="_Toc73087186"/>
      <w:r>
        <w:rPr>
          <w:rFonts w:hint="cs"/>
          <w:rtl/>
        </w:rPr>
        <w:t>نتیجه‌ی بحث</w:t>
      </w:r>
      <w:bookmarkEnd w:id="7"/>
    </w:p>
    <w:p w:rsidR="00FC35C4" w:rsidRDefault="00FC35C4" w:rsidP="00D63E4E">
      <w:pPr>
        <w:jc w:val="both"/>
        <w:rPr>
          <w:rtl/>
        </w:rPr>
      </w:pPr>
      <w:r>
        <w:rPr>
          <w:rFonts w:hint="cs"/>
          <w:rtl/>
        </w:rPr>
        <w:t xml:space="preserve"> اقوی در مساله این است که در ظرف اعسار</w:t>
      </w:r>
      <w:r w:rsidR="00D63E4E">
        <w:rPr>
          <w:rFonts w:hint="cs"/>
          <w:rtl/>
        </w:rPr>
        <w:t>ِ</w:t>
      </w:r>
      <w:r>
        <w:rPr>
          <w:rFonts w:hint="cs"/>
          <w:rtl/>
        </w:rPr>
        <w:t xml:space="preserve"> مادر از نصیب ولد به اعتبار نصیب الاقارب به مادر داده می شود؛ یعنی جنین هم جزء اقارب تلقی می شود و از </w:t>
      </w:r>
      <w:r w:rsidR="005601E0">
        <w:rPr>
          <w:rFonts w:hint="cs"/>
          <w:rtl/>
        </w:rPr>
        <w:t xml:space="preserve">نصیب </w:t>
      </w:r>
      <w:r>
        <w:rPr>
          <w:rFonts w:hint="cs"/>
          <w:rtl/>
        </w:rPr>
        <w:t>او هم به مادر داده می شود.</w:t>
      </w:r>
    </w:p>
    <w:p w:rsidR="00F55F45" w:rsidRDefault="00F55F45" w:rsidP="00FC35C4">
      <w:pPr>
        <w:jc w:val="both"/>
        <w:rPr>
          <w:rtl/>
        </w:rPr>
      </w:pPr>
      <w:r>
        <w:rPr>
          <w:rFonts w:hint="cs"/>
          <w:rtl/>
        </w:rPr>
        <w:t>البته چون مساله قطعی نیست، مصالحه و احتیاط به جاست.</w:t>
      </w:r>
    </w:p>
    <w:p w:rsidR="003546A3" w:rsidRPr="006162A2" w:rsidRDefault="003546A3" w:rsidP="00D039A5">
      <w:pPr>
        <w:jc w:val="both"/>
        <w:rPr>
          <w:rtl/>
        </w:rPr>
      </w:pPr>
    </w:p>
    <w:sectPr w:rsidR="003546A3"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BE8" w:rsidRDefault="00A33BE8" w:rsidP="008B750B">
      <w:pPr>
        <w:spacing w:line="240" w:lineRule="auto"/>
      </w:pPr>
      <w:r>
        <w:separator/>
      </w:r>
    </w:p>
  </w:endnote>
  <w:endnote w:type="continuationSeparator" w:id="0">
    <w:p w:rsidR="00A33BE8" w:rsidRDefault="00A33BE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6C6" w:rsidRDefault="005206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5206C6" w:rsidRPr="006D44C1" w:rsidTr="0020241A">
      <w:tc>
        <w:tcPr>
          <w:tcW w:w="3382" w:type="dxa"/>
          <w:tcBorders>
            <w:top w:val="nil"/>
            <w:left w:val="nil"/>
            <w:bottom w:val="nil"/>
            <w:right w:val="nil"/>
          </w:tcBorders>
        </w:tcPr>
        <w:p w:rsidR="005206C6" w:rsidRDefault="005206C6"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5206C6" w:rsidRDefault="005206C6" w:rsidP="006D44C1">
          <w:pPr>
            <w:pStyle w:val="Footer"/>
            <w:jc w:val="right"/>
            <w:rPr>
              <w:rtl/>
            </w:rPr>
          </w:pPr>
          <w:r>
            <w:rPr>
              <w:rFonts w:hint="cs"/>
              <w:rtl/>
            </w:rPr>
            <w:t xml:space="preserve">صفحه </w:t>
          </w:r>
          <w:r>
            <w:fldChar w:fldCharType="begin"/>
          </w:r>
          <w:r>
            <w:instrText>PAGE   \* MERGEFORMAT</w:instrText>
          </w:r>
          <w:r>
            <w:fldChar w:fldCharType="separate"/>
          </w:r>
          <w:r w:rsidR="00F02EBD" w:rsidRPr="00F02EBD">
            <w:rPr>
              <w:noProof/>
              <w:rtl/>
              <w:lang w:val="fa-IR"/>
            </w:rPr>
            <w:t>1</w:t>
          </w:r>
          <w:r>
            <w:rPr>
              <w:noProof/>
            </w:rPr>
            <w:fldChar w:fldCharType="end"/>
          </w:r>
        </w:p>
      </w:tc>
      <w:tc>
        <w:tcPr>
          <w:tcW w:w="4786" w:type="dxa"/>
          <w:tcBorders>
            <w:top w:val="nil"/>
            <w:left w:val="nil"/>
            <w:bottom w:val="nil"/>
            <w:right w:val="nil"/>
          </w:tcBorders>
          <w:vAlign w:val="center"/>
        </w:tcPr>
        <w:p w:rsidR="005206C6" w:rsidRPr="006D44C1" w:rsidRDefault="005206C6" w:rsidP="001B6799">
          <w:pPr>
            <w:pStyle w:val="Footer"/>
            <w:bidi w:val="0"/>
            <w:rPr>
              <w:color w:val="808080" w:themeColor="background1" w:themeShade="80"/>
              <w:rtl/>
            </w:rPr>
          </w:pPr>
          <w:bookmarkStart w:id="15" w:name="BokAdres"/>
          <w:bookmarkEnd w:id="15"/>
          <w:r>
            <w:rPr>
              <w:color w:val="808080" w:themeColor="background1" w:themeShade="80"/>
            </w:rPr>
            <w:t>F1js1_14000303-102_mk3_mfeb.ir</w:t>
          </w:r>
        </w:p>
      </w:tc>
    </w:tr>
  </w:tbl>
  <w:p w:rsidR="005206C6" w:rsidRDefault="005206C6"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6C6" w:rsidRDefault="005206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BE8" w:rsidRDefault="00A33BE8" w:rsidP="008B750B">
      <w:pPr>
        <w:spacing w:line="240" w:lineRule="auto"/>
      </w:pPr>
      <w:r>
        <w:separator/>
      </w:r>
    </w:p>
  </w:footnote>
  <w:footnote w:type="continuationSeparator" w:id="0">
    <w:p w:rsidR="00A33BE8" w:rsidRDefault="00A33BE8" w:rsidP="008B750B">
      <w:pPr>
        <w:spacing w:line="240" w:lineRule="auto"/>
      </w:pPr>
      <w:r>
        <w:continuationSeparator/>
      </w:r>
    </w:p>
  </w:footnote>
  <w:footnote w:id="1">
    <w:p w:rsidR="005206C6" w:rsidRPr="008633DD" w:rsidRDefault="005206C6" w:rsidP="008633DD">
      <w:pPr>
        <w:pStyle w:val="FootnoteText"/>
      </w:pPr>
      <w:r w:rsidRPr="008633DD">
        <w:footnoteRef/>
      </w:r>
      <w:r w:rsidRPr="008633DD">
        <w:rPr>
          <w:rtl/>
        </w:rPr>
        <w:t xml:space="preserve"> </w:t>
      </w:r>
      <w:hyperlink r:id="rId1" w:history="1">
        <w:r w:rsidRPr="008633DD">
          <w:rPr>
            <w:rStyle w:val="Hyperlink"/>
            <w:rFonts w:hint="cs"/>
            <w:rtl/>
          </w:rPr>
          <w:t>النهایة</w:t>
        </w:r>
        <w:r w:rsidRPr="008633DD">
          <w:rPr>
            <w:rStyle w:val="Hyperlink"/>
            <w:rtl/>
          </w:rPr>
          <w:t xml:space="preserve"> </w:t>
        </w:r>
        <w:r w:rsidRPr="008633DD">
          <w:rPr>
            <w:rStyle w:val="Hyperlink"/>
            <w:rFonts w:hint="cs"/>
            <w:rtl/>
          </w:rPr>
          <w:t>فی</w:t>
        </w:r>
        <w:r w:rsidRPr="008633DD">
          <w:rPr>
            <w:rStyle w:val="Hyperlink"/>
            <w:rtl/>
          </w:rPr>
          <w:t xml:space="preserve"> </w:t>
        </w:r>
        <w:r w:rsidRPr="008633DD">
          <w:rPr>
            <w:rStyle w:val="Hyperlink"/>
            <w:rFonts w:hint="cs"/>
            <w:rtl/>
          </w:rPr>
          <w:t>مجرد</w:t>
        </w:r>
        <w:r w:rsidRPr="008633DD">
          <w:rPr>
            <w:rStyle w:val="Hyperlink"/>
            <w:rtl/>
          </w:rPr>
          <w:t xml:space="preserve"> </w:t>
        </w:r>
        <w:r w:rsidRPr="008633DD">
          <w:rPr>
            <w:rStyle w:val="Hyperlink"/>
            <w:rFonts w:hint="cs"/>
            <w:rtl/>
          </w:rPr>
          <w:t>الفقه</w:t>
        </w:r>
        <w:r w:rsidRPr="008633DD">
          <w:rPr>
            <w:rStyle w:val="Hyperlink"/>
            <w:rtl/>
          </w:rPr>
          <w:t xml:space="preserve"> </w:t>
        </w:r>
        <w:r w:rsidRPr="008633DD">
          <w:rPr>
            <w:rStyle w:val="Hyperlink"/>
            <w:rFonts w:hint="cs"/>
            <w:rtl/>
          </w:rPr>
          <w:t>و</w:t>
        </w:r>
        <w:r w:rsidRPr="008633DD">
          <w:rPr>
            <w:rStyle w:val="Hyperlink"/>
            <w:rtl/>
          </w:rPr>
          <w:t xml:space="preserve"> </w:t>
        </w:r>
        <w:r w:rsidRPr="008633DD">
          <w:rPr>
            <w:rStyle w:val="Hyperlink"/>
            <w:rFonts w:hint="cs"/>
            <w:rtl/>
          </w:rPr>
          <w:t>الفتوی،</w:t>
        </w:r>
        <w:r w:rsidRPr="008633DD">
          <w:rPr>
            <w:rStyle w:val="Hyperlink"/>
            <w:rtl/>
          </w:rPr>
          <w:t xml:space="preserve"> </w:t>
        </w:r>
        <w:r w:rsidRPr="008633DD">
          <w:rPr>
            <w:rStyle w:val="Hyperlink"/>
            <w:rFonts w:hint="cs"/>
            <w:rtl/>
          </w:rPr>
          <w:t>شیخ</w:t>
        </w:r>
        <w:r w:rsidRPr="008633DD">
          <w:rPr>
            <w:rStyle w:val="Hyperlink"/>
            <w:rtl/>
          </w:rPr>
          <w:t xml:space="preserve"> </w:t>
        </w:r>
        <w:r w:rsidRPr="008633DD">
          <w:rPr>
            <w:rStyle w:val="Hyperlink"/>
            <w:rFonts w:hint="cs"/>
            <w:rtl/>
          </w:rPr>
          <w:t>طوسی،</w:t>
        </w:r>
        <w:r w:rsidRPr="008633DD">
          <w:rPr>
            <w:rStyle w:val="Hyperlink"/>
            <w:rtl/>
          </w:rPr>
          <w:t xml:space="preserve"> </w:t>
        </w:r>
        <w:r w:rsidRPr="008633DD">
          <w:rPr>
            <w:rStyle w:val="Hyperlink"/>
            <w:rFonts w:hint="cs"/>
            <w:rtl/>
          </w:rPr>
          <w:t>ج</w:t>
        </w:r>
        <w:r w:rsidRPr="008633DD">
          <w:rPr>
            <w:rStyle w:val="Hyperlink"/>
            <w:rtl/>
          </w:rPr>
          <w:t>1</w:t>
        </w:r>
        <w:r w:rsidRPr="008633DD">
          <w:rPr>
            <w:rStyle w:val="Hyperlink"/>
            <w:rFonts w:hint="cs"/>
            <w:rtl/>
          </w:rPr>
          <w:t>،</w:t>
        </w:r>
        <w:r w:rsidRPr="008633DD">
          <w:rPr>
            <w:rStyle w:val="Hyperlink"/>
            <w:rtl/>
          </w:rPr>
          <w:t xml:space="preserve"> </w:t>
        </w:r>
        <w:r w:rsidRPr="008633DD">
          <w:rPr>
            <w:rStyle w:val="Hyperlink"/>
            <w:rFonts w:hint="cs"/>
            <w:rtl/>
          </w:rPr>
          <w:t>ص</w:t>
        </w:r>
        <w:r w:rsidRPr="008633DD">
          <w:rPr>
            <w:rStyle w:val="Hyperlink"/>
            <w:rtl/>
          </w:rPr>
          <w:t>537.</w:t>
        </w:r>
      </w:hyperlink>
    </w:p>
  </w:footnote>
  <w:footnote w:id="2">
    <w:p w:rsidR="005206C6" w:rsidRDefault="005206C6">
      <w:pPr>
        <w:pStyle w:val="FootnoteText"/>
      </w:pPr>
      <w:r>
        <w:rPr>
          <w:rStyle w:val="FootnoteReference"/>
        </w:rPr>
        <w:footnoteRef/>
      </w:r>
      <w:r>
        <w:rPr>
          <w:rtl/>
        </w:rPr>
        <w:t xml:space="preserve"> </w:t>
      </w:r>
      <w:r>
        <w:rPr>
          <w:rFonts w:hint="cs"/>
          <w:rtl/>
        </w:rPr>
        <w:t>اشهرهما تعبیر کرده است. در بحث طلاق روشن تر است؛ زیرا تعبیر کرده است: فیه بعد؛ یعنی روایتی را که می فرماید از نصیب ولد داده می شود، بعید دانسته است.</w:t>
      </w:r>
    </w:p>
  </w:footnote>
  <w:footnote w:id="3">
    <w:p w:rsidR="005206C6" w:rsidRDefault="005206C6" w:rsidP="001C7BD5">
      <w:pPr>
        <w:pStyle w:val="FootnoteText"/>
      </w:pPr>
      <w:r>
        <w:rPr>
          <w:rStyle w:val="FootnoteReference"/>
        </w:rPr>
        <w:footnoteRef/>
      </w:r>
      <w:r>
        <w:rPr>
          <w:rtl/>
        </w:rPr>
        <w:t xml:space="preserve"> </w:t>
      </w:r>
      <w:r w:rsidRPr="001C7BD5">
        <w:rPr>
          <w:rFonts w:hint="cs"/>
          <w:rtl/>
        </w:rPr>
        <w:t>جامع أحاديث الشيعة (للبروجردي)، ج‏26، ص: 950</w:t>
      </w:r>
    </w:p>
  </w:footnote>
  <w:footnote w:id="4">
    <w:p w:rsidR="005206C6" w:rsidRPr="00B602F4" w:rsidRDefault="005206C6" w:rsidP="0062777B">
      <w:pPr>
        <w:pStyle w:val="FootnoteText"/>
      </w:pPr>
      <w:r w:rsidRPr="00B602F4">
        <w:footnoteRef/>
      </w:r>
      <w:r w:rsidRPr="00B602F4">
        <w:rPr>
          <w:rtl/>
        </w:rPr>
        <w:t xml:space="preserve"> </w:t>
      </w:r>
      <w:hyperlink r:id="rId2" w:history="1">
        <w:r w:rsidRPr="00B602F4">
          <w:rPr>
            <w:rStyle w:val="Hyperlink"/>
            <w:rFonts w:hint="cs"/>
            <w:rtl/>
          </w:rPr>
          <w:t>تهذیب</w:t>
        </w:r>
        <w:r w:rsidRPr="00B602F4">
          <w:rPr>
            <w:rStyle w:val="Hyperlink"/>
            <w:rtl/>
          </w:rPr>
          <w:t xml:space="preserve"> </w:t>
        </w:r>
        <w:r w:rsidRPr="00B602F4">
          <w:rPr>
            <w:rStyle w:val="Hyperlink"/>
            <w:rFonts w:hint="cs"/>
            <w:rtl/>
          </w:rPr>
          <w:t>الاحکام،</w:t>
        </w:r>
        <w:r w:rsidRPr="00B602F4">
          <w:rPr>
            <w:rStyle w:val="Hyperlink"/>
            <w:rtl/>
          </w:rPr>
          <w:t xml:space="preserve"> </w:t>
        </w:r>
        <w:r w:rsidRPr="00B602F4">
          <w:rPr>
            <w:rStyle w:val="Hyperlink"/>
            <w:rFonts w:hint="cs"/>
            <w:rtl/>
          </w:rPr>
          <w:t>شیخ</w:t>
        </w:r>
        <w:r w:rsidRPr="00B602F4">
          <w:rPr>
            <w:rStyle w:val="Hyperlink"/>
            <w:rtl/>
          </w:rPr>
          <w:t xml:space="preserve"> </w:t>
        </w:r>
        <w:r w:rsidRPr="00B602F4">
          <w:rPr>
            <w:rStyle w:val="Hyperlink"/>
            <w:rFonts w:hint="cs"/>
            <w:rtl/>
          </w:rPr>
          <w:t>طوسی،</w:t>
        </w:r>
        <w:r w:rsidRPr="00B602F4">
          <w:rPr>
            <w:rStyle w:val="Hyperlink"/>
            <w:rtl/>
          </w:rPr>
          <w:t xml:space="preserve"> </w:t>
        </w:r>
        <w:r w:rsidRPr="00B602F4">
          <w:rPr>
            <w:rStyle w:val="Hyperlink"/>
            <w:rFonts w:hint="cs"/>
            <w:rtl/>
          </w:rPr>
          <w:t>ج</w:t>
        </w:r>
        <w:r w:rsidRPr="00B602F4">
          <w:rPr>
            <w:rStyle w:val="Hyperlink"/>
            <w:rtl/>
          </w:rPr>
          <w:t>8</w:t>
        </w:r>
        <w:r w:rsidRPr="00B602F4">
          <w:rPr>
            <w:rStyle w:val="Hyperlink"/>
            <w:rFonts w:hint="cs"/>
            <w:rtl/>
          </w:rPr>
          <w:t>،</w:t>
        </w:r>
        <w:r w:rsidRPr="00B602F4">
          <w:rPr>
            <w:rStyle w:val="Hyperlink"/>
            <w:rtl/>
          </w:rPr>
          <w:t xml:space="preserve"> </w:t>
        </w:r>
        <w:r w:rsidRPr="00B602F4">
          <w:rPr>
            <w:rStyle w:val="Hyperlink"/>
            <w:rFonts w:hint="cs"/>
            <w:rtl/>
          </w:rPr>
          <w:t>ص</w:t>
        </w:r>
        <w:r w:rsidRPr="00B602F4">
          <w:rPr>
            <w:rStyle w:val="Hyperlink"/>
            <w:rtl/>
          </w:rPr>
          <w:t>152.</w:t>
        </w:r>
      </w:hyperlink>
    </w:p>
  </w:footnote>
  <w:footnote w:id="5">
    <w:p w:rsidR="005206C6" w:rsidRPr="00666412" w:rsidRDefault="005206C6" w:rsidP="00666412">
      <w:pPr>
        <w:pStyle w:val="FootnoteText"/>
      </w:pPr>
      <w:r w:rsidRPr="00666412">
        <w:footnoteRef/>
      </w:r>
      <w:r w:rsidRPr="00666412">
        <w:rPr>
          <w:rtl/>
        </w:rPr>
        <w:t xml:space="preserve"> </w:t>
      </w:r>
      <w:hyperlink r:id="rId3" w:history="1">
        <w:r w:rsidRPr="00666412">
          <w:rPr>
            <w:rStyle w:val="Hyperlink"/>
            <w:rFonts w:hint="cs"/>
            <w:rtl/>
          </w:rPr>
          <w:t>تهذیب</w:t>
        </w:r>
        <w:r w:rsidRPr="00666412">
          <w:rPr>
            <w:rStyle w:val="Hyperlink"/>
            <w:rtl/>
          </w:rPr>
          <w:t xml:space="preserve"> </w:t>
        </w:r>
        <w:r w:rsidRPr="00666412">
          <w:rPr>
            <w:rStyle w:val="Hyperlink"/>
            <w:rFonts w:hint="cs"/>
            <w:rtl/>
          </w:rPr>
          <w:t>الاحکام،</w:t>
        </w:r>
        <w:r w:rsidRPr="00666412">
          <w:rPr>
            <w:rStyle w:val="Hyperlink"/>
            <w:rtl/>
          </w:rPr>
          <w:t xml:space="preserve"> </w:t>
        </w:r>
        <w:r w:rsidRPr="00666412">
          <w:rPr>
            <w:rStyle w:val="Hyperlink"/>
            <w:rFonts w:hint="cs"/>
            <w:rtl/>
          </w:rPr>
          <w:t>شیخ</w:t>
        </w:r>
        <w:r w:rsidRPr="00666412">
          <w:rPr>
            <w:rStyle w:val="Hyperlink"/>
            <w:rtl/>
          </w:rPr>
          <w:t xml:space="preserve"> </w:t>
        </w:r>
        <w:r w:rsidRPr="00666412">
          <w:rPr>
            <w:rStyle w:val="Hyperlink"/>
            <w:rFonts w:hint="cs"/>
            <w:rtl/>
          </w:rPr>
          <w:t>طوسی،</w:t>
        </w:r>
        <w:r w:rsidRPr="00666412">
          <w:rPr>
            <w:rStyle w:val="Hyperlink"/>
            <w:rtl/>
          </w:rPr>
          <w:t xml:space="preserve"> </w:t>
        </w:r>
        <w:r w:rsidRPr="00666412">
          <w:rPr>
            <w:rStyle w:val="Hyperlink"/>
            <w:rFonts w:hint="cs"/>
            <w:rtl/>
          </w:rPr>
          <w:t>ج</w:t>
        </w:r>
        <w:r w:rsidRPr="00666412">
          <w:rPr>
            <w:rStyle w:val="Hyperlink"/>
            <w:rtl/>
          </w:rPr>
          <w:t>8</w:t>
        </w:r>
        <w:r w:rsidRPr="00666412">
          <w:rPr>
            <w:rStyle w:val="Hyperlink"/>
            <w:rFonts w:hint="cs"/>
            <w:rtl/>
          </w:rPr>
          <w:t>،</w:t>
        </w:r>
        <w:r w:rsidRPr="00666412">
          <w:rPr>
            <w:rStyle w:val="Hyperlink"/>
            <w:rtl/>
          </w:rPr>
          <w:t xml:space="preserve"> </w:t>
        </w:r>
        <w:r w:rsidRPr="00666412">
          <w:rPr>
            <w:rStyle w:val="Hyperlink"/>
            <w:rFonts w:hint="cs"/>
            <w:rtl/>
          </w:rPr>
          <w:t>ص</w:t>
        </w:r>
        <w:r w:rsidRPr="00666412">
          <w:rPr>
            <w:rStyle w:val="Hyperlink"/>
            <w:rtl/>
          </w:rPr>
          <w:t>152.</w:t>
        </w:r>
      </w:hyperlink>
    </w:p>
  </w:footnote>
  <w:footnote w:id="6">
    <w:p w:rsidR="005206C6" w:rsidRDefault="005206C6" w:rsidP="00666412">
      <w:pPr>
        <w:pStyle w:val="FootnoteText"/>
        <w:rPr>
          <w:rtl/>
        </w:rPr>
      </w:pPr>
      <w:r>
        <w:rPr>
          <w:rStyle w:val="FootnoteReference"/>
        </w:rPr>
        <w:footnoteRef/>
      </w:r>
      <w:r>
        <w:rPr>
          <w:rtl/>
        </w:rPr>
        <w:t xml:space="preserve"> </w:t>
      </w:r>
      <w:r w:rsidRPr="00666412">
        <w:rPr>
          <w:rFonts w:hint="cs"/>
          <w:rtl/>
        </w:rPr>
        <w:t>جامع أحاديث الشيعة (للبروجردي)، ج‏26، ص: 954</w:t>
      </w:r>
    </w:p>
    <w:p w:rsidR="005206C6" w:rsidRDefault="005206C6" w:rsidP="00666412">
      <w:pPr>
        <w:pStyle w:val="FootnoteText"/>
      </w:pPr>
      <w:r>
        <w:rPr>
          <w:rFonts w:hint="cs"/>
          <w:rtl/>
        </w:rPr>
        <w:t>مقرر: در جعفریات این روایت را نیافتم.</w:t>
      </w:r>
    </w:p>
  </w:footnote>
  <w:footnote w:id="7">
    <w:p w:rsidR="005206C6" w:rsidRDefault="005206C6">
      <w:pPr>
        <w:pStyle w:val="FootnoteText"/>
      </w:pPr>
      <w:r>
        <w:rPr>
          <w:rStyle w:val="FootnoteReference"/>
        </w:rPr>
        <w:footnoteRef/>
      </w:r>
      <w:r>
        <w:rPr>
          <w:rtl/>
        </w:rPr>
        <w:t xml:space="preserve"> </w:t>
      </w:r>
      <w:r>
        <w:rPr>
          <w:rFonts w:hint="cs"/>
          <w:rtl/>
        </w:rPr>
        <w:t>مقرر: آن چه در نوادر آمده است از امیر المومنین علیه السلام است.</w:t>
      </w:r>
    </w:p>
  </w:footnote>
  <w:footnote w:id="8">
    <w:p w:rsidR="005206C6" w:rsidRDefault="005206C6" w:rsidP="00D450C1">
      <w:pPr>
        <w:pStyle w:val="FootnoteText"/>
      </w:pPr>
      <w:r>
        <w:rPr>
          <w:rStyle w:val="FootnoteReference"/>
        </w:rPr>
        <w:footnoteRef/>
      </w:r>
      <w:r>
        <w:rPr>
          <w:rtl/>
        </w:rPr>
        <w:t xml:space="preserve"> </w:t>
      </w:r>
      <w:r w:rsidRPr="00D450C1">
        <w:rPr>
          <w:rFonts w:hint="cs"/>
          <w:rtl/>
        </w:rPr>
        <w:t>النوادر (للراوندي)، ص: 38</w:t>
      </w:r>
    </w:p>
  </w:footnote>
  <w:footnote w:id="9">
    <w:p w:rsidR="00643149" w:rsidRPr="00643149" w:rsidRDefault="00643149" w:rsidP="00643149">
      <w:pPr>
        <w:pStyle w:val="FootnoteText"/>
      </w:pPr>
      <w:r w:rsidRPr="00643149">
        <w:footnoteRef/>
      </w:r>
      <w:r w:rsidRPr="00643149">
        <w:rPr>
          <w:rtl/>
        </w:rPr>
        <w:t xml:space="preserve"> </w:t>
      </w:r>
      <w:hyperlink r:id="rId4" w:history="1">
        <w:r w:rsidRPr="00643149">
          <w:rPr>
            <w:rStyle w:val="Hyperlink"/>
            <w:rFonts w:hint="cs"/>
            <w:rtl/>
          </w:rPr>
          <w:t>مستدرک</w:t>
        </w:r>
        <w:r w:rsidRPr="00643149">
          <w:rPr>
            <w:rStyle w:val="Hyperlink"/>
            <w:rtl/>
          </w:rPr>
          <w:t xml:space="preserve"> </w:t>
        </w:r>
        <w:r w:rsidRPr="00643149">
          <w:rPr>
            <w:rStyle w:val="Hyperlink"/>
            <w:rFonts w:hint="cs"/>
            <w:rtl/>
          </w:rPr>
          <w:t>الوسائل،</w:t>
        </w:r>
        <w:r w:rsidRPr="00643149">
          <w:rPr>
            <w:rStyle w:val="Hyperlink"/>
            <w:rtl/>
          </w:rPr>
          <w:t xml:space="preserve"> </w:t>
        </w:r>
        <w:r w:rsidRPr="00643149">
          <w:rPr>
            <w:rStyle w:val="Hyperlink"/>
            <w:rFonts w:hint="cs"/>
            <w:rtl/>
          </w:rPr>
          <w:t>محدث</w:t>
        </w:r>
        <w:r w:rsidRPr="00643149">
          <w:rPr>
            <w:rStyle w:val="Hyperlink"/>
            <w:rtl/>
          </w:rPr>
          <w:t xml:space="preserve"> </w:t>
        </w:r>
        <w:r w:rsidRPr="00643149">
          <w:rPr>
            <w:rStyle w:val="Hyperlink"/>
            <w:rFonts w:hint="cs"/>
            <w:rtl/>
          </w:rPr>
          <w:t>نوری،</w:t>
        </w:r>
        <w:r w:rsidRPr="00643149">
          <w:rPr>
            <w:rStyle w:val="Hyperlink"/>
            <w:rtl/>
          </w:rPr>
          <w:t xml:space="preserve"> </w:t>
        </w:r>
        <w:r w:rsidRPr="00643149">
          <w:rPr>
            <w:rStyle w:val="Hyperlink"/>
            <w:rFonts w:hint="cs"/>
            <w:rtl/>
          </w:rPr>
          <w:t>ج</w:t>
        </w:r>
        <w:r w:rsidRPr="00643149">
          <w:rPr>
            <w:rStyle w:val="Hyperlink"/>
            <w:rtl/>
          </w:rPr>
          <w:t>1</w:t>
        </w:r>
        <w:r w:rsidRPr="00643149">
          <w:rPr>
            <w:rStyle w:val="Hyperlink"/>
            <w:rFonts w:hint="cs"/>
            <w:rtl/>
          </w:rPr>
          <w:t>،</w:t>
        </w:r>
        <w:r w:rsidRPr="00643149">
          <w:rPr>
            <w:rStyle w:val="Hyperlink"/>
            <w:rtl/>
          </w:rPr>
          <w:t xml:space="preserve"> </w:t>
        </w:r>
        <w:r w:rsidRPr="00643149">
          <w:rPr>
            <w:rStyle w:val="Hyperlink"/>
            <w:rFonts w:hint="cs"/>
            <w:rtl/>
          </w:rPr>
          <w:t>ص</w:t>
        </w:r>
        <w:r w:rsidRPr="00643149">
          <w:rPr>
            <w:rStyle w:val="Hyperlink"/>
            <w:rtl/>
          </w:rPr>
          <w:t>11.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6C6" w:rsidRDefault="005206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6C6" w:rsidRPr="001D2E9A" w:rsidRDefault="005206C6"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8" w:name="BokNum"/>
    <w:bookmarkEnd w:id="8"/>
    <w:r>
      <w:rPr>
        <w:b/>
        <w:bCs/>
        <w:sz w:val="20"/>
        <w:szCs w:val="24"/>
        <w:rtl/>
      </w:rPr>
      <w:t>102</w:t>
    </w:r>
    <w:r>
      <w:rPr>
        <w:rFonts w:hint="cs"/>
        <w:b/>
        <w:bCs/>
        <w:sz w:val="20"/>
        <w:szCs w:val="24"/>
        <w:rtl/>
      </w:rPr>
      <w:tab/>
    </w:r>
    <w:r w:rsidRPr="00C32A7E">
      <w:rPr>
        <w:rFonts w:hint="cs"/>
        <w:b/>
        <w:bCs/>
        <w:color w:val="632423" w:themeColor="accent2" w:themeShade="80"/>
        <w:sz w:val="20"/>
        <w:szCs w:val="24"/>
        <w:rtl/>
      </w:rPr>
      <w:t xml:space="preserve">درس خارج </w:t>
    </w:r>
    <w:bookmarkStart w:id="9" w:name="Bokdars"/>
    <w:bookmarkEnd w:id="9"/>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0" w:name="Bokostad"/>
    <w:bookmarkEnd w:id="10"/>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1" w:name="BokTarikh"/>
    <w:bookmarkEnd w:id="11"/>
    <w:r>
      <w:rPr>
        <w:sz w:val="24"/>
        <w:szCs w:val="24"/>
        <w:rtl/>
      </w:rPr>
      <w:t>3 /3 /1400</w:t>
    </w:r>
  </w:p>
  <w:p w:rsidR="005206C6" w:rsidRPr="00F16B53" w:rsidRDefault="005206C6"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2" w:name="BokSabj"/>
    <w:bookmarkEnd w:id="12"/>
    <w:r>
      <w:rPr>
        <w:rFonts w:hint="cs"/>
        <w:color w:val="000000" w:themeColor="text1"/>
        <w:sz w:val="24"/>
        <w:szCs w:val="24"/>
        <w:rtl/>
      </w:rPr>
      <w:t>فصل</w:t>
    </w:r>
    <w:r>
      <w:rPr>
        <w:color w:val="000000" w:themeColor="text1"/>
        <w:sz w:val="24"/>
        <w:szCs w:val="24"/>
        <w:rtl/>
      </w:rPr>
      <w:t xml:space="preserve"> </w:t>
    </w:r>
    <w:r>
      <w:rPr>
        <w:rFonts w:hint="cs"/>
        <w:color w:val="000000" w:themeColor="text1"/>
        <w:sz w:val="24"/>
        <w:szCs w:val="24"/>
        <w:rtl/>
      </w:rPr>
      <w:t>ششم</w:t>
    </w:r>
    <w:r>
      <w:rPr>
        <w:color w:val="000000" w:themeColor="text1"/>
        <w:sz w:val="24"/>
        <w:szCs w:val="24"/>
        <w:rtl/>
      </w:rPr>
      <w:t xml:space="preserve"> </w:t>
    </w:r>
    <w:r>
      <w:rPr>
        <w:rFonts w:hint="cs"/>
        <w:color w:val="000000" w:themeColor="text1"/>
        <w:sz w:val="24"/>
        <w:szCs w:val="24"/>
        <w:rtl/>
      </w:rPr>
      <w:t>تکمله‌ی</w:t>
    </w:r>
    <w:r>
      <w:rPr>
        <w:color w:val="000000" w:themeColor="text1"/>
        <w:sz w:val="24"/>
        <w:szCs w:val="24"/>
        <w:rtl/>
      </w:rPr>
      <w:t xml:space="preserve"> </w:t>
    </w:r>
    <w:r>
      <w:rPr>
        <w:rFonts w:hint="cs"/>
        <w:color w:val="000000" w:themeColor="text1"/>
        <w:sz w:val="24"/>
        <w:szCs w:val="24"/>
        <w:rtl/>
      </w:rPr>
      <w:t>عروه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3" w:name="Bokmoqarer"/>
    <w:bookmarkEnd w:id="13"/>
    <w:r>
      <w:rPr>
        <w:rFonts w:hint="cs"/>
        <w:sz w:val="24"/>
        <w:szCs w:val="24"/>
        <w:rtl/>
      </w:rPr>
      <w:t>مهدی</w:t>
    </w:r>
    <w:r>
      <w:rPr>
        <w:sz w:val="24"/>
        <w:szCs w:val="24"/>
        <w:rtl/>
      </w:rPr>
      <w:t xml:space="preserve"> </w:t>
    </w:r>
    <w:r>
      <w:rPr>
        <w:rFonts w:hint="cs"/>
        <w:sz w:val="24"/>
        <w:szCs w:val="24"/>
        <w:rtl/>
      </w:rPr>
      <w:t xml:space="preserve">کاظمی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4" w:name="BokSabj2"/>
    <w:bookmarkEnd w:id="14"/>
    <w:r>
      <w:rPr>
        <w:rFonts w:hint="cs"/>
        <w:sz w:val="24"/>
        <w:szCs w:val="24"/>
        <w:rtl/>
      </w:rPr>
      <w:t>نفقه‌ی</w:t>
    </w:r>
    <w:r>
      <w:rPr>
        <w:sz w:val="24"/>
        <w:szCs w:val="24"/>
        <w:rtl/>
      </w:rPr>
      <w:t xml:space="preserve"> </w:t>
    </w:r>
    <w:r>
      <w:rPr>
        <w:rFonts w:hint="cs"/>
        <w:sz w:val="24"/>
        <w:szCs w:val="24"/>
        <w:rtl/>
      </w:rPr>
      <w:t>حامل</w:t>
    </w:r>
    <w:r>
      <w:rPr>
        <w:sz w:val="24"/>
        <w:szCs w:val="24"/>
        <w:rtl/>
      </w:rPr>
      <w:t xml:space="preserve"> </w:t>
    </w:r>
    <w:r>
      <w:rPr>
        <w:rFonts w:hint="cs"/>
        <w:sz w:val="24"/>
        <w:szCs w:val="24"/>
        <w:rtl/>
      </w:rPr>
      <w:t>متوفی</w:t>
    </w:r>
    <w:r>
      <w:rPr>
        <w:sz w:val="24"/>
        <w:szCs w:val="24"/>
        <w:rtl/>
      </w:rPr>
      <w:t xml:space="preserve"> </w:t>
    </w:r>
    <w:r>
      <w:rPr>
        <w:rFonts w:hint="cs"/>
        <w:sz w:val="24"/>
        <w:szCs w:val="24"/>
        <w:rtl/>
      </w:rPr>
      <w:t>عنها</w:t>
    </w:r>
    <w:r>
      <w:rPr>
        <w:sz w:val="24"/>
        <w:szCs w:val="24"/>
        <w:rtl/>
      </w:rPr>
      <w:t xml:space="preserve"> </w:t>
    </w:r>
    <w:r>
      <w:rPr>
        <w:rFonts w:hint="cs"/>
        <w:sz w:val="24"/>
        <w:szCs w:val="24"/>
        <w:rtl/>
      </w:rPr>
      <w:t>زوجها</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6C6" w:rsidRDefault="005206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24DF"/>
    <w:rsid w:val="000072A3"/>
    <w:rsid w:val="000131BF"/>
    <w:rsid w:val="00025777"/>
    <w:rsid w:val="00025B70"/>
    <w:rsid w:val="0003107C"/>
    <w:rsid w:val="000353D7"/>
    <w:rsid w:val="00055496"/>
    <w:rsid w:val="000625AD"/>
    <w:rsid w:val="00072C1F"/>
    <w:rsid w:val="00080A41"/>
    <w:rsid w:val="0008299B"/>
    <w:rsid w:val="000913AA"/>
    <w:rsid w:val="00094847"/>
    <w:rsid w:val="00096C63"/>
    <w:rsid w:val="000B5DB5"/>
    <w:rsid w:val="000B6698"/>
    <w:rsid w:val="000C3947"/>
    <w:rsid w:val="000D2A37"/>
    <w:rsid w:val="000D30E9"/>
    <w:rsid w:val="000D6818"/>
    <w:rsid w:val="000E335E"/>
    <w:rsid w:val="000E4FE4"/>
    <w:rsid w:val="000F16CF"/>
    <w:rsid w:val="000F5BAC"/>
    <w:rsid w:val="00102585"/>
    <w:rsid w:val="00114AB7"/>
    <w:rsid w:val="00116B2B"/>
    <w:rsid w:val="00124E3D"/>
    <w:rsid w:val="00127E95"/>
    <w:rsid w:val="00130659"/>
    <w:rsid w:val="001347C7"/>
    <w:rsid w:val="001356B0"/>
    <w:rsid w:val="00151937"/>
    <w:rsid w:val="001630D0"/>
    <w:rsid w:val="00181844"/>
    <w:rsid w:val="001822D2"/>
    <w:rsid w:val="001837E9"/>
    <w:rsid w:val="00186414"/>
    <w:rsid w:val="00187DFA"/>
    <w:rsid w:val="001A1BC1"/>
    <w:rsid w:val="001A1EA5"/>
    <w:rsid w:val="001A2574"/>
    <w:rsid w:val="001A27D7"/>
    <w:rsid w:val="001A294E"/>
    <w:rsid w:val="001A4ED8"/>
    <w:rsid w:val="001A5217"/>
    <w:rsid w:val="001B2488"/>
    <w:rsid w:val="001B6799"/>
    <w:rsid w:val="001C1362"/>
    <w:rsid w:val="001C5256"/>
    <w:rsid w:val="001C7BD5"/>
    <w:rsid w:val="001D2E9A"/>
    <w:rsid w:val="001D51D3"/>
    <w:rsid w:val="001D597F"/>
    <w:rsid w:val="001D63EA"/>
    <w:rsid w:val="001E3FD4"/>
    <w:rsid w:val="001E40CC"/>
    <w:rsid w:val="001E4FF2"/>
    <w:rsid w:val="001F608F"/>
    <w:rsid w:val="0020241A"/>
    <w:rsid w:val="00203821"/>
    <w:rsid w:val="00211632"/>
    <w:rsid w:val="00215126"/>
    <w:rsid w:val="0021630D"/>
    <w:rsid w:val="00222BF9"/>
    <w:rsid w:val="00235D8D"/>
    <w:rsid w:val="0024121B"/>
    <w:rsid w:val="00247D2F"/>
    <w:rsid w:val="00256560"/>
    <w:rsid w:val="00275FF1"/>
    <w:rsid w:val="0027605E"/>
    <w:rsid w:val="00281E00"/>
    <w:rsid w:val="00294A52"/>
    <w:rsid w:val="002B575F"/>
    <w:rsid w:val="002B729B"/>
    <w:rsid w:val="002C23B5"/>
    <w:rsid w:val="002C53A2"/>
    <w:rsid w:val="002D0040"/>
    <w:rsid w:val="002D00B8"/>
    <w:rsid w:val="002D2FA8"/>
    <w:rsid w:val="002E220F"/>
    <w:rsid w:val="002F12D6"/>
    <w:rsid w:val="002F7D6C"/>
    <w:rsid w:val="00307311"/>
    <w:rsid w:val="00312139"/>
    <w:rsid w:val="003208F7"/>
    <w:rsid w:val="0032100F"/>
    <w:rsid w:val="0033402C"/>
    <w:rsid w:val="00340521"/>
    <w:rsid w:val="00345C73"/>
    <w:rsid w:val="003546A3"/>
    <w:rsid w:val="00354A99"/>
    <w:rsid w:val="00360311"/>
    <w:rsid w:val="00361922"/>
    <w:rsid w:val="00361D57"/>
    <w:rsid w:val="0037339B"/>
    <w:rsid w:val="003806CC"/>
    <w:rsid w:val="00381FA8"/>
    <w:rsid w:val="00386C11"/>
    <w:rsid w:val="00397466"/>
    <w:rsid w:val="003A6148"/>
    <w:rsid w:val="003B01B9"/>
    <w:rsid w:val="003C33F6"/>
    <w:rsid w:val="003C3D2E"/>
    <w:rsid w:val="003C43A5"/>
    <w:rsid w:val="003D1216"/>
    <w:rsid w:val="003E1C5C"/>
    <w:rsid w:val="003E6650"/>
    <w:rsid w:val="003F5B46"/>
    <w:rsid w:val="00401363"/>
    <w:rsid w:val="00402E47"/>
    <w:rsid w:val="004119D1"/>
    <w:rsid w:val="00425015"/>
    <w:rsid w:val="004303AB"/>
    <w:rsid w:val="00430994"/>
    <w:rsid w:val="00435A14"/>
    <w:rsid w:val="00441B6D"/>
    <w:rsid w:val="004556EF"/>
    <w:rsid w:val="00462B07"/>
    <w:rsid w:val="00465BD2"/>
    <w:rsid w:val="004715C8"/>
    <w:rsid w:val="00481C31"/>
    <w:rsid w:val="00482FC1"/>
    <w:rsid w:val="00483027"/>
    <w:rsid w:val="004871AA"/>
    <w:rsid w:val="004918D7"/>
    <w:rsid w:val="004926E1"/>
    <w:rsid w:val="004A2FEA"/>
    <w:rsid w:val="004D2DD7"/>
    <w:rsid w:val="004D719B"/>
    <w:rsid w:val="004D75C5"/>
    <w:rsid w:val="004E2186"/>
    <w:rsid w:val="004E66FB"/>
    <w:rsid w:val="004F1366"/>
    <w:rsid w:val="004F470A"/>
    <w:rsid w:val="004F4C59"/>
    <w:rsid w:val="00500C8F"/>
    <w:rsid w:val="00501909"/>
    <w:rsid w:val="00507BBB"/>
    <w:rsid w:val="00511BDC"/>
    <w:rsid w:val="005128DF"/>
    <w:rsid w:val="0051592A"/>
    <w:rsid w:val="005206C6"/>
    <w:rsid w:val="005206FE"/>
    <w:rsid w:val="005257ED"/>
    <w:rsid w:val="005306F8"/>
    <w:rsid w:val="005335DC"/>
    <w:rsid w:val="0054023D"/>
    <w:rsid w:val="005426BF"/>
    <w:rsid w:val="005445F1"/>
    <w:rsid w:val="005601E0"/>
    <w:rsid w:val="00560A1E"/>
    <w:rsid w:val="0056213C"/>
    <w:rsid w:val="005726D9"/>
    <w:rsid w:val="00580C24"/>
    <w:rsid w:val="00584088"/>
    <w:rsid w:val="00592785"/>
    <w:rsid w:val="005968EF"/>
    <w:rsid w:val="00596C1E"/>
    <w:rsid w:val="005A2E26"/>
    <w:rsid w:val="005B4B45"/>
    <w:rsid w:val="005B7BCA"/>
    <w:rsid w:val="005C0DAE"/>
    <w:rsid w:val="005C188E"/>
    <w:rsid w:val="005D2349"/>
    <w:rsid w:val="005E1B60"/>
    <w:rsid w:val="005E51E3"/>
    <w:rsid w:val="005E5507"/>
    <w:rsid w:val="005E607B"/>
    <w:rsid w:val="005F0A8D"/>
    <w:rsid w:val="00601229"/>
    <w:rsid w:val="00603B67"/>
    <w:rsid w:val="006162A2"/>
    <w:rsid w:val="00622F54"/>
    <w:rsid w:val="006240DA"/>
    <w:rsid w:val="0062777B"/>
    <w:rsid w:val="0063256E"/>
    <w:rsid w:val="00633F04"/>
    <w:rsid w:val="00635219"/>
    <w:rsid w:val="00635EC0"/>
    <w:rsid w:val="00640B58"/>
    <w:rsid w:val="00643149"/>
    <w:rsid w:val="00651B02"/>
    <w:rsid w:val="00651B19"/>
    <w:rsid w:val="00656DCA"/>
    <w:rsid w:val="00660A29"/>
    <w:rsid w:val="00666412"/>
    <w:rsid w:val="00690ECA"/>
    <w:rsid w:val="00695519"/>
    <w:rsid w:val="006A4134"/>
    <w:rsid w:val="006A5DDA"/>
    <w:rsid w:val="006A6701"/>
    <w:rsid w:val="006B21F4"/>
    <w:rsid w:val="006B245B"/>
    <w:rsid w:val="006B3753"/>
    <w:rsid w:val="006B3AC9"/>
    <w:rsid w:val="006B7AD6"/>
    <w:rsid w:val="006C50FD"/>
    <w:rsid w:val="006D1DD4"/>
    <w:rsid w:val="006D4014"/>
    <w:rsid w:val="006D44C1"/>
    <w:rsid w:val="006E5651"/>
    <w:rsid w:val="006E5B85"/>
    <w:rsid w:val="006F026A"/>
    <w:rsid w:val="0070265B"/>
    <w:rsid w:val="00704813"/>
    <w:rsid w:val="00714B37"/>
    <w:rsid w:val="0072290D"/>
    <w:rsid w:val="00723D6D"/>
    <w:rsid w:val="00724537"/>
    <w:rsid w:val="00731724"/>
    <w:rsid w:val="0073474B"/>
    <w:rsid w:val="00735511"/>
    <w:rsid w:val="00737208"/>
    <w:rsid w:val="00741B74"/>
    <w:rsid w:val="00744DE6"/>
    <w:rsid w:val="00762452"/>
    <w:rsid w:val="007639E0"/>
    <w:rsid w:val="00775507"/>
    <w:rsid w:val="0078078F"/>
    <w:rsid w:val="00783473"/>
    <w:rsid w:val="0078594B"/>
    <w:rsid w:val="00795E02"/>
    <w:rsid w:val="007979D0"/>
    <w:rsid w:val="007A4E18"/>
    <w:rsid w:val="007A6CCD"/>
    <w:rsid w:val="007A7B8C"/>
    <w:rsid w:val="007B5BAF"/>
    <w:rsid w:val="007C4FF6"/>
    <w:rsid w:val="007C6D9E"/>
    <w:rsid w:val="007D1C43"/>
    <w:rsid w:val="007D6C53"/>
    <w:rsid w:val="007E1564"/>
    <w:rsid w:val="007E1E87"/>
    <w:rsid w:val="007E5B3F"/>
    <w:rsid w:val="007F2257"/>
    <w:rsid w:val="0080091D"/>
    <w:rsid w:val="00804108"/>
    <w:rsid w:val="00804FC4"/>
    <w:rsid w:val="008162B5"/>
    <w:rsid w:val="00816367"/>
    <w:rsid w:val="00816A0B"/>
    <w:rsid w:val="00824B22"/>
    <w:rsid w:val="0083074E"/>
    <w:rsid w:val="00830C53"/>
    <w:rsid w:val="00832663"/>
    <w:rsid w:val="00837FAA"/>
    <w:rsid w:val="00841F77"/>
    <w:rsid w:val="00845477"/>
    <w:rsid w:val="00851217"/>
    <w:rsid w:val="0085276D"/>
    <w:rsid w:val="00863390"/>
    <w:rsid w:val="008633DD"/>
    <w:rsid w:val="0086385C"/>
    <w:rsid w:val="00870F02"/>
    <w:rsid w:val="00871916"/>
    <w:rsid w:val="00880E47"/>
    <w:rsid w:val="008956DD"/>
    <w:rsid w:val="008A00A8"/>
    <w:rsid w:val="008A510E"/>
    <w:rsid w:val="008A522A"/>
    <w:rsid w:val="008B4464"/>
    <w:rsid w:val="008B750B"/>
    <w:rsid w:val="008C3162"/>
    <w:rsid w:val="008D1F14"/>
    <w:rsid w:val="008E3924"/>
    <w:rsid w:val="008E3AFB"/>
    <w:rsid w:val="008F13F7"/>
    <w:rsid w:val="008F5B4D"/>
    <w:rsid w:val="008F7094"/>
    <w:rsid w:val="00907425"/>
    <w:rsid w:val="00914CC8"/>
    <w:rsid w:val="00923C34"/>
    <w:rsid w:val="00924152"/>
    <w:rsid w:val="0092513D"/>
    <w:rsid w:val="00927A9F"/>
    <w:rsid w:val="009335CC"/>
    <w:rsid w:val="00935A55"/>
    <w:rsid w:val="00941CEB"/>
    <w:rsid w:val="00944FE8"/>
    <w:rsid w:val="0094720F"/>
    <w:rsid w:val="00953B28"/>
    <w:rsid w:val="00954322"/>
    <w:rsid w:val="00957CAA"/>
    <w:rsid w:val="0096778A"/>
    <w:rsid w:val="00977656"/>
    <w:rsid w:val="009846A7"/>
    <w:rsid w:val="0098794D"/>
    <w:rsid w:val="0099324C"/>
    <w:rsid w:val="0099497B"/>
    <w:rsid w:val="009A43BA"/>
    <w:rsid w:val="009B0D05"/>
    <w:rsid w:val="009B1C44"/>
    <w:rsid w:val="009B4CA6"/>
    <w:rsid w:val="009B7486"/>
    <w:rsid w:val="009B79F8"/>
    <w:rsid w:val="009C66D5"/>
    <w:rsid w:val="009D13FD"/>
    <w:rsid w:val="009D266A"/>
    <w:rsid w:val="009D7E16"/>
    <w:rsid w:val="009F7E07"/>
    <w:rsid w:val="00A01522"/>
    <w:rsid w:val="00A10A11"/>
    <w:rsid w:val="00A13C6A"/>
    <w:rsid w:val="00A17B09"/>
    <w:rsid w:val="00A33BE8"/>
    <w:rsid w:val="00A44241"/>
    <w:rsid w:val="00A457C6"/>
    <w:rsid w:val="00A46AD0"/>
    <w:rsid w:val="00A47063"/>
    <w:rsid w:val="00A473A8"/>
    <w:rsid w:val="00A513F0"/>
    <w:rsid w:val="00A61AC8"/>
    <w:rsid w:val="00A6366F"/>
    <w:rsid w:val="00A65D4C"/>
    <w:rsid w:val="00A70512"/>
    <w:rsid w:val="00AA1F60"/>
    <w:rsid w:val="00AA40D7"/>
    <w:rsid w:val="00AB18B4"/>
    <w:rsid w:val="00AB5F7D"/>
    <w:rsid w:val="00AC0C50"/>
    <w:rsid w:val="00AC6FE2"/>
    <w:rsid w:val="00AD0860"/>
    <w:rsid w:val="00AF3925"/>
    <w:rsid w:val="00B1296B"/>
    <w:rsid w:val="00B226CC"/>
    <w:rsid w:val="00B2292F"/>
    <w:rsid w:val="00B43169"/>
    <w:rsid w:val="00B45D39"/>
    <w:rsid w:val="00B501A8"/>
    <w:rsid w:val="00B55AE4"/>
    <w:rsid w:val="00B57DEB"/>
    <w:rsid w:val="00B679F9"/>
    <w:rsid w:val="00B70B46"/>
    <w:rsid w:val="00B739B0"/>
    <w:rsid w:val="00B814A3"/>
    <w:rsid w:val="00B91886"/>
    <w:rsid w:val="00B94A1C"/>
    <w:rsid w:val="00B96F38"/>
    <w:rsid w:val="00BB14BB"/>
    <w:rsid w:val="00BC6A02"/>
    <w:rsid w:val="00BC6DB5"/>
    <w:rsid w:val="00BC716B"/>
    <w:rsid w:val="00BD0E74"/>
    <w:rsid w:val="00BD2153"/>
    <w:rsid w:val="00BD5F8C"/>
    <w:rsid w:val="00BE29DD"/>
    <w:rsid w:val="00BE6357"/>
    <w:rsid w:val="00BE6C27"/>
    <w:rsid w:val="00C066AF"/>
    <w:rsid w:val="00C10E06"/>
    <w:rsid w:val="00C145B8"/>
    <w:rsid w:val="00C17FE1"/>
    <w:rsid w:val="00C2438F"/>
    <w:rsid w:val="00C24DDE"/>
    <w:rsid w:val="00C31AF0"/>
    <w:rsid w:val="00C32A7E"/>
    <w:rsid w:val="00C34F28"/>
    <w:rsid w:val="00C368DF"/>
    <w:rsid w:val="00C442C5"/>
    <w:rsid w:val="00C57B5C"/>
    <w:rsid w:val="00C57C7C"/>
    <w:rsid w:val="00C61049"/>
    <w:rsid w:val="00C63FFE"/>
    <w:rsid w:val="00C82A73"/>
    <w:rsid w:val="00C91EB6"/>
    <w:rsid w:val="00CA10B0"/>
    <w:rsid w:val="00CA2F8E"/>
    <w:rsid w:val="00CA3EE2"/>
    <w:rsid w:val="00CA7FD5"/>
    <w:rsid w:val="00CB3287"/>
    <w:rsid w:val="00CB33E2"/>
    <w:rsid w:val="00CB4E68"/>
    <w:rsid w:val="00CB580D"/>
    <w:rsid w:val="00CB72AB"/>
    <w:rsid w:val="00CC2733"/>
    <w:rsid w:val="00CD0050"/>
    <w:rsid w:val="00CE7481"/>
    <w:rsid w:val="00CF0A8F"/>
    <w:rsid w:val="00D039A5"/>
    <w:rsid w:val="00D048CE"/>
    <w:rsid w:val="00D06866"/>
    <w:rsid w:val="00D10998"/>
    <w:rsid w:val="00D15CBD"/>
    <w:rsid w:val="00D221CB"/>
    <w:rsid w:val="00D23391"/>
    <w:rsid w:val="00D23630"/>
    <w:rsid w:val="00D31805"/>
    <w:rsid w:val="00D450C1"/>
    <w:rsid w:val="00D45316"/>
    <w:rsid w:val="00D552B9"/>
    <w:rsid w:val="00D63E4E"/>
    <w:rsid w:val="00D71819"/>
    <w:rsid w:val="00D735B2"/>
    <w:rsid w:val="00D74021"/>
    <w:rsid w:val="00D757A0"/>
    <w:rsid w:val="00D76D01"/>
    <w:rsid w:val="00D80247"/>
    <w:rsid w:val="00D81E0B"/>
    <w:rsid w:val="00D919ED"/>
    <w:rsid w:val="00D922A9"/>
    <w:rsid w:val="00D9394A"/>
    <w:rsid w:val="00DB0CBB"/>
    <w:rsid w:val="00DB43CD"/>
    <w:rsid w:val="00DB67CC"/>
    <w:rsid w:val="00DC3783"/>
    <w:rsid w:val="00DD656C"/>
    <w:rsid w:val="00DE1070"/>
    <w:rsid w:val="00E00219"/>
    <w:rsid w:val="00E0050A"/>
    <w:rsid w:val="00E0316B"/>
    <w:rsid w:val="00E15607"/>
    <w:rsid w:val="00E25E10"/>
    <w:rsid w:val="00E50B41"/>
    <w:rsid w:val="00E5219B"/>
    <w:rsid w:val="00E52D07"/>
    <w:rsid w:val="00E5518B"/>
    <w:rsid w:val="00E609FE"/>
    <w:rsid w:val="00E630BE"/>
    <w:rsid w:val="00E674BF"/>
    <w:rsid w:val="00E676A1"/>
    <w:rsid w:val="00E75920"/>
    <w:rsid w:val="00E80D96"/>
    <w:rsid w:val="00E871FA"/>
    <w:rsid w:val="00E936A4"/>
    <w:rsid w:val="00E954BB"/>
    <w:rsid w:val="00EA45E7"/>
    <w:rsid w:val="00EA53F3"/>
    <w:rsid w:val="00EB4169"/>
    <w:rsid w:val="00EB78E3"/>
    <w:rsid w:val="00EB7BE3"/>
    <w:rsid w:val="00EC137B"/>
    <w:rsid w:val="00EC1C4B"/>
    <w:rsid w:val="00EC735A"/>
    <w:rsid w:val="00ED5F38"/>
    <w:rsid w:val="00EF27FE"/>
    <w:rsid w:val="00F02EBD"/>
    <w:rsid w:val="00F07FB6"/>
    <w:rsid w:val="00F149D0"/>
    <w:rsid w:val="00F16B53"/>
    <w:rsid w:val="00F25ECD"/>
    <w:rsid w:val="00F26514"/>
    <w:rsid w:val="00F318BE"/>
    <w:rsid w:val="00F33297"/>
    <w:rsid w:val="00F343FB"/>
    <w:rsid w:val="00F359FE"/>
    <w:rsid w:val="00F35AE9"/>
    <w:rsid w:val="00F42159"/>
    <w:rsid w:val="00F4256E"/>
    <w:rsid w:val="00F42EE1"/>
    <w:rsid w:val="00F4449A"/>
    <w:rsid w:val="00F55F45"/>
    <w:rsid w:val="00F60F1F"/>
    <w:rsid w:val="00F64141"/>
    <w:rsid w:val="00F67508"/>
    <w:rsid w:val="00F71FC9"/>
    <w:rsid w:val="00F73B48"/>
    <w:rsid w:val="00F73F1E"/>
    <w:rsid w:val="00F74F51"/>
    <w:rsid w:val="00F75745"/>
    <w:rsid w:val="00F842AD"/>
    <w:rsid w:val="00F914EB"/>
    <w:rsid w:val="00F91B85"/>
    <w:rsid w:val="00F938E7"/>
    <w:rsid w:val="00FA0739"/>
    <w:rsid w:val="00FA3B17"/>
    <w:rsid w:val="00FA5E8D"/>
    <w:rsid w:val="00FA5F3D"/>
    <w:rsid w:val="00FB399E"/>
    <w:rsid w:val="00FB5A08"/>
    <w:rsid w:val="00FB7F50"/>
    <w:rsid w:val="00FC2A85"/>
    <w:rsid w:val="00FC35C4"/>
    <w:rsid w:val="00FC40AF"/>
    <w:rsid w:val="00FC41A6"/>
    <w:rsid w:val="00FC73B9"/>
    <w:rsid w:val="00FD0A16"/>
    <w:rsid w:val="00FD3C6D"/>
    <w:rsid w:val="00FE3D7D"/>
    <w:rsid w:val="00FE6DCF"/>
    <w:rsid w:val="00FE7CBD"/>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97787900">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90347986">
      <w:bodyDiv w:val="1"/>
      <w:marLeft w:val="0"/>
      <w:marRight w:val="0"/>
      <w:marTop w:val="0"/>
      <w:marBottom w:val="0"/>
      <w:divBdr>
        <w:top w:val="none" w:sz="0" w:space="0" w:color="auto"/>
        <w:left w:val="none" w:sz="0" w:space="0" w:color="auto"/>
        <w:bottom w:val="none" w:sz="0" w:space="0" w:color="auto"/>
        <w:right w:val="none" w:sz="0" w:space="0" w:color="auto"/>
      </w:divBdr>
    </w:div>
    <w:div w:id="414547580">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25631136">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93072091">
      <w:bodyDiv w:val="1"/>
      <w:marLeft w:val="0"/>
      <w:marRight w:val="0"/>
      <w:marTop w:val="0"/>
      <w:marBottom w:val="0"/>
      <w:divBdr>
        <w:top w:val="none" w:sz="0" w:space="0" w:color="auto"/>
        <w:left w:val="none" w:sz="0" w:space="0" w:color="auto"/>
        <w:bottom w:val="none" w:sz="0" w:space="0" w:color="auto"/>
        <w:right w:val="none" w:sz="0" w:space="0" w:color="auto"/>
      </w:divBdr>
    </w:div>
    <w:div w:id="724454556">
      <w:bodyDiv w:val="1"/>
      <w:marLeft w:val="0"/>
      <w:marRight w:val="0"/>
      <w:marTop w:val="0"/>
      <w:marBottom w:val="0"/>
      <w:divBdr>
        <w:top w:val="none" w:sz="0" w:space="0" w:color="auto"/>
        <w:left w:val="none" w:sz="0" w:space="0" w:color="auto"/>
        <w:bottom w:val="none" w:sz="0" w:space="0" w:color="auto"/>
        <w:right w:val="none" w:sz="0" w:space="0" w:color="auto"/>
      </w:divBdr>
    </w:div>
    <w:div w:id="911429003">
      <w:bodyDiv w:val="1"/>
      <w:marLeft w:val="0"/>
      <w:marRight w:val="0"/>
      <w:marTop w:val="0"/>
      <w:marBottom w:val="0"/>
      <w:divBdr>
        <w:top w:val="none" w:sz="0" w:space="0" w:color="auto"/>
        <w:left w:val="none" w:sz="0" w:space="0" w:color="auto"/>
        <w:bottom w:val="none" w:sz="0" w:space="0" w:color="auto"/>
        <w:right w:val="none" w:sz="0" w:space="0" w:color="auto"/>
      </w:divBdr>
    </w:div>
    <w:div w:id="943346473">
      <w:bodyDiv w:val="1"/>
      <w:marLeft w:val="0"/>
      <w:marRight w:val="0"/>
      <w:marTop w:val="0"/>
      <w:marBottom w:val="0"/>
      <w:divBdr>
        <w:top w:val="none" w:sz="0" w:space="0" w:color="auto"/>
        <w:left w:val="none" w:sz="0" w:space="0" w:color="auto"/>
        <w:bottom w:val="none" w:sz="0" w:space="0" w:color="auto"/>
        <w:right w:val="none" w:sz="0" w:space="0" w:color="auto"/>
      </w:divBdr>
    </w:div>
    <w:div w:id="114709178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1478676">
      <w:bodyDiv w:val="1"/>
      <w:marLeft w:val="0"/>
      <w:marRight w:val="0"/>
      <w:marTop w:val="0"/>
      <w:marBottom w:val="0"/>
      <w:divBdr>
        <w:top w:val="none" w:sz="0" w:space="0" w:color="auto"/>
        <w:left w:val="none" w:sz="0" w:space="0" w:color="auto"/>
        <w:bottom w:val="none" w:sz="0" w:space="0" w:color="auto"/>
        <w:right w:val="none" w:sz="0" w:space="0" w:color="auto"/>
      </w:divBdr>
    </w:div>
    <w:div w:id="1230073944">
      <w:bodyDiv w:val="1"/>
      <w:marLeft w:val="0"/>
      <w:marRight w:val="0"/>
      <w:marTop w:val="0"/>
      <w:marBottom w:val="0"/>
      <w:divBdr>
        <w:top w:val="none" w:sz="0" w:space="0" w:color="auto"/>
        <w:left w:val="none" w:sz="0" w:space="0" w:color="auto"/>
        <w:bottom w:val="none" w:sz="0" w:space="0" w:color="auto"/>
        <w:right w:val="none" w:sz="0" w:space="0" w:color="auto"/>
      </w:divBdr>
    </w:div>
    <w:div w:id="130115370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03021435">
      <w:bodyDiv w:val="1"/>
      <w:marLeft w:val="0"/>
      <w:marRight w:val="0"/>
      <w:marTop w:val="0"/>
      <w:marBottom w:val="0"/>
      <w:divBdr>
        <w:top w:val="none" w:sz="0" w:space="0" w:color="auto"/>
        <w:left w:val="none" w:sz="0" w:space="0" w:color="auto"/>
        <w:bottom w:val="none" w:sz="0" w:space="0" w:color="auto"/>
        <w:right w:val="none" w:sz="0" w:space="0" w:color="auto"/>
      </w:divBdr>
    </w:div>
    <w:div w:id="1534730280">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49675657">
      <w:bodyDiv w:val="1"/>
      <w:marLeft w:val="0"/>
      <w:marRight w:val="0"/>
      <w:marTop w:val="0"/>
      <w:marBottom w:val="0"/>
      <w:divBdr>
        <w:top w:val="none" w:sz="0" w:space="0" w:color="auto"/>
        <w:left w:val="none" w:sz="0" w:space="0" w:color="auto"/>
        <w:bottom w:val="none" w:sz="0" w:space="0" w:color="auto"/>
        <w:right w:val="none" w:sz="0" w:space="0" w:color="auto"/>
      </w:divBdr>
    </w:div>
    <w:div w:id="1684626921">
      <w:bodyDiv w:val="1"/>
      <w:marLeft w:val="0"/>
      <w:marRight w:val="0"/>
      <w:marTop w:val="0"/>
      <w:marBottom w:val="0"/>
      <w:divBdr>
        <w:top w:val="none" w:sz="0" w:space="0" w:color="auto"/>
        <w:left w:val="none" w:sz="0" w:space="0" w:color="auto"/>
        <w:bottom w:val="none" w:sz="0" w:space="0" w:color="auto"/>
        <w:right w:val="none" w:sz="0" w:space="0" w:color="auto"/>
      </w:divBdr>
    </w:div>
    <w:div w:id="177886563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4262700">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356809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8/152/&#1740;&#1578;&#1605;&#1740;&#1586;" TargetMode="External"/><Relationship Id="rId2" Type="http://schemas.openxmlformats.org/officeDocument/2006/relationships/hyperlink" Target="http://lib.eshia.ir/10083/8/152/&#1578;&#1590;&#1593;" TargetMode="External"/><Relationship Id="rId1" Type="http://schemas.openxmlformats.org/officeDocument/2006/relationships/hyperlink" Target="http://lib.eshia.ir/10054/1/537/&#1578;&#1585;&#1705;&#1577;" TargetMode="External"/><Relationship Id="rId4" Type="http://schemas.openxmlformats.org/officeDocument/2006/relationships/hyperlink" Target="http://lib.eshia.ir/11015/1/11/&#1575;&#1604;&#1602;&#1576;&#15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6CCED-E834-45B1-AE49-CB284EED6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2498</TotalTime>
  <Pages>7</Pages>
  <Words>1622</Words>
  <Characters>9251</Characters>
  <Application>Microsoft Office Word</Application>
  <DocSecurity>0</DocSecurity>
  <Lines>77</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10852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126</cp:revision>
  <cp:lastPrinted>2021-05-28T09:00:00Z</cp:lastPrinted>
  <dcterms:created xsi:type="dcterms:W3CDTF">2021-05-25T10:12:00Z</dcterms:created>
  <dcterms:modified xsi:type="dcterms:W3CDTF">2021-05-31T04:33:00Z</dcterms:modified>
  <cp:contentStatus>ویرایش 2.5</cp:contentStatus>
  <cp:version>2.7</cp:version>
</cp:coreProperties>
</file>