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5E" w:rsidRDefault="0092265E" w:rsidP="0092265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hint="cs"/>
          <w:b/>
          <w:bCs/>
          <w:color w:val="632423"/>
          <w:sz w:val="24"/>
          <w:szCs w:val="24"/>
          <w:shd w:val="clear" w:color="auto" w:fill="FFFFFF"/>
          <w:rtl/>
        </w:rPr>
        <w:t>درس خارج فقه استاد سید محمد جواد شبیری</w:t>
      </w:r>
    </w:p>
    <w:p w:rsidR="0092265E" w:rsidRDefault="0092265E" w:rsidP="0092265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جلسه34</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 2</w:t>
      </w:r>
      <w:r>
        <w:rPr>
          <w:rFonts w:ascii="IRANSans" w:hAnsi="IRANSans" w:cs="IRANSans" w:hint="cs"/>
          <w:b/>
          <w:bCs/>
          <w:color w:val="0101FF"/>
          <w:sz w:val="24"/>
          <w:szCs w:val="24"/>
          <w:shd w:val="clear" w:color="auto" w:fill="FFFFFF"/>
          <w:rtl/>
        </w:rPr>
        <w:t>6</w:t>
      </w:r>
      <w:r>
        <w:rPr>
          <w:rFonts w:ascii="IRANSans" w:hAnsi="IRANSans" w:cs="IRANSans" w:hint="cs"/>
          <w:b/>
          <w:bCs/>
          <w:color w:val="0101FF"/>
          <w:sz w:val="24"/>
          <w:szCs w:val="24"/>
          <w:shd w:val="clear" w:color="auto" w:fill="FFFFFF"/>
          <w:rtl/>
        </w:rPr>
        <w:t xml:space="preserve"> /11/ 1399 </w:t>
      </w:r>
      <w:r w:rsidRPr="0096794A">
        <w:rPr>
          <w:rFonts w:ascii="IRANSans" w:hAnsi="IRANSans" w:cs="IRANSans" w:hint="cs"/>
          <w:b/>
          <w:bCs/>
          <w:color w:val="0101FF"/>
          <w:sz w:val="24"/>
          <w:szCs w:val="24"/>
          <w:shd w:val="clear" w:color="auto" w:fill="FFFFFF"/>
          <w:rtl/>
        </w:rPr>
        <w:t>فصل</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پنجم</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کتاب</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 xml:space="preserve">العدد </w:t>
      </w:r>
      <w:r>
        <w:rPr>
          <w:rFonts w:ascii="IRANSans" w:hAnsi="IRANSans" w:cs="IRANSans" w:hint="cs"/>
          <w:b/>
          <w:bCs/>
          <w:color w:val="0101FF"/>
          <w:sz w:val="24"/>
          <w:szCs w:val="24"/>
          <w:shd w:val="clear" w:color="auto" w:fill="FFFFFF"/>
          <w:rtl/>
        </w:rPr>
        <w:t>/ تکمله عروه /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DE5B36" w:rsidP="00665515">
      <w:pPr>
        <w:pBdr>
          <w:bottom w:val="double" w:sz="6" w:space="1" w:color="auto"/>
        </w:pBdr>
        <w:jc w:val="both"/>
        <w:rPr>
          <w:rtl/>
        </w:rPr>
      </w:pPr>
      <w:r>
        <w:rPr>
          <w:rFonts w:hint="cs"/>
          <w:rtl/>
        </w:rPr>
        <w:t>یکی از مباحثی که نیازمند بررسی بیش تر بود</w:t>
      </w:r>
      <w:r w:rsidR="00063651">
        <w:rPr>
          <w:rFonts w:hint="cs"/>
          <w:rtl/>
        </w:rPr>
        <w:t xml:space="preserve"> و در مورد آن بحث نکردیم</w:t>
      </w:r>
      <w:r>
        <w:rPr>
          <w:rFonts w:hint="cs"/>
          <w:rtl/>
        </w:rPr>
        <w:t>، عده‌ی «متمتع بها»ی حامل است</w:t>
      </w:r>
      <w:r w:rsidR="00063651">
        <w:rPr>
          <w:rFonts w:hint="cs"/>
          <w:rtl/>
        </w:rPr>
        <w:t>.</w:t>
      </w:r>
    </w:p>
    <w:p w:rsidR="00247D2F" w:rsidRPr="003A6148" w:rsidRDefault="00247D2F" w:rsidP="00665515">
      <w:pPr>
        <w:pBdr>
          <w:bottom w:val="double" w:sz="6" w:space="1" w:color="auto"/>
        </w:pBdr>
        <w:jc w:val="both"/>
      </w:pPr>
    </w:p>
    <w:p w:rsidR="008F5B4D" w:rsidRDefault="008F5B4D" w:rsidP="00665515">
      <w:pPr>
        <w:jc w:val="both"/>
      </w:pPr>
    </w:p>
    <w:p w:rsidR="003E6650" w:rsidRDefault="003C39AC" w:rsidP="003C39AC">
      <w:pPr>
        <w:pStyle w:val="Heading1"/>
        <w:rPr>
          <w:rtl/>
        </w:rPr>
      </w:pPr>
      <w:bookmarkStart w:id="1" w:name="_Toc64275947"/>
      <w:bookmarkStart w:id="2" w:name="_Toc64277317"/>
      <w:r>
        <w:rPr>
          <w:rFonts w:hint="cs"/>
          <w:rtl/>
        </w:rPr>
        <w:t xml:space="preserve">عده‌ی </w:t>
      </w:r>
      <w:r w:rsidR="00937576">
        <w:rPr>
          <w:rFonts w:hint="cs"/>
          <w:rtl/>
        </w:rPr>
        <w:t>حامل</w:t>
      </w:r>
      <w:bookmarkEnd w:id="1"/>
      <w:r w:rsidRPr="003C39AC">
        <w:rPr>
          <w:rFonts w:hint="cs"/>
          <w:rtl/>
        </w:rPr>
        <w:t xml:space="preserve"> </w:t>
      </w:r>
      <w:r>
        <w:rPr>
          <w:rFonts w:hint="cs"/>
          <w:rtl/>
        </w:rPr>
        <w:t>متمتع بها</w:t>
      </w:r>
      <w:bookmarkEnd w:id="2"/>
    </w:p>
    <w:p w:rsidR="00937576" w:rsidRDefault="005508ED" w:rsidP="00665515">
      <w:pPr>
        <w:jc w:val="both"/>
        <w:rPr>
          <w:rtl/>
        </w:rPr>
      </w:pPr>
      <w:r>
        <w:rPr>
          <w:rFonts w:hint="cs"/>
          <w:rtl/>
        </w:rPr>
        <w:t>ابتدا به کلام فقها می پردازیم.</w:t>
      </w:r>
    </w:p>
    <w:p w:rsidR="005508ED" w:rsidRDefault="005508ED" w:rsidP="005508ED">
      <w:pPr>
        <w:pStyle w:val="Heading2"/>
        <w:rPr>
          <w:rtl/>
        </w:rPr>
      </w:pPr>
      <w:bookmarkStart w:id="3" w:name="_Toc64275948"/>
      <w:bookmarkStart w:id="4" w:name="_Toc64277318"/>
      <w:r>
        <w:rPr>
          <w:rFonts w:hint="cs"/>
          <w:rtl/>
        </w:rPr>
        <w:t>کلام مرحوم آقای حکیم</w:t>
      </w:r>
      <w:bookmarkEnd w:id="3"/>
      <w:bookmarkEnd w:id="4"/>
    </w:p>
    <w:p w:rsidR="005508ED" w:rsidRPr="005508ED" w:rsidRDefault="005508ED" w:rsidP="005508ED">
      <w:pPr>
        <w:jc w:val="both"/>
        <w:rPr>
          <w:color w:val="000080"/>
          <w:rtl/>
        </w:rPr>
      </w:pPr>
      <w:r w:rsidRPr="005508ED">
        <w:rPr>
          <w:rFonts w:hint="cs"/>
          <w:color w:val="000080"/>
          <w:rtl/>
        </w:rPr>
        <w:t xml:space="preserve">(مسألة 1) تعتد الحائل بعد الأجل بحيضتين كاملتين و لا يكفي فيهما المسمى أو في إحداهما فإن كانت في سن من تحيض و لا تحيض فبخمسة و أربعين يوما و في الموت بأربعة أشهر و عشرة أيام ان كانت حرة، </w:t>
      </w:r>
      <w:r w:rsidRPr="005F7C89">
        <w:rPr>
          <w:rFonts w:hint="cs"/>
          <w:color w:val="000080"/>
          <w:u w:val="single"/>
          <w:rtl/>
        </w:rPr>
        <w:t>و تعتد الحامل بأبعد الأجلين من المدة و وضع الحمل ان كان الاعتداد للوفاة؛ و ان كان لغيرها فالظاهر ان عدتها وضع الحمل و ان كان الأحوط انتظار أبعد الأجلين منه و من المدة</w:t>
      </w:r>
      <w:r w:rsidRPr="005508ED">
        <w:rPr>
          <w:rFonts w:hint="cs"/>
          <w:color w:val="000080"/>
          <w:rtl/>
        </w:rPr>
        <w:t>.</w:t>
      </w:r>
      <w:r>
        <w:rPr>
          <w:rStyle w:val="FootnoteReference"/>
          <w:color w:val="000080"/>
          <w:rtl/>
        </w:rPr>
        <w:footnoteReference w:id="1"/>
      </w:r>
    </w:p>
    <w:p w:rsidR="005508ED" w:rsidRDefault="005F7C89" w:rsidP="002F3D47">
      <w:pPr>
        <w:jc w:val="both"/>
        <w:rPr>
          <w:rtl/>
        </w:rPr>
      </w:pPr>
      <w:r>
        <w:rPr>
          <w:rFonts w:hint="cs"/>
          <w:rtl/>
        </w:rPr>
        <w:t>مرحوم آقای حکیم در مورد زنی که متعه شده و حامله است، بین عده‌ی وفات و</w:t>
      </w:r>
      <w:r w:rsidR="007235F2">
        <w:rPr>
          <w:rFonts w:hint="cs"/>
          <w:rtl/>
        </w:rPr>
        <w:t xml:space="preserve"> انقضاء اجل فرق گذاشته است. در عده‌ی وفات به ابعد الاجلین و در غیر آن به وضع حمل قائل شده است.</w:t>
      </w:r>
    </w:p>
    <w:p w:rsidR="007235F2" w:rsidRDefault="007235F2" w:rsidP="0019507D">
      <w:pPr>
        <w:pStyle w:val="Heading2"/>
        <w:rPr>
          <w:rtl/>
        </w:rPr>
      </w:pPr>
      <w:bookmarkStart w:id="5" w:name="_Toc64275949"/>
      <w:bookmarkStart w:id="6" w:name="_Toc64277319"/>
      <w:r>
        <w:rPr>
          <w:rFonts w:hint="cs"/>
          <w:rtl/>
        </w:rPr>
        <w:t>کلام مرحوم آقای خویی</w:t>
      </w:r>
      <w:r w:rsidR="008E4454">
        <w:rPr>
          <w:rFonts w:hint="cs"/>
          <w:rtl/>
        </w:rPr>
        <w:t xml:space="preserve"> در منهاج الصالحین</w:t>
      </w:r>
      <w:bookmarkEnd w:id="5"/>
      <w:bookmarkEnd w:id="6"/>
    </w:p>
    <w:p w:rsidR="0019507D" w:rsidRPr="0019507D" w:rsidRDefault="0019507D" w:rsidP="0019507D">
      <w:pPr>
        <w:jc w:val="both"/>
        <w:rPr>
          <w:color w:val="000080"/>
        </w:rPr>
      </w:pPr>
      <w:r w:rsidRPr="0019507D">
        <w:rPr>
          <w:rFonts w:hint="cs"/>
          <w:color w:val="000080"/>
          <w:rtl/>
        </w:rPr>
        <w:t>و تعتد الحامل بأبعد الأجلين من المدة و وضع الحمل إن كان الاعتداد للوفاة، بل لغيرها أيضا على الأحوط.</w:t>
      </w:r>
      <w:r>
        <w:rPr>
          <w:rStyle w:val="FootnoteReference"/>
          <w:color w:val="000080"/>
          <w:rtl/>
        </w:rPr>
        <w:footnoteReference w:id="2"/>
      </w:r>
    </w:p>
    <w:p w:rsidR="00937576" w:rsidRDefault="0019507D" w:rsidP="00665515">
      <w:pPr>
        <w:jc w:val="both"/>
        <w:rPr>
          <w:rtl/>
        </w:rPr>
      </w:pPr>
      <w:r>
        <w:rPr>
          <w:rFonts w:hint="cs"/>
          <w:rtl/>
        </w:rPr>
        <w:t>مرحوم آقای خویی در غیر عده‌ی وفات احتیاط کرده و به ابعد الاجلین قائل شده است.</w:t>
      </w:r>
    </w:p>
    <w:p w:rsidR="0007213D" w:rsidRDefault="0007213D" w:rsidP="00665515">
      <w:pPr>
        <w:jc w:val="both"/>
        <w:rPr>
          <w:rtl/>
        </w:rPr>
      </w:pPr>
      <w:r>
        <w:rPr>
          <w:rFonts w:hint="cs"/>
          <w:rtl/>
        </w:rPr>
        <w:t xml:space="preserve">آقای وحید در حاشیه، ذیل علی الاحوط فرموده است: </w:t>
      </w:r>
      <w:r w:rsidRPr="00A028FF">
        <w:rPr>
          <w:rFonts w:hint="cs"/>
          <w:color w:val="000080"/>
          <w:rtl/>
        </w:rPr>
        <w:t>استحبابا</w:t>
      </w:r>
    </w:p>
    <w:p w:rsidR="00FB673E" w:rsidRDefault="00FB673E" w:rsidP="00FB673E">
      <w:pPr>
        <w:pStyle w:val="Heading2"/>
        <w:rPr>
          <w:rtl/>
        </w:rPr>
      </w:pPr>
      <w:bookmarkStart w:id="7" w:name="_Toc64275950"/>
      <w:bookmarkStart w:id="8" w:name="_Toc64277320"/>
      <w:r>
        <w:rPr>
          <w:rFonts w:hint="cs"/>
          <w:rtl/>
        </w:rPr>
        <w:lastRenderedPageBreak/>
        <w:t xml:space="preserve">کلام </w:t>
      </w:r>
      <w:r w:rsidR="008E4454">
        <w:rPr>
          <w:rFonts w:hint="cs"/>
          <w:rtl/>
        </w:rPr>
        <w:t>مرحوم آقای خویی در المسائل المنتخبة</w:t>
      </w:r>
      <w:bookmarkEnd w:id="7"/>
      <w:bookmarkEnd w:id="8"/>
    </w:p>
    <w:p w:rsidR="00FB673E" w:rsidRPr="00FB673E" w:rsidRDefault="00FB673E" w:rsidP="00FB673E">
      <w:pPr>
        <w:jc w:val="both"/>
        <w:rPr>
          <w:color w:val="000080"/>
          <w:rtl/>
        </w:rPr>
      </w:pPr>
      <w:r w:rsidRPr="00FB673E">
        <w:rPr>
          <w:rFonts w:hint="cs"/>
          <w:color w:val="000080"/>
          <w:rtl/>
        </w:rPr>
        <w:t xml:space="preserve">(مسألة 1087): عدة المتمتع بها إذا كانت بالغة مدخولا بها غير يائسة حيضتان كاملتان، و إن كانت لا تحيض لمرض و نحوه فعدتها خمسة و أربعون يوما، </w:t>
      </w:r>
      <w:r w:rsidRPr="00A85CE5">
        <w:rPr>
          <w:rFonts w:hint="cs"/>
          <w:color w:val="000080"/>
          <w:u w:val="single"/>
          <w:rtl/>
        </w:rPr>
        <w:t>و عدة الحامل المتمتع بها أبعد الأجلين من وضع حملها، و من مضي خمسة و أربعين يوما على الأحوط</w:t>
      </w:r>
      <w:r w:rsidRPr="00FB673E">
        <w:rPr>
          <w:rFonts w:hint="cs"/>
          <w:color w:val="000080"/>
          <w:rtl/>
        </w:rPr>
        <w:t>.</w:t>
      </w:r>
      <w:r>
        <w:rPr>
          <w:rStyle w:val="FootnoteReference"/>
          <w:color w:val="000080"/>
          <w:rtl/>
        </w:rPr>
        <w:footnoteReference w:id="3"/>
      </w:r>
    </w:p>
    <w:p w:rsidR="00937576" w:rsidRDefault="00A85CE5" w:rsidP="008A0033">
      <w:pPr>
        <w:jc w:val="both"/>
        <w:rPr>
          <w:rtl/>
        </w:rPr>
      </w:pPr>
      <w:r w:rsidRPr="00A85CE5">
        <w:rPr>
          <w:rFonts w:hint="cs"/>
          <w:rtl/>
        </w:rPr>
        <w:t xml:space="preserve">مراد از </w:t>
      </w:r>
      <w:r w:rsidRPr="00A85CE5">
        <w:rPr>
          <w:rFonts w:hint="cs"/>
          <w:color w:val="000080"/>
          <w:rtl/>
        </w:rPr>
        <w:t>عدة الحامل المتمتع بها</w:t>
      </w:r>
      <w:r w:rsidRPr="00A85CE5">
        <w:rPr>
          <w:rFonts w:hint="cs"/>
          <w:rtl/>
        </w:rPr>
        <w:t xml:space="preserve"> </w:t>
      </w:r>
      <w:r>
        <w:rPr>
          <w:rFonts w:hint="cs"/>
          <w:rtl/>
        </w:rPr>
        <w:t>عده‌ی غیر وفات می باشد</w:t>
      </w:r>
      <w:r w:rsidR="008A0033">
        <w:rPr>
          <w:rFonts w:hint="cs"/>
          <w:rtl/>
        </w:rPr>
        <w:t xml:space="preserve"> و عده‌ی وفات را در مساله‌ی 1089 بحث می کند:</w:t>
      </w:r>
    </w:p>
    <w:p w:rsidR="008A0033" w:rsidRPr="00634B68" w:rsidRDefault="008A0033" w:rsidP="008A0033">
      <w:pPr>
        <w:jc w:val="both"/>
        <w:rPr>
          <w:color w:val="000080"/>
          <w:rtl/>
        </w:rPr>
      </w:pPr>
      <w:r w:rsidRPr="00634B68">
        <w:rPr>
          <w:rFonts w:hint="cs"/>
          <w:color w:val="000080"/>
          <w:rtl/>
        </w:rPr>
        <w:t>(مسألة 1089): إذا توفى الزوج وجبت على زوجته العدة مهما كان عمر الزوجة. فتعتد الصغيرة و البالغة و اليائسة على السواء، من دون فرق بين الزوجة المنقطعة، و الدائمة، و المدخول بها، و غيرها. و يختلف مقدار العدة تبعا لوجود الحمل و عدمه، فإذا لم تكن الزوجة حاملا اعتدت أربعة أشهر و عشرة أيام، و إذا كانت حاملا كانت عدتها أبعد الأجلين من هذا المدة و وضع الحمل</w:t>
      </w:r>
      <w:r w:rsidR="00634B68">
        <w:rPr>
          <w:rStyle w:val="FootnoteReference"/>
          <w:color w:val="000080"/>
          <w:rtl/>
        </w:rPr>
        <w:footnoteReference w:id="4"/>
      </w:r>
    </w:p>
    <w:p w:rsidR="008A0033" w:rsidRDefault="00843ACA" w:rsidP="008A0033">
      <w:pPr>
        <w:jc w:val="both"/>
        <w:rPr>
          <w:rtl/>
        </w:rPr>
      </w:pPr>
      <w:r>
        <w:rPr>
          <w:rFonts w:hint="cs"/>
          <w:rtl/>
        </w:rPr>
        <w:t>عین عبارت مرحوم آقای خویی را مرحوم آقای تبریزی و مرحوم آقای روحانی در ال</w:t>
      </w:r>
      <w:r w:rsidR="00DB497D">
        <w:rPr>
          <w:rFonts w:hint="cs"/>
          <w:rtl/>
        </w:rPr>
        <w:t>مسائل المنتخبة خودشان آورده اند و قائل به احتیاط شده اند؛ اما برخی دیگر کلام مرحوم آقای خویی را نپذیرفته اند.</w:t>
      </w:r>
    </w:p>
    <w:p w:rsidR="00DB497D" w:rsidRDefault="00DB497D" w:rsidP="00A028FF">
      <w:pPr>
        <w:pStyle w:val="Heading2"/>
        <w:rPr>
          <w:rtl/>
        </w:rPr>
      </w:pPr>
      <w:bookmarkStart w:id="9" w:name="_Toc64275951"/>
      <w:bookmarkStart w:id="10" w:name="_Toc64277321"/>
      <w:r>
        <w:rPr>
          <w:rFonts w:hint="cs"/>
          <w:rtl/>
        </w:rPr>
        <w:t>کلام آقای سیستانی</w:t>
      </w:r>
      <w:bookmarkEnd w:id="9"/>
      <w:bookmarkEnd w:id="10"/>
    </w:p>
    <w:p w:rsidR="00DB497D" w:rsidRPr="007F204E" w:rsidRDefault="00DB497D" w:rsidP="00DB497D">
      <w:pPr>
        <w:jc w:val="both"/>
        <w:rPr>
          <w:color w:val="000080"/>
        </w:rPr>
      </w:pPr>
      <w:r w:rsidRPr="007F204E">
        <w:rPr>
          <w:rFonts w:hint="cs"/>
          <w:color w:val="000080"/>
          <w:rtl/>
        </w:rPr>
        <w:t>عدة الحامل المتمتع بها وضع حملها.</w:t>
      </w:r>
      <w:r w:rsidR="007F204E">
        <w:rPr>
          <w:rStyle w:val="FootnoteReference"/>
          <w:color w:val="000080"/>
          <w:rtl/>
        </w:rPr>
        <w:footnoteReference w:id="5"/>
      </w:r>
    </w:p>
    <w:p w:rsidR="00DB497D" w:rsidRDefault="004C6E37" w:rsidP="008A0033">
      <w:pPr>
        <w:jc w:val="both"/>
        <w:rPr>
          <w:rtl/>
        </w:rPr>
      </w:pPr>
      <w:r>
        <w:rPr>
          <w:rFonts w:hint="cs"/>
          <w:rtl/>
        </w:rPr>
        <w:t>این کلام آقای سیستانی ناظر به عده‌ی غیر وفات است؛ زیرا در مورد عده‌ی وفات در مساله‌ی 1093 بحث کرده است.</w:t>
      </w:r>
    </w:p>
    <w:p w:rsidR="00AA6D56" w:rsidRDefault="00AA6D56" w:rsidP="008A0033">
      <w:pPr>
        <w:jc w:val="both"/>
        <w:rPr>
          <w:rtl/>
        </w:rPr>
      </w:pPr>
      <w:r>
        <w:rPr>
          <w:rFonts w:hint="cs"/>
          <w:rtl/>
        </w:rPr>
        <w:t>در منهاج الصالحین نیز عده‌ی حامل متمتع بها را به وضع حمل دانسته است:</w:t>
      </w:r>
    </w:p>
    <w:p w:rsidR="00AA6D56" w:rsidRPr="00AA6D56" w:rsidRDefault="00AA6D56" w:rsidP="00AA6D56">
      <w:pPr>
        <w:jc w:val="both"/>
        <w:rPr>
          <w:color w:val="000080"/>
        </w:rPr>
      </w:pPr>
      <w:r w:rsidRPr="00AA6D56">
        <w:rPr>
          <w:rFonts w:hint="cs"/>
          <w:color w:val="000080"/>
          <w:rtl/>
        </w:rPr>
        <w:t>مسألة 574: عدّة المتمتع بها في الحامل مدة حملها</w:t>
      </w:r>
      <w:r w:rsidRPr="00AA6D56">
        <w:rPr>
          <w:rFonts w:hint="cs"/>
          <w:color w:val="000080"/>
        </w:rPr>
        <w:t>‌</w:t>
      </w:r>
      <w:r>
        <w:rPr>
          <w:rStyle w:val="FootnoteReference"/>
          <w:color w:val="000080"/>
        </w:rPr>
        <w:footnoteReference w:id="6"/>
      </w:r>
    </w:p>
    <w:p w:rsidR="00AA6D56" w:rsidRDefault="00A028FF" w:rsidP="00A028FF">
      <w:pPr>
        <w:pStyle w:val="Heading2"/>
        <w:rPr>
          <w:rtl/>
        </w:rPr>
      </w:pPr>
      <w:bookmarkStart w:id="11" w:name="_Toc64275952"/>
      <w:bookmarkStart w:id="12" w:name="_Toc64277322"/>
      <w:r>
        <w:rPr>
          <w:rFonts w:hint="cs"/>
          <w:rtl/>
        </w:rPr>
        <w:t>کلام آقای سید محمد سعید حکیم</w:t>
      </w:r>
      <w:bookmarkEnd w:id="11"/>
      <w:bookmarkEnd w:id="12"/>
    </w:p>
    <w:p w:rsidR="00A028FF" w:rsidRPr="00A028FF" w:rsidRDefault="00A028FF" w:rsidP="00A028FF">
      <w:pPr>
        <w:jc w:val="both"/>
        <w:rPr>
          <w:color w:val="000080"/>
        </w:rPr>
      </w:pPr>
      <w:r w:rsidRPr="00A028FF">
        <w:rPr>
          <w:rFonts w:hint="cs"/>
          <w:color w:val="000080"/>
          <w:rtl/>
        </w:rPr>
        <w:t>(مسألة 78): الأحوط وجوبا في المتمتع بها إذا كانت حاملا أن تعتد بأبعد الأجلين من وضع الحمل و عدتها إذا لم تكن حاملا.</w:t>
      </w:r>
      <w:r>
        <w:rPr>
          <w:rStyle w:val="FootnoteReference"/>
          <w:color w:val="000080"/>
          <w:rtl/>
        </w:rPr>
        <w:footnoteReference w:id="7"/>
      </w:r>
    </w:p>
    <w:p w:rsidR="00A028FF" w:rsidRPr="00A85CE5" w:rsidRDefault="009B3D8B" w:rsidP="008A0033">
      <w:pPr>
        <w:jc w:val="both"/>
        <w:rPr>
          <w:rtl/>
        </w:rPr>
      </w:pPr>
      <w:r>
        <w:rPr>
          <w:rFonts w:hint="cs"/>
          <w:rtl/>
        </w:rPr>
        <w:lastRenderedPageBreak/>
        <w:t xml:space="preserve">مرحوم آقای خویی عده‌ی حامل متمتع بها را ابعد الاجلین از وضع حمل و چهل و پنج روز بیان کرد؛ اما آقای سید محمد سعید حکیم چنین تعبیری دارد: </w:t>
      </w:r>
      <w:r w:rsidRPr="00A028FF">
        <w:rPr>
          <w:rFonts w:hint="cs"/>
          <w:color w:val="000080"/>
          <w:rtl/>
        </w:rPr>
        <w:t>أبعد الأجلين من وضع الحمل و عدتها إذا لم تكن حاملا</w:t>
      </w:r>
    </w:p>
    <w:p w:rsidR="001A1EA5" w:rsidRDefault="005B5FDC" w:rsidP="00665515">
      <w:pPr>
        <w:jc w:val="both"/>
        <w:rPr>
          <w:rtl/>
        </w:rPr>
      </w:pPr>
      <w:r>
        <w:rPr>
          <w:rFonts w:hint="cs"/>
          <w:rtl/>
        </w:rPr>
        <w:t>فتوای ایشان</w:t>
      </w:r>
      <w:r w:rsidR="00CF2C58">
        <w:rPr>
          <w:rFonts w:hint="cs"/>
          <w:rtl/>
        </w:rPr>
        <w:t xml:space="preserve"> در عده‌ی متعه</w:t>
      </w:r>
      <w:r>
        <w:rPr>
          <w:rFonts w:hint="cs"/>
          <w:rtl/>
        </w:rPr>
        <w:t xml:space="preserve"> با سایر فقها متفاوت است:</w:t>
      </w:r>
    </w:p>
    <w:p w:rsidR="005B5FDC" w:rsidRPr="005B5FDC" w:rsidRDefault="005B5FDC" w:rsidP="005B5FDC">
      <w:pPr>
        <w:jc w:val="both"/>
        <w:rPr>
          <w:color w:val="000080"/>
        </w:rPr>
      </w:pPr>
      <w:r w:rsidRPr="005B5FDC">
        <w:rPr>
          <w:rFonts w:hint="cs"/>
          <w:color w:val="000080"/>
          <w:rtl/>
        </w:rPr>
        <w:t xml:space="preserve">(مسألة 65): عدة المتمتع بها التي تحيض </w:t>
      </w:r>
      <w:r w:rsidRPr="0003041A">
        <w:rPr>
          <w:rFonts w:hint="cs"/>
          <w:color w:val="000080"/>
          <w:u w:val="single"/>
          <w:rtl/>
        </w:rPr>
        <w:t>طهران</w:t>
      </w:r>
      <w:r w:rsidRPr="005B5FDC">
        <w:rPr>
          <w:rFonts w:hint="cs"/>
          <w:color w:val="000080"/>
          <w:rtl/>
        </w:rPr>
        <w:t>، فإن خرجت عن الزوجية- بانتهاء المدة أو هبتها- في طهر كان عليها إكماله و إكماله الطهر الثاني فتخرج عن العدة بالحيضة الثانية، و إن خرجت عنها في آخر الطهر أو في أثناء الحيض كان عليها إكمال طهرين، فتخرج عن العدة بالثالثة.</w:t>
      </w:r>
      <w:r>
        <w:rPr>
          <w:rStyle w:val="FootnoteReference"/>
          <w:color w:val="000080"/>
          <w:rtl/>
        </w:rPr>
        <w:footnoteReference w:id="8"/>
      </w:r>
    </w:p>
    <w:p w:rsidR="0003041A" w:rsidRPr="0003041A" w:rsidRDefault="0003041A" w:rsidP="0003041A">
      <w:pPr>
        <w:jc w:val="both"/>
        <w:rPr>
          <w:color w:val="000080"/>
        </w:rPr>
      </w:pPr>
      <w:r w:rsidRPr="0003041A">
        <w:rPr>
          <w:rFonts w:hint="cs"/>
          <w:color w:val="000080"/>
          <w:rtl/>
        </w:rPr>
        <w:t xml:space="preserve">(مسألة 67): عدة المتمتع بها إذا كانت مسترابة </w:t>
      </w:r>
      <w:r w:rsidRPr="008960DF">
        <w:rPr>
          <w:rFonts w:hint="cs"/>
          <w:color w:val="000080"/>
          <w:u w:val="single"/>
          <w:rtl/>
        </w:rPr>
        <w:t>شهر و نصف</w:t>
      </w:r>
      <w:r w:rsidRPr="0003041A">
        <w:rPr>
          <w:rFonts w:hint="cs"/>
          <w:color w:val="000080"/>
          <w:rtl/>
        </w:rPr>
        <w:t>.</w:t>
      </w:r>
      <w:r>
        <w:rPr>
          <w:rStyle w:val="FootnoteReference"/>
          <w:color w:val="000080"/>
          <w:rtl/>
        </w:rPr>
        <w:footnoteReference w:id="9"/>
      </w:r>
    </w:p>
    <w:p w:rsidR="0003041A" w:rsidRPr="0003041A" w:rsidRDefault="0003041A" w:rsidP="0003041A">
      <w:pPr>
        <w:jc w:val="both"/>
        <w:rPr>
          <w:color w:val="000080"/>
        </w:rPr>
      </w:pPr>
      <w:r w:rsidRPr="0003041A">
        <w:rPr>
          <w:rFonts w:hint="cs"/>
          <w:color w:val="000080"/>
          <w:rtl/>
        </w:rPr>
        <w:t>(مسألة 70): من كانت عدتها طهرين أو شهرا و نصفا- كالمتمتع بها و الأمة المطلقة- إذا كانت تحيض كل ثلاثة أشهر أو أكثر أو أقل فالظاهر أن عدتها طهران، و لا تعتد بشهر و نصف أبيض لو سبق لها قبل إكمال الطهرين.</w:t>
      </w:r>
      <w:r>
        <w:rPr>
          <w:rStyle w:val="FootnoteReference"/>
          <w:color w:val="000080"/>
          <w:rtl/>
        </w:rPr>
        <w:footnoteReference w:id="10"/>
      </w:r>
    </w:p>
    <w:p w:rsidR="005B5FDC" w:rsidRDefault="008960DF" w:rsidP="00665515">
      <w:pPr>
        <w:jc w:val="both"/>
        <w:rPr>
          <w:rtl/>
        </w:rPr>
      </w:pPr>
      <w:r>
        <w:rPr>
          <w:rFonts w:hint="cs"/>
          <w:rtl/>
        </w:rPr>
        <w:t>پس از نقل کلام فقها به بررسی مساله می پردازیم. دو بحث</w:t>
      </w:r>
      <w:r w:rsidR="00FF48A1">
        <w:rPr>
          <w:rFonts w:hint="cs"/>
          <w:rtl/>
        </w:rPr>
        <w:t xml:space="preserve"> در این مساله</w:t>
      </w:r>
      <w:r>
        <w:rPr>
          <w:rFonts w:hint="cs"/>
          <w:rtl/>
        </w:rPr>
        <w:t xml:space="preserve"> وجود دارد:</w:t>
      </w:r>
    </w:p>
    <w:p w:rsidR="008960DF" w:rsidRDefault="008960DF" w:rsidP="008960DF">
      <w:pPr>
        <w:pStyle w:val="ListParagraph"/>
        <w:numPr>
          <w:ilvl w:val="0"/>
          <w:numId w:val="16"/>
        </w:numPr>
        <w:jc w:val="both"/>
      </w:pPr>
      <w:r>
        <w:rPr>
          <w:rFonts w:hint="cs"/>
          <w:rtl/>
        </w:rPr>
        <w:t>عده‌ی حامل متمتع بها در غیر وفات</w:t>
      </w:r>
    </w:p>
    <w:p w:rsidR="008960DF" w:rsidRDefault="008960DF" w:rsidP="008960DF">
      <w:pPr>
        <w:pStyle w:val="ListParagraph"/>
        <w:numPr>
          <w:ilvl w:val="0"/>
          <w:numId w:val="16"/>
        </w:numPr>
        <w:jc w:val="both"/>
      </w:pPr>
      <w:r>
        <w:rPr>
          <w:rFonts w:hint="cs"/>
          <w:rtl/>
        </w:rPr>
        <w:t>عده‌ی حامل متمتع بها در وفات</w:t>
      </w:r>
    </w:p>
    <w:p w:rsidR="00665515" w:rsidRDefault="00EF4FD8" w:rsidP="00EF4FD8">
      <w:pPr>
        <w:pStyle w:val="Heading1"/>
      </w:pPr>
      <w:bookmarkStart w:id="13" w:name="_Toc64275953"/>
      <w:bookmarkStart w:id="14" w:name="_Toc64277323"/>
      <w:r>
        <w:rPr>
          <w:rFonts w:hint="cs"/>
          <w:rtl/>
        </w:rPr>
        <w:t>عده‌ی حامل متمتع بها در غیر وفات</w:t>
      </w:r>
      <w:bookmarkEnd w:id="13"/>
      <w:bookmarkEnd w:id="14"/>
    </w:p>
    <w:p w:rsidR="00665515" w:rsidRDefault="00EF4FD8" w:rsidP="00EF4FD8">
      <w:pPr>
        <w:jc w:val="both"/>
        <w:rPr>
          <w:rtl/>
        </w:rPr>
      </w:pPr>
      <w:r>
        <w:rPr>
          <w:rFonts w:hint="cs"/>
          <w:rtl/>
        </w:rPr>
        <w:t>آیه‌ی</w:t>
      </w:r>
      <w:r w:rsidRPr="00EF4FD8">
        <w:rPr>
          <w:rFonts w:hint="cs"/>
          <w:rtl/>
        </w:rPr>
        <w:t xml:space="preserve"> </w:t>
      </w:r>
      <w:r>
        <w:rPr>
          <w:rFonts w:ascii="Arial" w:hAnsi="Arial" w:cs="Arial" w:hint="cs"/>
          <w:rtl/>
        </w:rPr>
        <w:t>﴿</w:t>
      </w:r>
      <w:r w:rsidRPr="00EF4FD8">
        <w:rPr>
          <w:rFonts w:hint="cs"/>
          <w:color w:val="008000"/>
          <w:rtl/>
        </w:rPr>
        <w:t>وَ أُولاتُ الْأَحْمالِ أَجَلُهُنَّ أَنْ يَضَعْنَ حَمْلَهُنَّ</w:t>
      </w:r>
      <w:r w:rsidRPr="0084512B">
        <w:rPr>
          <w:rFonts w:ascii="Arial" w:hAnsi="Arial" w:cs="Arial" w:hint="cs"/>
          <w:color w:val="008000"/>
          <w:rtl/>
        </w:rPr>
        <w:t>﴾</w:t>
      </w:r>
      <w:r>
        <w:rPr>
          <w:rStyle w:val="FootnoteReference"/>
          <w:rFonts w:ascii="Arial" w:hAnsi="Arial" w:cs="Arial"/>
          <w:color w:val="008000"/>
          <w:rtl/>
        </w:rPr>
        <w:footnoteReference w:id="11"/>
      </w:r>
      <w:r>
        <w:rPr>
          <w:rFonts w:hint="cs"/>
          <w:rtl/>
        </w:rPr>
        <w:t xml:space="preserve"> با توجه به قبل و بعدش که در سیاق عده‌ی طلاق به کار رفته است، اطلاق</w:t>
      </w:r>
      <w:r w:rsidR="00B26408">
        <w:rPr>
          <w:rFonts w:hint="cs"/>
          <w:rtl/>
        </w:rPr>
        <w:t>ی ندارد؛ بر خلاف عامه که در عده‌ی وفات نیز به این آیه تمسک کرده اند.</w:t>
      </w:r>
      <w:r w:rsidR="0084512B">
        <w:rPr>
          <w:rFonts w:hint="cs"/>
          <w:rtl/>
        </w:rPr>
        <w:t xml:space="preserve"> در نتیجه این آیه مختص عده‌ی طلاق حامل است.</w:t>
      </w:r>
    </w:p>
    <w:p w:rsidR="0084512B" w:rsidRDefault="0084512B" w:rsidP="00EF4FD8">
      <w:pPr>
        <w:jc w:val="both"/>
        <w:rPr>
          <w:rtl/>
        </w:rPr>
      </w:pPr>
      <w:r>
        <w:rPr>
          <w:rFonts w:hint="cs"/>
          <w:rtl/>
        </w:rPr>
        <w:t>مرحوم حاج آقا تقی قمی با انضمام نکته‌ی دیگری به این آیه تمسک کرده است.</w:t>
      </w:r>
    </w:p>
    <w:p w:rsidR="0084512B" w:rsidRDefault="0084512B" w:rsidP="0084512B">
      <w:pPr>
        <w:pStyle w:val="Heading2"/>
      </w:pPr>
      <w:bookmarkStart w:id="15" w:name="_Toc64275954"/>
      <w:bookmarkStart w:id="16" w:name="_Toc64277324"/>
      <w:r>
        <w:rPr>
          <w:rFonts w:hint="cs"/>
          <w:rtl/>
        </w:rPr>
        <w:lastRenderedPageBreak/>
        <w:t>کلام مرحوم حاج آقا تقی قمی</w:t>
      </w:r>
      <w:bookmarkEnd w:id="15"/>
      <w:bookmarkEnd w:id="16"/>
    </w:p>
    <w:p w:rsidR="0084512B" w:rsidRPr="0084512B" w:rsidRDefault="0084512B" w:rsidP="0084512B">
      <w:pPr>
        <w:jc w:val="both"/>
        <w:rPr>
          <w:color w:val="000080"/>
          <w:rtl/>
        </w:rPr>
      </w:pPr>
      <w:r w:rsidRPr="0084512B">
        <w:rPr>
          <w:rFonts w:hint="cs"/>
          <w:color w:val="000080"/>
          <w:rtl/>
        </w:rPr>
        <w:t>المستفاد من قوله تعال</w:t>
      </w:r>
      <w:r>
        <w:rPr>
          <w:rFonts w:ascii="Arial" w:hAnsi="Arial" w:cs="Arial" w:hint="cs"/>
          <w:color w:val="000080"/>
          <w:rtl/>
        </w:rPr>
        <w:t>﴿</w:t>
      </w:r>
      <w:r w:rsidRPr="0084512B">
        <w:rPr>
          <w:rFonts w:hint="cs"/>
          <w:color w:val="000080"/>
          <w:rtl/>
        </w:rPr>
        <w:t xml:space="preserve"> ى </w:t>
      </w:r>
      <w:r w:rsidRPr="0084512B">
        <w:rPr>
          <w:rFonts w:hint="cs"/>
          <w:color w:val="008000"/>
          <w:rtl/>
        </w:rPr>
        <w:t>وَ اللّائِي يَئِسْنَ مِنَ الْمَحِيضِ مِنْ نِسائِكُمْ إِنِ ارْتَبْتُمْ فَعِدَّتُهُنَّ ثَلاثَةُ أَشْهُرٍ وَ اللّائِي لَمْ يَحِضْنَ وَ أُولاتُ الْأَحْمالِ أَجَلُهُنَّ</w:t>
      </w:r>
      <w:r w:rsidRPr="0084512B">
        <w:rPr>
          <w:rFonts w:hint="cs"/>
          <w:color w:val="008000"/>
        </w:rPr>
        <w:t>‌</w:t>
      </w:r>
      <w:r w:rsidRPr="0084512B">
        <w:rPr>
          <w:rFonts w:hint="cs"/>
          <w:color w:val="008000"/>
          <w:rtl/>
        </w:rPr>
        <w:t xml:space="preserve"> أَنْ يَضَعْنَ حَمْلَهُنَّ وَ مَنْ يَتَّقِ اللّهَ يَجْعَلْ لَهُ مِنْ أَمْرِهِ يُسْراً</w:t>
      </w:r>
      <w:r w:rsidRPr="0084512B">
        <w:rPr>
          <w:rFonts w:ascii="Arial" w:hAnsi="Arial" w:cs="Arial" w:hint="cs"/>
          <w:color w:val="008000"/>
          <w:rtl/>
        </w:rPr>
        <w:t>﴾</w:t>
      </w:r>
      <w:r>
        <w:rPr>
          <w:rStyle w:val="FootnoteReference"/>
          <w:rFonts w:ascii="Arial" w:hAnsi="Arial" w:cs="Arial"/>
          <w:color w:val="008000"/>
          <w:rtl/>
        </w:rPr>
        <w:footnoteReference w:id="12"/>
      </w:r>
      <w:r>
        <w:rPr>
          <w:rFonts w:ascii="Arial" w:hAnsi="Arial" w:cs="Arial" w:hint="cs"/>
          <w:color w:val="008000"/>
          <w:rtl/>
        </w:rPr>
        <w:t xml:space="preserve"> </w:t>
      </w:r>
      <w:r w:rsidRPr="0084512B">
        <w:rPr>
          <w:rFonts w:hint="cs"/>
          <w:color w:val="000080"/>
          <w:rtl/>
        </w:rPr>
        <w:t>ان عدة المطلقة وضع حملها اذا كانت حاملا و بعيد أن تكون عدة المتعة اكثر من عدة الطلاق فالنتيجة ان عدتها وضع حملها، و الاحتياط طريق النجاة.</w:t>
      </w:r>
      <w:r>
        <w:rPr>
          <w:rStyle w:val="FootnoteReference"/>
          <w:color w:val="000080"/>
          <w:rtl/>
        </w:rPr>
        <w:footnoteReference w:id="13"/>
      </w:r>
    </w:p>
    <w:p w:rsidR="00665515" w:rsidRDefault="00912AE7" w:rsidP="00912AE7">
      <w:pPr>
        <w:jc w:val="both"/>
        <w:rPr>
          <w:rtl/>
        </w:rPr>
      </w:pPr>
      <w:r>
        <w:rPr>
          <w:rFonts w:hint="cs"/>
          <w:rtl/>
        </w:rPr>
        <w:t>وقتی عده‌ی طلاق به وضع حمل است، عرف متعارف از آن تعدی می کند و عده‌ی حامل متمتع بها را نیز به وضع حمل خواهد دانست.</w:t>
      </w:r>
    </w:p>
    <w:p w:rsidR="001977CD" w:rsidRDefault="001977CD" w:rsidP="001977CD">
      <w:pPr>
        <w:pStyle w:val="Heading2"/>
        <w:rPr>
          <w:rtl/>
        </w:rPr>
      </w:pPr>
      <w:bookmarkStart w:id="17" w:name="_Toc64275955"/>
      <w:bookmarkStart w:id="18" w:name="_Toc64277325"/>
      <w:r>
        <w:rPr>
          <w:rFonts w:hint="cs"/>
          <w:rtl/>
        </w:rPr>
        <w:t>کلام استاد</w:t>
      </w:r>
      <w:bookmarkEnd w:id="17"/>
      <w:bookmarkEnd w:id="18"/>
    </w:p>
    <w:p w:rsidR="00665515" w:rsidRDefault="001977CD" w:rsidP="00665515">
      <w:pPr>
        <w:jc w:val="both"/>
        <w:rPr>
          <w:rtl/>
        </w:rPr>
      </w:pPr>
      <w:r>
        <w:rPr>
          <w:rFonts w:hint="cs"/>
          <w:rtl/>
        </w:rPr>
        <w:t>با مراجعه به روایات مشخص می شود که همه‌ی روایاتی که وضع حمل را</w:t>
      </w:r>
      <w:r w:rsidR="00A97EC6">
        <w:rPr>
          <w:rFonts w:hint="cs"/>
          <w:rtl/>
        </w:rPr>
        <w:t xml:space="preserve"> به عنوان عده</w:t>
      </w:r>
      <w:r>
        <w:rPr>
          <w:rFonts w:hint="cs"/>
          <w:rtl/>
        </w:rPr>
        <w:t xml:space="preserve"> مطرح کرده اند، در مورد طلاق هستند. فقط دو روایت وجود دارد</w:t>
      </w:r>
      <w:r>
        <w:rPr>
          <w:rStyle w:val="FootnoteReference"/>
          <w:rtl/>
        </w:rPr>
        <w:footnoteReference w:id="14"/>
      </w:r>
      <w:r>
        <w:rPr>
          <w:rFonts w:hint="cs"/>
          <w:rtl/>
        </w:rPr>
        <w:t xml:space="preserve"> که ممکن است از آن</w:t>
      </w:r>
      <w:r w:rsidR="00DD3138">
        <w:rPr>
          <w:rFonts w:hint="cs"/>
          <w:rtl/>
        </w:rPr>
        <w:t xml:space="preserve"> ها</w:t>
      </w:r>
      <w:r>
        <w:rPr>
          <w:rFonts w:hint="cs"/>
          <w:rtl/>
        </w:rPr>
        <w:t xml:space="preserve"> عده‌ی حامل متمتع بها استفاده شود.</w:t>
      </w:r>
    </w:p>
    <w:p w:rsidR="001977CD" w:rsidRDefault="00CD7AC9" w:rsidP="00CD7AC9">
      <w:pPr>
        <w:pStyle w:val="Heading3"/>
        <w:rPr>
          <w:rtl/>
        </w:rPr>
      </w:pPr>
      <w:bookmarkStart w:id="19" w:name="_Toc64275956"/>
      <w:bookmarkStart w:id="20" w:name="_Toc64277326"/>
      <w:r>
        <w:rPr>
          <w:rFonts w:hint="cs"/>
          <w:rtl/>
        </w:rPr>
        <w:t>صحیحه‌ی عبدالله بن سنان</w:t>
      </w:r>
      <w:bookmarkEnd w:id="19"/>
      <w:bookmarkEnd w:id="20"/>
    </w:p>
    <w:p w:rsidR="00CD7AC9" w:rsidRPr="00CD7AC9" w:rsidRDefault="00CD7AC9" w:rsidP="00CD7AC9">
      <w:pPr>
        <w:jc w:val="both"/>
        <w:rPr>
          <w:color w:val="008000"/>
        </w:rPr>
      </w:pPr>
      <w:r w:rsidRPr="00CD7AC9">
        <w:rPr>
          <w:rFonts w:hint="cs"/>
          <w:rtl/>
        </w:rPr>
        <w:t xml:space="preserve">رَوَى مُحَمَّدُ بْنُ أَبِي عُمَيْرٍ عَنْ عَبْدِ اللَّهِ بْنِ سِنَانٍ عَنْ أَبِي عَبْدِ اللَّهِ ع قَالَ: </w:t>
      </w:r>
      <w:r w:rsidRPr="00CD7AC9">
        <w:rPr>
          <w:rFonts w:hint="cs"/>
          <w:color w:val="008000"/>
          <w:rtl/>
        </w:rPr>
        <w:t>سَأَلْتُهُ‏ عَنِ‏ الْمَرْأَةِ تَضَعُ‏ أَ يَحِلُّ أَنْ تَتَزَوَّجُ قَبْلَ أَنْ تَطْهُرَ قَالَ نَعَمْ وَ لَيْسَ لِزَوْجِهَا أَنْ يَدْخُلَ بِهَا حَتَّى تَطْهُرَ.</w:t>
      </w:r>
      <w:r>
        <w:rPr>
          <w:rStyle w:val="FootnoteReference"/>
          <w:color w:val="008000"/>
          <w:rtl/>
        </w:rPr>
        <w:footnoteReference w:id="15"/>
      </w:r>
    </w:p>
    <w:p w:rsidR="001977CD" w:rsidRDefault="00CD7AC9" w:rsidP="00CD7AC9">
      <w:pPr>
        <w:pStyle w:val="Heading3"/>
        <w:rPr>
          <w:rtl/>
        </w:rPr>
      </w:pPr>
      <w:bookmarkStart w:id="21" w:name="_Toc64275957"/>
      <w:bookmarkStart w:id="22" w:name="_Toc64277327"/>
      <w:r>
        <w:rPr>
          <w:rFonts w:hint="cs"/>
          <w:rtl/>
        </w:rPr>
        <w:t>صحیحه‌ی ابن اذینه و ابن سنان</w:t>
      </w:r>
      <w:bookmarkEnd w:id="21"/>
      <w:bookmarkEnd w:id="22"/>
    </w:p>
    <w:p w:rsidR="00CD7AC9" w:rsidRPr="00CD7AC9" w:rsidRDefault="00CD7AC9" w:rsidP="00CD7AC9">
      <w:pPr>
        <w:jc w:val="both"/>
        <w:rPr>
          <w:color w:val="008000"/>
        </w:rPr>
      </w:pPr>
      <w:r w:rsidRPr="00CD7AC9">
        <w:rPr>
          <w:rFonts w:hint="cs"/>
          <w:rtl/>
        </w:rPr>
        <w:t xml:space="preserve">عَنْهُ عَنْ مُحَمَّدِ بْنِ عِيسَى بْنِ عُبَيْدٍ عَنْ يُونُسَ بْنِ عَبْدِ الرَّحْمَنِ عَنِ ابْنِ أُذَيْنَةَ وَ ابْنِ سِنَانٍ عَنْ أَبِي عَبْدِ اللَّهِ ع‏ </w:t>
      </w:r>
      <w:r w:rsidRPr="00CD7AC9">
        <w:rPr>
          <w:rFonts w:hint="cs"/>
          <w:color w:val="008000"/>
          <w:rtl/>
        </w:rPr>
        <w:t>فِي‏ الْمَرْأَةِ تَضَعُ‏ أَ يَحِلُّ لَهَا أَنْ تَزَوَّجَ قَبْلَ أَنْ تَطْهُرَ قَالَ إِذَا وَضَعَتْ تَزَوَّجَتْ وَ لَيْسَ لِزَوْجِهَا أَنْ يَدْخُلَ بِهَا حَتَّى تَطْهُرَ.</w:t>
      </w:r>
      <w:r>
        <w:rPr>
          <w:rStyle w:val="FootnoteReference"/>
          <w:color w:val="008000"/>
          <w:rtl/>
        </w:rPr>
        <w:footnoteReference w:id="16"/>
      </w:r>
    </w:p>
    <w:p w:rsidR="00665515" w:rsidRDefault="00FC715D" w:rsidP="00CD7AC9">
      <w:pPr>
        <w:jc w:val="both"/>
        <w:rPr>
          <w:rtl/>
        </w:rPr>
      </w:pPr>
      <w:r>
        <w:rPr>
          <w:rFonts w:hint="cs"/>
          <w:rtl/>
        </w:rPr>
        <w:t xml:space="preserve">ممکن است گفته شود </w:t>
      </w:r>
      <w:r w:rsidR="00CD7AC9">
        <w:rPr>
          <w:rFonts w:hint="cs"/>
          <w:rtl/>
        </w:rPr>
        <w:t>در این دو روایت عده‌ی زن حامل</w:t>
      </w:r>
      <w:r w:rsidR="002D0490">
        <w:rPr>
          <w:rFonts w:hint="cs"/>
          <w:rtl/>
        </w:rPr>
        <w:t>،</w:t>
      </w:r>
      <w:r w:rsidR="00CD7AC9">
        <w:rPr>
          <w:rFonts w:hint="cs"/>
          <w:rtl/>
        </w:rPr>
        <w:t xml:space="preserve"> وضع حمل فرض شده است</w:t>
      </w:r>
      <w:r>
        <w:rPr>
          <w:rFonts w:hint="cs"/>
          <w:rtl/>
        </w:rPr>
        <w:t xml:space="preserve"> و اطلاق آن شامل متعه نیز می شود.</w:t>
      </w:r>
    </w:p>
    <w:p w:rsidR="00665515" w:rsidRDefault="00C5763C" w:rsidP="00D25894">
      <w:pPr>
        <w:jc w:val="both"/>
        <w:rPr>
          <w:rtl/>
        </w:rPr>
      </w:pPr>
      <w:r>
        <w:rPr>
          <w:rFonts w:hint="cs"/>
          <w:rtl/>
        </w:rPr>
        <w:t>اما به نظر می رسد این مطلب صحیح نباشد؛ زیرا فرض مساله، زنی است که عده اش به وضع حمل است</w:t>
      </w:r>
      <w:r w:rsidR="0075072D">
        <w:rPr>
          <w:rFonts w:hint="cs"/>
          <w:rtl/>
        </w:rPr>
        <w:t xml:space="preserve"> و بحث در این است که چنین زنی که عده اش به وضع حمل است، آیا وضع حمل به تنهایی کافی است یا طهارت از نفاس نیز در انقضاء عده شرط </w:t>
      </w:r>
      <w:r w:rsidR="0075072D">
        <w:rPr>
          <w:rFonts w:hint="cs"/>
          <w:rtl/>
        </w:rPr>
        <w:lastRenderedPageBreak/>
        <w:t>است؟</w:t>
      </w:r>
      <w:r w:rsidR="005E59D2">
        <w:rPr>
          <w:rFonts w:hint="cs"/>
          <w:rtl/>
        </w:rPr>
        <w:t xml:space="preserve"> یعنی در این دو روایت اصل این که عده به وضع حمل می باشد مفروغ عنه است</w:t>
      </w:r>
      <w:r w:rsidR="00D25894">
        <w:rPr>
          <w:rFonts w:hint="cs"/>
          <w:rtl/>
        </w:rPr>
        <w:t xml:space="preserve"> و</w:t>
      </w:r>
      <w:r w:rsidR="00A84622">
        <w:rPr>
          <w:rFonts w:hint="cs"/>
          <w:rtl/>
        </w:rPr>
        <w:t xml:space="preserve"> در مقام بیان مواردی که عده به وضع حمل است و مواردی که عده به وضع حمل نیست، نمی باشد.</w:t>
      </w:r>
      <w:r w:rsidR="00D91BFF">
        <w:rPr>
          <w:rFonts w:hint="cs"/>
          <w:rtl/>
        </w:rPr>
        <w:t xml:space="preserve"> بنابراین از این دو روایت نمی توان حکم عده‌ی حامل متمتع بها را استفاده کرد.</w:t>
      </w:r>
    </w:p>
    <w:p w:rsidR="00665515" w:rsidRDefault="00400350" w:rsidP="00665515">
      <w:pPr>
        <w:jc w:val="both"/>
        <w:rPr>
          <w:rtl/>
        </w:rPr>
      </w:pPr>
      <w:r>
        <w:rPr>
          <w:rFonts w:hint="cs"/>
          <w:rtl/>
        </w:rPr>
        <w:t>در نتیجه در هیچ یک از روایات حکم عده‌ی حامل متمتع بها بیان نشده است.</w:t>
      </w:r>
    </w:p>
    <w:p w:rsidR="000A77B6" w:rsidRDefault="000A77B6" w:rsidP="00665515">
      <w:pPr>
        <w:jc w:val="both"/>
        <w:rPr>
          <w:rtl/>
        </w:rPr>
      </w:pPr>
      <w:r w:rsidRPr="00106205">
        <w:rPr>
          <w:rFonts w:hint="cs"/>
          <w:highlight w:val="yellow"/>
          <w:rtl/>
        </w:rPr>
        <w:t xml:space="preserve">به </w:t>
      </w:r>
      <w:r>
        <w:rPr>
          <w:rFonts w:hint="cs"/>
          <w:rtl/>
        </w:rPr>
        <w:t>نظر می رسد اطلاقاتی که حکم عده‌ی متمتع بها را چهل و پنج روز دانسته اند، شامل حامل نمی شو</w:t>
      </w:r>
      <w:r w:rsidR="003909AA">
        <w:rPr>
          <w:rFonts w:hint="cs"/>
          <w:rtl/>
        </w:rPr>
        <w:t>ن</w:t>
      </w:r>
      <w:r>
        <w:rPr>
          <w:rFonts w:hint="cs"/>
          <w:rtl/>
        </w:rPr>
        <w:t>د و ناظر به غیر حامل می باش</w:t>
      </w:r>
      <w:r w:rsidR="00545EAD">
        <w:rPr>
          <w:rFonts w:hint="cs"/>
          <w:rtl/>
        </w:rPr>
        <w:t>ن</w:t>
      </w:r>
      <w:r>
        <w:rPr>
          <w:rFonts w:hint="cs"/>
          <w:rtl/>
        </w:rPr>
        <w:t>د؛ چنان که روایاتی که عده‌ی وفات را چهار ماه و ده روز بیان ک</w:t>
      </w:r>
      <w:r w:rsidR="00806816">
        <w:rPr>
          <w:rFonts w:hint="cs"/>
          <w:rtl/>
        </w:rPr>
        <w:t>رده اند، ناظر به حامل نمی باشند و در روایات دیگر تصریح شده است که عده‌ی وفات حامل، ابعد الاجلین است.</w:t>
      </w:r>
      <w:r w:rsidR="00BB0450">
        <w:rPr>
          <w:rFonts w:hint="cs"/>
          <w:rtl/>
        </w:rPr>
        <w:t xml:space="preserve"> چهار ماه و ده روز </w:t>
      </w:r>
      <w:r w:rsidR="00C41D65">
        <w:rPr>
          <w:rFonts w:hint="cs"/>
          <w:rtl/>
        </w:rPr>
        <w:t>ناظر به وفات بما انه وفات یعنی وفات به تنهایی</w:t>
      </w:r>
      <w:r w:rsidR="00BB0450">
        <w:rPr>
          <w:rFonts w:hint="cs"/>
          <w:rtl/>
        </w:rPr>
        <w:t xml:space="preserve"> می باشد.</w:t>
      </w:r>
      <w:r w:rsidR="00103300">
        <w:rPr>
          <w:rFonts w:hint="cs"/>
          <w:rtl/>
        </w:rPr>
        <w:t xml:space="preserve"> روایات چهل و پنج روز نیز ناظر به حامل نمی باشد.</w:t>
      </w:r>
      <w:r w:rsidR="00792CD3">
        <w:rPr>
          <w:rFonts w:hint="cs"/>
          <w:rtl/>
        </w:rPr>
        <w:t xml:space="preserve"> روایات حیضة و حیضتان نیز ناظر به حامل نمی باشند.</w:t>
      </w:r>
    </w:p>
    <w:p w:rsidR="00792CD3" w:rsidRDefault="00792CD3" w:rsidP="00666B1E">
      <w:pPr>
        <w:jc w:val="both"/>
        <w:rPr>
          <w:rtl/>
        </w:rPr>
      </w:pPr>
      <w:r>
        <w:rPr>
          <w:rFonts w:hint="cs"/>
          <w:rtl/>
        </w:rPr>
        <w:t xml:space="preserve">به نظر می رسد در حکم عده‌ی حامل متمتع بها به اطلاق مقامی اکتفا شده است. یعنی عده‌ی حامل متمتع بها به منزله‌ی عده‌ی مطلقه‌ی حامل </w:t>
      </w:r>
      <w:r w:rsidR="008D1E29">
        <w:rPr>
          <w:rFonts w:hint="cs"/>
          <w:rtl/>
        </w:rPr>
        <w:t>در نظر گرفته</w:t>
      </w:r>
      <w:r>
        <w:rPr>
          <w:rFonts w:hint="cs"/>
          <w:rtl/>
        </w:rPr>
        <w:t xml:space="preserve"> شده است و به بیان حکم عده‌ی </w:t>
      </w:r>
      <w:r w:rsidR="00666B1E">
        <w:rPr>
          <w:rFonts w:hint="cs"/>
          <w:rtl/>
        </w:rPr>
        <w:t>مطلقه‌ی</w:t>
      </w:r>
      <w:r w:rsidR="00D80734">
        <w:rPr>
          <w:rFonts w:hint="cs"/>
          <w:rtl/>
        </w:rPr>
        <w:t xml:space="preserve"> حامل</w:t>
      </w:r>
      <w:r>
        <w:rPr>
          <w:rFonts w:hint="cs"/>
          <w:rtl/>
        </w:rPr>
        <w:t xml:space="preserve"> اکتفا شده است. یعنی اگر حکم عده‌ی حامل متمتع بها با حکم عده‌ی مطلقه‌ی حامل متفاوت بود، شارع ذکر می کرد.</w:t>
      </w:r>
      <w:r w:rsidR="001D7194">
        <w:rPr>
          <w:rFonts w:hint="cs"/>
          <w:rtl/>
        </w:rPr>
        <w:t xml:space="preserve"> عدم ذکر شارع، نشان دهنده‌ی اکتفا به معهودی است و آن معهود همان عده‌ی طلاق است.</w:t>
      </w:r>
      <w:r w:rsidR="002767BD">
        <w:rPr>
          <w:rFonts w:hint="cs"/>
          <w:rtl/>
        </w:rPr>
        <w:t xml:space="preserve"> در نتیجه عده‌ی حامل متمتع بها، وضع حمل می باشد.</w:t>
      </w:r>
    </w:p>
    <w:p w:rsidR="002F7644" w:rsidRDefault="002F7644" w:rsidP="002F7644">
      <w:pPr>
        <w:pStyle w:val="Heading1"/>
      </w:pPr>
      <w:bookmarkStart w:id="23" w:name="_Toc64275958"/>
      <w:bookmarkStart w:id="24" w:name="_Toc64277328"/>
      <w:r>
        <w:rPr>
          <w:rFonts w:hint="cs"/>
          <w:rtl/>
        </w:rPr>
        <w:t>عده‌ی حامل متمتع بها در وفات</w:t>
      </w:r>
      <w:bookmarkEnd w:id="23"/>
      <w:bookmarkEnd w:id="24"/>
    </w:p>
    <w:p w:rsidR="00792CD3" w:rsidRDefault="007138B2" w:rsidP="00665515">
      <w:pPr>
        <w:jc w:val="both"/>
        <w:rPr>
          <w:rtl/>
        </w:rPr>
      </w:pPr>
      <w:r>
        <w:rPr>
          <w:rFonts w:hint="cs"/>
          <w:rtl/>
        </w:rPr>
        <w:t>در عده‌ی وفات روایتی وجود دارد که ممکن است از آن استفاده شود که در عده‌ی وفات حامل متمتع بها، وضع حمل کفایت می کند.</w:t>
      </w:r>
    </w:p>
    <w:p w:rsidR="00337ADB" w:rsidRDefault="00337ADB" w:rsidP="00337ADB">
      <w:pPr>
        <w:pStyle w:val="Heading2"/>
        <w:rPr>
          <w:rtl/>
        </w:rPr>
      </w:pPr>
      <w:bookmarkStart w:id="25" w:name="_Toc64275959"/>
      <w:bookmarkStart w:id="26" w:name="_Toc64277329"/>
      <w:r>
        <w:rPr>
          <w:rFonts w:hint="cs"/>
          <w:rtl/>
        </w:rPr>
        <w:t>صحیحه‌ی زراره</w:t>
      </w:r>
      <w:bookmarkEnd w:id="25"/>
      <w:bookmarkEnd w:id="26"/>
    </w:p>
    <w:p w:rsidR="00337ADB" w:rsidRPr="00337ADB" w:rsidRDefault="00337ADB" w:rsidP="00337ADB">
      <w:pPr>
        <w:jc w:val="both"/>
        <w:rPr>
          <w:color w:val="008000"/>
        </w:rPr>
      </w:pPr>
      <w:r w:rsidRPr="00337ADB">
        <w:rPr>
          <w:rFonts w:hint="cs"/>
          <w:rtl/>
        </w:rPr>
        <w:t xml:space="preserve">مُحَمَّدُ بْنُ يَحْيَى عَنْ أَحْمَدَ بْنِ مُحَمَّدٍ عَنْ عَلِيِّ بْنِ الْحَكَمِ عَنْ مُوسَى بْنِ بَكْرٍ عَنْ زُرَارَةَ عَنْ أَبِي جَعْفَرٍ ع قَالَ: </w:t>
      </w:r>
      <w:r w:rsidRPr="00337ADB">
        <w:rPr>
          <w:rFonts w:hint="cs"/>
          <w:color w:val="008000"/>
          <w:rtl/>
        </w:rPr>
        <w:t>عِدَّةُ الْمُتَوَفَّى‏ عَنْهَا زَوْجُهَا آخِرُ الْأَجَلَيْنِ لِأَنَّ عَلَيْهَا أَنْ تُحِدَّ أَرْبَعَةَ أَشْهُرٍ وَ عَشْراً وَ لَيْسَ عَلَيْهَا فِي الطَّلَاقِ أَنْ تُحِدَّ.</w:t>
      </w:r>
      <w:r>
        <w:rPr>
          <w:rStyle w:val="FootnoteReference"/>
          <w:color w:val="008000"/>
          <w:rtl/>
        </w:rPr>
        <w:footnoteReference w:id="17"/>
      </w:r>
    </w:p>
    <w:p w:rsidR="00665515" w:rsidRDefault="00337ADB" w:rsidP="00665515">
      <w:pPr>
        <w:jc w:val="both"/>
        <w:rPr>
          <w:rtl/>
        </w:rPr>
      </w:pPr>
      <w:r>
        <w:rPr>
          <w:rFonts w:hint="cs"/>
          <w:rtl/>
        </w:rPr>
        <w:t>این روایت به نظر ما صحیحه است؛ زیرا روایت علی بن الحکم از موسی بن بکر را مربوط به زمان استقامت موسی بن بکر می دانیم.</w:t>
      </w:r>
    </w:p>
    <w:p w:rsidR="00665515" w:rsidRDefault="007A188E" w:rsidP="001A31C3">
      <w:pPr>
        <w:jc w:val="both"/>
        <w:rPr>
          <w:rtl/>
        </w:rPr>
      </w:pPr>
      <w:r>
        <w:rPr>
          <w:rFonts w:hint="cs"/>
          <w:rtl/>
        </w:rPr>
        <w:lastRenderedPageBreak/>
        <w:t xml:space="preserve">این روایت عده‌ی متوفی عنها زوجها را ابعد الاجلین از چهار ماه و ده روز و وضع حمل دانسته است. برای آخر الاجلین </w:t>
      </w:r>
      <w:r w:rsidR="005D1833">
        <w:rPr>
          <w:rFonts w:hint="cs"/>
          <w:rtl/>
        </w:rPr>
        <w:t>به این صورت تعلیل</w:t>
      </w:r>
      <w:r>
        <w:rPr>
          <w:rFonts w:hint="cs"/>
          <w:rtl/>
        </w:rPr>
        <w:t xml:space="preserve"> </w:t>
      </w:r>
      <w:r w:rsidR="005D1833">
        <w:rPr>
          <w:rFonts w:hint="cs"/>
          <w:rtl/>
        </w:rPr>
        <w:t>شده</w:t>
      </w:r>
      <w:r>
        <w:rPr>
          <w:rFonts w:hint="cs"/>
          <w:rtl/>
        </w:rPr>
        <w:t xml:space="preserve"> است</w:t>
      </w:r>
      <w:r w:rsidR="005D1833">
        <w:rPr>
          <w:rFonts w:hint="cs"/>
          <w:rtl/>
        </w:rPr>
        <w:t xml:space="preserve">: ( </w:t>
      </w:r>
      <w:r w:rsidR="005D1833" w:rsidRPr="00337ADB">
        <w:rPr>
          <w:rFonts w:hint="cs"/>
          <w:color w:val="008000"/>
          <w:rtl/>
        </w:rPr>
        <w:t>لِأَنَّ عَلَيْهَا أَنْ تُحِدَّ أَرْبَعَةَ أَشْهُرٍ وَ عَشْراً وَ لَيْسَ عَلَيْهَا فِي الطَّلَاقِ أَنْ تُحِدَّ</w:t>
      </w:r>
      <w:r w:rsidR="005D1833">
        <w:rPr>
          <w:rFonts w:hint="cs"/>
          <w:rtl/>
        </w:rPr>
        <w:t xml:space="preserve">) </w:t>
      </w:r>
    </w:p>
    <w:p w:rsidR="00665515" w:rsidRDefault="001A31C3" w:rsidP="001E7C07">
      <w:pPr>
        <w:jc w:val="both"/>
        <w:rPr>
          <w:rtl/>
        </w:rPr>
      </w:pPr>
      <w:r>
        <w:rPr>
          <w:rFonts w:hint="cs"/>
          <w:rtl/>
        </w:rPr>
        <w:t>دو مبنا در وجوب یا عدم وجوب حداد در متمتع بها وجود دارد.</w:t>
      </w:r>
      <w:r w:rsidR="0033771A">
        <w:rPr>
          <w:rFonts w:hint="cs"/>
          <w:rtl/>
        </w:rPr>
        <w:t xml:space="preserve"> طبق یک مبنا حداد بر زن متمتع بها واجب نیست و طبق مبنای دیگر تفصیل</w:t>
      </w:r>
      <w:r w:rsidR="00106205">
        <w:rPr>
          <w:rFonts w:hint="cs"/>
          <w:rtl/>
        </w:rPr>
        <w:t xml:space="preserve"> وجود دارد</w:t>
      </w:r>
      <w:r w:rsidR="0033771A">
        <w:rPr>
          <w:rFonts w:hint="cs"/>
          <w:rtl/>
        </w:rPr>
        <w:t xml:space="preserve"> بین</w:t>
      </w:r>
      <w:r w:rsidR="00DE1E23">
        <w:rPr>
          <w:rFonts w:hint="cs"/>
          <w:rtl/>
        </w:rPr>
        <w:t>ِ</w:t>
      </w:r>
      <w:r w:rsidR="0033771A">
        <w:rPr>
          <w:rFonts w:hint="cs"/>
          <w:rtl/>
        </w:rPr>
        <w:t xml:space="preserve"> کم بودن مدت </w:t>
      </w:r>
      <w:r w:rsidR="001E7C07">
        <w:rPr>
          <w:rFonts w:hint="cs"/>
          <w:rtl/>
        </w:rPr>
        <w:t>عقد متعه</w:t>
      </w:r>
      <w:r w:rsidR="0033771A">
        <w:rPr>
          <w:rFonts w:hint="cs"/>
          <w:rtl/>
        </w:rPr>
        <w:t xml:space="preserve"> به اندازه‌ی یکی دو روز که در این صورت حداد واجب نیست و جایی که اجل طولانی تر است که در این صورت </w:t>
      </w:r>
      <w:r w:rsidR="0016243B">
        <w:rPr>
          <w:rFonts w:hint="cs"/>
          <w:rtl/>
        </w:rPr>
        <w:t>حداد واجب است.</w:t>
      </w:r>
    </w:p>
    <w:p w:rsidR="00665515" w:rsidRDefault="001E7C07" w:rsidP="00665515">
      <w:pPr>
        <w:jc w:val="both"/>
        <w:rPr>
          <w:rtl/>
        </w:rPr>
      </w:pPr>
      <w:r>
        <w:rPr>
          <w:rFonts w:hint="cs"/>
          <w:rtl/>
        </w:rPr>
        <w:t xml:space="preserve">برای کفایت وضع حمل در عده‌ی وفات حامل متمتع بها ممکن است به این صورت استدلال شود که با توجه به تعلیل روایت زراره </w:t>
      </w:r>
      <w:r w:rsidR="00CE6876">
        <w:rPr>
          <w:rFonts w:hint="cs"/>
          <w:rtl/>
        </w:rPr>
        <w:t>اگر حداد را واجب بدانیم باید ابعد الاجلین را ملاک قرار دهیم؛ اما اگر حداد واجب نباشد، وجهی ندارد ابعد الاجلین ملاک قرار گیرد.</w:t>
      </w:r>
    </w:p>
    <w:p w:rsidR="00665515" w:rsidRDefault="00A16BA5" w:rsidP="00665515">
      <w:pPr>
        <w:jc w:val="both"/>
        <w:rPr>
          <w:rtl/>
        </w:rPr>
      </w:pPr>
      <w:r>
        <w:rPr>
          <w:rFonts w:hint="cs"/>
          <w:rtl/>
        </w:rPr>
        <w:t>به نظر می رسد این استدلال صحیح نیست. این روایت در مقام دفع فتوای کالمجمع علیه عامه است.</w:t>
      </w:r>
      <w:r w:rsidR="001664CA">
        <w:rPr>
          <w:rFonts w:hint="cs"/>
          <w:rtl/>
        </w:rPr>
        <w:t xml:space="preserve"> در میان عامه تقریبا اجماعی است که در عده‌ی وفات، وضع حمل کفایت می کند. یعنی اگر پس از موت زوج و قبل دفن او زن وضع حمل کند، عده اش سپری می شود.</w:t>
      </w:r>
    </w:p>
    <w:p w:rsidR="001664CA" w:rsidRDefault="001664CA" w:rsidP="00683C8B">
      <w:pPr>
        <w:jc w:val="both"/>
        <w:rPr>
          <w:rtl/>
        </w:rPr>
      </w:pPr>
      <w:r>
        <w:rPr>
          <w:rFonts w:hint="cs"/>
          <w:rtl/>
        </w:rPr>
        <w:t>در روایت زراره امام علیه السلام در مقام پاسخ به این مطلب است و می فرماید: در طلاق این مطلب صحیح است و عده‌ی زن حامل به وضع حمل ( اقرب الاجلین) است، اما در وفات باید ابعد الاجلین ملاحظه شود؛ زیرا نکته ای در بحث وفات وجود دارد و آن وجوب حداد و سوگواری بر شوهر است</w:t>
      </w:r>
      <w:r w:rsidR="004B4BCF">
        <w:rPr>
          <w:rFonts w:hint="cs"/>
          <w:rtl/>
        </w:rPr>
        <w:t>. آیا با حاملگی زن سوگواری بر شوهر از بین می رود؟</w:t>
      </w:r>
      <w:r w:rsidR="0025322B">
        <w:rPr>
          <w:rFonts w:hint="cs"/>
          <w:rtl/>
        </w:rPr>
        <w:t xml:space="preserve"> ملاکی که در مورد غیر حامل وجود دارد، در مورد حامل نیز وجود دارد.</w:t>
      </w:r>
      <w:r w:rsidR="00583715">
        <w:rPr>
          <w:rFonts w:hint="cs"/>
          <w:rtl/>
        </w:rPr>
        <w:t xml:space="preserve"> بنابراین آن چه باعث می شود غیر حامل چهار ماه و ده روز حداد کند، موجب می شود</w:t>
      </w:r>
      <w:r w:rsidR="001A6D02" w:rsidRPr="001A6D02">
        <w:rPr>
          <w:rFonts w:hint="cs"/>
          <w:rtl/>
        </w:rPr>
        <w:t xml:space="preserve"> </w:t>
      </w:r>
      <w:r w:rsidR="001A6D02">
        <w:rPr>
          <w:rFonts w:hint="cs"/>
          <w:rtl/>
        </w:rPr>
        <w:t>بر حامل نیز</w:t>
      </w:r>
      <w:r w:rsidR="00583715">
        <w:rPr>
          <w:rFonts w:hint="cs"/>
          <w:rtl/>
        </w:rPr>
        <w:t xml:space="preserve"> چهار ماه و ده روز حداد واجب باشد.</w:t>
      </w:r>
      <w:r w:rsidR="00241D49">
        <w:rPr>
          <w:rFonts w:hint="cs"/>
          <w:rtl/>
        </w:rPr>
        <w:t xml:space="preserve"> در نتیجه </w:t>
      </w:r>
      <w:r w:rsidR="00CE7167">
        <w:rPr>
          <w:rFonts w:hint="cs"/>
          <w:rtl/>
        </w:rPr>
        <w:t xml:space="preserve">زن حامل </w:t>
      </w:r>
      <w:r w:rsidR="00241D49">
        <w:rPr>
          <w:rFonts w:hint="cs"/>
          <w:rtl/>
        </w:rPr>
        <w:t>به مجرد وضع حمل از عده</w:t>
      </w:r>
      <w:r w:rsidR="00594A63">
        <w:rPr>
          <w:rFonts w:hint="cs"/>
          <w:rtl/>
        </w:rPr>
        <w:t>‌ی وفات</w:t>
      </w:r>
      <w:r w:rsidR="00241D49">
        <w:rPr>
          <w:rFonts w:hint="cs"/>
          <w:rtl/>
        </w:rPr>
        <w:t xml:space="preserve"> خارج نمی شود؛ بلکه باید چهار ماه و ده روز عده نگه دارد ( در صورتی که وضع حمل قبل از چهار ماه و ده روز باشد) و اگر وضع حملش پس از چهار ماه و ده روز باشد، بیش از آن حداد لازم نیست؛ اما انقضاء عده اش به وضع حمل می باشد.</w:t>
      </w:r>
      <w:r w:rsidR="00C7518E">
        <w:rPr>
          <w:rFonts w:hint="cs"/>
          <w:rtl/>
        </w:rPr>
        <w:t xml:space="preserve"> آن چه که در این روایت بر آن تاکید شده است این است که وجوب عده به مقدار چهار ماه و ده روز لازم است؛ زیرا ملاکی که </w:t>
      </w:r>
      <w:r w:rsidR="00683C8B">
        <w:rPr>
          <w:rFonts w:hint="cs"/>
          <w:rtl/>
        </w:rPr>
        <w:t>در</w:t>
      </w:r>
      <w:r w:rsidR="00C7518E">
        <w:rPr>
          <w:rFonts w:hint="cs"/>
          <w:rtl/>
        </w:rPr>
        <w:t xml:space="preserve"> غیر حامل</w:t>
      </w:r>
      <w:r w:rsidR="00683C8B">
        <w:rPr>
          <w:rFonts w:hint="cs"/>
          <w:rtl/>
        </w:rPr>
        <w:t xml:space="preserve"> وجود دارد و</w:t>
      </w:r>
      <w:r w:rsidR="00C7518E">
        <w:rPr>
          <w:rFonts w:hint="cs"/>
          <w:rtl/>
        </w:rPr>
        <w:t xml:space="preserve"> باعث می شود چهار ماه و ده روز عده نگه دارد، همان ملاک در مورد حامل نیز هست.</w:t>
      </w:r>
    </w:p>
    <w:p w:rsidR="00B06D72" w:rsidRDefault="00B06D72" w:rsidP="00665515">
      <w:pPr>
        <w:jc w:val="both"/>
        <w:rPr>
          <w:rtl/>
        </w:rPr>
      </w:pPr>
      <w:r>
        <w:rPr>
          <w:rFonts w:hint="cs"/>
          <w:rtl/>
        </w:rPr>
        <w:t>نکته ای که در عده‌ی مطلقه‌ی غیر حامل وجود دارد</w:t>
      </w:r>
      <w:r w:rsidR="00074B20">
        <w:rPr>
          <w:rFonts w:hint="cs"/>
          <w:rtl/>
        </w:rPr>
        <w:t xml:space="preserve"> این است که سه طهر یا سه ماه عده نگه می دارد تا مشخص شود، حامله است یا حامله نیست و این نکته در مورد حامله وجود ندارد و تنها نکته ای که در مورد حامله وجود دارد، حاملگی است. </w:t>
      </w:r>
      <w:r w:rsidR="00074B20">
        <w:rPr>
          <w:rFonts w:hint="cs"/>
          <w:rtl/>
        </w:rPr>
        <w:lastRenderedPageBreak/>
        <w:t>احترام حمل اقتضا می کند که در زمان حمل ازدواجی صورت نگیرد؛ در نتیجه با وضع حمل عده سپری می شود.</w:t>
      </w:r>
      <w:r w:rsidR="004A19A3">
        <w:rPr>
          <w:rFonts w:hint="cs"/>
          <w:rtl/>
        </w:rPr>
        <w:t xml:space="preserve"> بنابراین در طلاق نکته ای وجود ندارد که پس از وضع حمل، سه ماه یا سه طهر عده نگه دارد.</w:t>
      </w:r>
    </w:p>
    <w:p w:rsidR="00876518" w:rsidRDefault="00146F80" w:rsidP="00B03057">
      <w:pPr>
        <w:jc w:val="both"/>
        <w:rPr>
          <w:rtl/>
        </w:rPr>
      </w:pPr>
      <w:r>
        <w:rPr>
          <w:rFonts w:hint="cs"/>
          <w:rtl/>
        </w:rPr>
        <w:t>با توجه به این تفسیر از روایت، این روایت دال بر ابعد الاجلین است.</w:t>
      </w:r>
      <w:r w:rsidR="0030539B">
        <w:rPr>
          <w:rFonts w:hint="cs"/>
          <w:rtl/>
        </w:rPr>
        <w:t xml:space="preserve"> زیرا این روایت مقایسه‌</w:t>
      </w:r>
      <w:r w:rsidR="009915F9">
        <w:rPr>
          <w:rFonts w:hint="cs"/>
          <w:rtl/>
        </w:rPr>
        <w:t>ا</w:t>
      </w:r>
      <w:r w:rsidR="0030539B">
        <w:rPr>
          <w:rFonts w:hint="cs"/>
          <w:rtl/>
        </w:rPr>
        <w:t>ی بین عده‌ی طلاق و عده‌ی وفات حامل است؛ اما نکته ای که بر آن تکیه کرده است، نکته ای است که در ما نحن فیه نیز ابعد الاجلین را اقتضا می کند.</w:t>
      </w:r>
    </w:p>
    <w:p w:rsidR="00146F80" w:rsidRDefault="00131F56" w:rsidP="00876518">
      <w:pPr>
        <w:jc w:val="both"/>
        <w:rPr>
          <w:rtl/>
        </w:rPr>
      </w:pPr>
      <w:r>
        <w:rPr>
          <w:rFonts w:hint="cs"/>
          <w:rtl/>
        </w:rPr>
        <w:t>در بحث متمتع بها گر چه حداد واجب نیست ( مطلقا یا طبق تفصیلی که بیان شد)؛ اما روایات تصریح می کنند که عده‌ی</w:t>
      </w:r>
      <w:r w:rsidR="00876518">
        <w:rPr>
          <w:rFonts w:hint="cs"/>
          <w:rtl/>
        </w:rPr>
        <w:t xml:space="preserve"> وفاتش</w:t>
      </w:r>
      <w:r>
        <w:rPr>
          <w:rFonts w:hint="cs"/>
          <w:rtl/>
        </w:rPr>
        <w:t xml:space="preserve"> چهار ماه و ده روز است.</w:t>
      </w:r>
      <w:r w:rsidR="002B256C">
        <w:rPr>
          <w:rFonts w:hint="cs"/>
          <w:rtl/>
        </w:rPr>
        <w:t xml:space="preserve"> عده‌ی وفاتی که در غیر حامل واجب است، به چه نکته ای است؟ به خاطر احترام شوهر است. گر چه در متمتع بها حداد واجب نیست. نفس عده‌ی وفات یک احترام است و عده‌ی همراه حداد، احترام بیش تر است. شارع مقدس در باب ازدواج دائم نسبت به شوهر احترام بیش تری را واجب کرده است؛ اما در وجوب اصل عده به عنوان احترام شوهر فرقی بین زن حامل و غیر حامل وجود ندارد.</w:t>
      </w:r>
      <w:r w:rsidR="00B03057">
        <w:rPr>
          <w:rFonts w:hint="cs"/>
          <w:rtl/>
        </w:rPr>
        <w:t xml:space="preserve"> در روایت به این نکته تعلیل شده است که ملاک عده</w:t>
      </w:r>
      <w:r w:rsidR="00876518">
        <w:rPr>
          <w:rFonts w:hint="cs"/>
          <w:rtl/>
        </w:rPr>
        <w:t>‌ی وفات</w:t>
      </w:r>
      <w:r w:rsidR="00B03057">
        <w:rPr>
          <w:rFonts w:hint="cs"/>
          <w:rtl/>
        </w:rPr>
        <w:t xml:space="preserve"> در غیر حامل در حامل نیز وجود دارد.</w:t>
      </w:r>
      <w:r w:rsidR="00394E30">
        <w:rPr>
          <w:rFonts w:hint="cs"/>
          <w:rtl/>
        </w:rPr>
        <w:t xml:space="preserve"> همین نکته در ما نحن فیه نیز وجود دارد که ملاک عده‌ی وفات در «متمتع بها»ی غیر حامل در حامل متمتع بها نیز وجود دارد.</w:t>
      </w:r>
    </w:p>
    <w:p w:rsidR="00A108C4" w:rsidRDefault="00A108C4" w:rsidP="00B03057">
      <w:pPr>
        <w:jc w:val="both"/>
        <w:rPr>
          <w:rtl/>
        </w:rPr>
      </w:pPr>
      <w:r>
        <w:rPr>
          <w:rFonts w:hint="cs"/>
          <w:rtl/>
        </w:rPr>
        <w:t>در نتیجه عده‌ی وفات حامل متمتع بها، ابعد الاجلین است و عده‌ی انقضاء اجل حامل، وضع حمل می باشد.</w:t>
      </w:r>
    </w:p>
    <w:p w:rsidR="00665515" w:rsidRDefault="005A76FC" w:rsidP="00665515">
      <w:pPr>
        <w:jc w:val="both"/>
        <w:rPr>
          <w:rtl/>
        </w:rPr>
      </w:pPr>
      <w:r>
        <w:rPr>
          <w:rFonts w:hint="cs"/>
          <w:rtl/>
        </w:rPr>
        <w:t>البته کلمات بزرگان سلف را ملاحظه نکردم تا مشخص شود احتیاط وجوبی مرحوم آقای خویی یا احتیاط استحبابی آقای حکیم، فتوای بر خلاف دارد یا مخالفی وجود ندارد.</w:t>
      </w:r>
      <w:r w:rsidR="005761B6">
        <w:rPr>
          <w:rFonts w:hint="cs"/>
          <w:rtl/>
        </w:rPr>
        <w:t xml:space="preserve"> رعایت احتیاط استحبابی مناسب است؛ اما احتیاط وجوبی دلیلی ندارد.</w:t>
      </w:r>
    </w:p>
    <w:p w:rsidR="002F7644" w:rsidRPr="006162A2" w:rsidRDefault="002F7644" w:rsidP="00665515">
      <w:pPr>
        <w:jc w:val="both"/>
        <w:rPr>
          <w:rtl/>
        </w:rPr>
      </w:pPr>
    </w:p>
    <w:sectPr w:rsidR="002F7644"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BF" w:rsidRDefault="00FD36BF" w:rsidP="008B750B">
      <w:pPr>
        <w:spacing w:line="240" w:lineRule="auto"/>
      </w:pPr>
      <w:r>
        <w:separator/>
      </w:r>
    </w:p>
  </w:endnote>
  <w:endnote w:type="continuationSeparator" w:id="0">
    <w:p w:rsidR="00FD36BF" w:rsidRDefault="00FD36B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ACA" w:rsidRDefault="00843A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43ACA" w:rsidRPr="006D44C1" w:rsidTr="0020241A">
      <w:tc>
        <w:tcPr>
          <w:tcW w:w="3382" w:type="dxa"/>
          <w:tcBorders>
            <w:top w:val="nil"/>
            <w:left w:val="nil"/>
            <w:bottom w:val="nil"/>
            <w:right w:val="nil"/>
          </w:tcBorders>
        </w:tcPr>
        <w:p w:rsidR="00843ACA" w:rsidRDefault="00843ACA"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43ACA" w:rsidRDefault="00843ACA" w:rsidP="006D44C1">
          <w:pPr>
            <w:pStyle w:val="Footer"/>
            <w:jc w:val="right"/>
            <w:rPr>
              <w:rtl/>
            </w:rPr>
          </w:pPr>
          <w:r>
            <w:rPr>
              <w:rFonts w:hint="cs"/>
              <w:rtl/>
            </w:rPr>
            <w:t xml:space="preserve">صفحه </w:t>
          </w:r>
          <w:r>
            <w:fldChar w:fldCharType="begin"/>
          </w:r>
          <w:r>
            <w:instrText>PAGE   \* MERGEFORMAT</w:instrText>
          </w:r>
          <w:r>
            <w:fldChar w:fldCharType="separate"/>
          </w:r>
          <w:r w:rsidR="0092265E" w:rsidRPr="0092265E">
            <w:rPr>
              <w:noProof/>
              <w:rtl/>
              <w:lang w:val="fa-IR"/>
            </w:rPr>
            <w:t>1</w:t>
          </w:r>
          <w:r>
            <w:rPr>
              <w:noProof/>
            </w:rPr>
            <w:fldChar w:fldCharType="end"/>
          </w:r>
        </w:p>
      </w:tc>
      <w:tc>
        <w:tcPr>
          <w:tcW w:w="4786" w:type="dxa"/>
          <w:tcBorders>
            <w:top w:val="nil"/>
            <w:left w:val="nil"/>
            <w:bottom w:val="nil"/>
            <w:right w:val="nil"/>
          </w:tcBorders>
          <w:vAlign w:val="center"/>
        </w:tcPr>
        <w:p w:rsidR="00843ACA" w:rsidRPr="006D44C1" w:rsidRDefault="00843ACA" w:rsidP="001B6799">
          <w:pPr>
            <w:pStyle w:val="Footer"/>
            <w:bidi w:val="0"/>
            <w:rPr>
              <w:color w:val="808080" w:themeColor="background1" w:themeShade="80"/>
              <w:rtl/>
            </w:rPr>
          </w:pPr>
          <w:bookmarkStart w:id="34" w:name="BokAdres"/>
          <w:bookmarkEnd w:id="34"/>
          <w:r>
            <w:rPr>
              <w:color w:val="808080" w:themeColor="background1" w:themeShade="80"/>
            </w:rPr>
            <w:t>F1js1_13991126-072_mk3_mfeb.ir</w:t>
          </w:r>
        </w:p>
      </w:tc>
    </w:tr>
  </w:tbl>
  <w:p w:rsidR="00843ACA" w:rsidRDefault="00843ACA"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ACA" w:rsidRDefault="00843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BF" w:rsidRDefault="00FD36BF" w:rsidP="008B750B">
      <w:pPr>
        <w:spacing w:line="240" w:lineRule="auto"/>
      </w:pPr>
      <w:r>
        <w:separator/>
      </w:r>
    </w:p>
  </w:footnote>
  <w:footnote w:type="continuationSeparator" w:id="0">
    <w:p w:rsidR="00FD36BF" w:rsidRDefault="00FD36BF" w:rsidP="008B750B">
      <w:pPr>
        <w:spacing w:line="240" w:lineRule="auto"/>
      </w:pPr>
      <w:r>
        <w:continuationSeparator/>
      </w:r>
    </w:p>
  </w:footnote>
  <w:footnote w:id="1">
    <w:p w:rsidR="00843ACA" w:rsidRDefault="00843ACA" w:rsidP="005508ED">
      <w:pPr>
        <w:pStyle w:val="FootnoteText"/>
      </w:pPr>
      <w:r>
        <w:rPr>
          <w:rStyle w:val="FootnoteReference"/>
        </w:rPr>
        <w:footnoteRef/>
      </w:r>
      <w:r>
        <w:rPr>
          <w:rtl/>
        </w:rPr>
        <w:t xml:space="preserve"> </w:t>
      </w:r>
      <w:r w:rsidRPr="005508ED">
        <w:rPr>
          <w:rFonts w:hint="cs"/>
          <w:rtl/>
        </w:rPr>
        <w:t>منهاج الصالحين (المحشى للحكيم)، ج‌2، ص: 289‌</w:t>
      </w:r>
    </w:p>
  </w:footnote>
  <w:footnote w:id="2">
    <w:p w:rsidR="00843ACA" w:rsidRDefault="00843ACA" w:rsidP="0019507D">
      <w:pPr>
        <w:pStyle w:val="FootnoteText"/>
      </w:pPr>
      <w:r>
        <w:rPr>
          <w:rStyle w:val="FootnoteReference"/>
        </w:rPr>
        <w:footnoteRef/>
      </w:r>
      <w:r>
        <w:rPr>
          <w:rtl/>
        </w:rPr>
        <w:t xml:space="preserve"> </w:t>
      </w:r>
      <w:r w:rsidRPr="0019507D">
        <w:rPr>
          <w:rFonts w:hint="cs"/>
          <w:rtl/>
        </w:rPr>
        <w:t>منهاج الصالحين (للخوئي)، ج‌2، ص: 274‌</w:t>
      </w:r>
    </w:p>
  </w:footnote>
  <w:footnote w:id="3">
    <w:p w:rsidR="00843ACA" w:rsidRDefault="00843ACA" w:rsidP="00314C74">
      <w:pPr>
        <w:pStyle w:val="FootnoteText"/>
      </w:pPr>
      <w:r>
        <w:rPr>
          <w:rStyle w:val="FootnoteReference"/>
        </w:rPr>
        <w:footnoteRef/>
      </w:r>
      <w:r>
        <w:rPr>
          <w:rtl/>
        </w:rPr>
        <w:t xml:space="preserve"> </w:t>
      </w:r>
      <w:r>
        <w:rPr>
          <w:rFonts w:hint="cs"/>
          <w:rtl/>
        </w:rPr>
        <w:t xml:space="preserve">المسائل المنتخبة، السید ابوالقاسم الخویی </w:t>
      </w:r>
      <w:r w:rsidRPr="00FB673E">
        <w:rPr>
          <w:rFonts w:hint="cs"/>
          <w:rtl/>
        </w:rPr>
        <w:t>، ص: 323‌</w:t>
      </w:r>
    </w:p>
  </w:footnote>
  <w:footnote w:id="4">
    <w:p w:rsidR="00843ACA" w:rsidRDefault="00843ACA" w:rsidP="00314C74">
      <w:pPr>
        <w:pStyle w:val="FootnoteText"/>
      </w:pPr>
      <w:r>
        <w:rPr>
          <w:rStyle w:val="FootnoteReference"/>
        </w:rPr>
        <w:footnoteRef/>
      </w:r>
      <w:r>
        <w:rPr>
          <w:rtl/>
        </w:rPr>
        <w:t xml:space="preserve"> </w:t>
      </w:r>
      <w:r w:rsidRPr="00634B68">
        <w:rPr>
          <w:rFonts w:hint="cs"/>
          <w:rtl/>
        </w:rPr>
        <w:t>المسائل المنتخبة</w:t>
      </w:r>
      <w:r>
        <w:rPr>
          <w:rFonts w:hint="cs"/>
          <w:rtl/>
        </w:rPr>
        <w:t>،</w:t>
      </w:r>
      <w:r w:rsidRPr="00314C74">
        <w:rPr>
          <w:rFonts w:hint="cs"/>
          <w:rtl/>
        </w:rPr>
        <w:t xml:space="preserve"> </w:t>
      </w:r>
      <w:r>
        <w:rPr>
          <w:rFonts w:hint="cs"/>
          <w:rtl/>
        </w:rPr>
        <w:t>السید ابوالقاسم الخویی،</w:t>
      </w:r>
      <w:r w:rsidRPr="00634B68">
        <w:rPr>
          <w:rFonts w:hint="cs"/>
          <w:rtl/>
        </w:rPr>
        <w:t xml:space="preserve"> ص: 323‌</w:t>
      </w:r>
    </w:p>
  </w:footnote>
  <w:footnote w:id="5">
    <w:p w:rsidR="007F204E" w:rsidRDefault="007F204E" w:rsidP="007F204E">
      <w:pPr>
        <w:pStyle w:val="FootnoteText"/>
      </w:pPr>
      <w:r>
        <w:rPr>
          <w:rStyle w:val="FootnoteReference"/>
        </w:rPr>
        <w:footnoteRef/>
      </w:r>
      <w:r>
        <w:rPr>
          <w:rtl/>
        </w:rPr>
        <w:t xml:space="preserve"> </w:t>
      </w:r>
      <w:r w:rsidRPr="007F204E">
        <w:rPr>
          <w:rFonts w:hint="cs"/>
          <w:rtl/>
        </w:rPr>
        <w:t>المسائل المنتخبة (للسيستاني)، ص: 421‌</w:t>
      </w:r>
    </w:p>
  </w:footnote>
  <w:footnote w:id="6">
    <w:p w:rsidR="00AA6D56" w:rsidRDefault="00AA6D56" w:rsidP="00AA6D56">
      <w:pPr>
        <w:pStyle w:val="FootnoteText"/>
      </w:pPr>
      <w:r>
        <w:rPr>
          <w:rStyle w:val="FootnoteReference"/>
        </w:rPr>
        <w:footnoteRef/>
      </w:r>
      <w:r>
        <w:rPr>
          <w:rtl/>
        </w:rPr>
        <w:t xml:space="preserve"> </w:t>
      </w:r>
      <w:r w:rsidRPr="00AA6D56">
        <w:rPr>
          <w:rFonts w:hint="cs"/>
          <w:rtl/>
        </w:rPr>
        <w:t>منهاج الصالحين (للسيستاني)، ج‌3، ص: 174‌</w:t>
      </w:r>
    </w:p>
  </w:footnote>
  <w:footnote w:id="7">
    <w:p w:rsidR="00A028FF" w:rsidRDefault="00A028FF" w:rsidP="00A028FF">
      <w:pPr>
        <w:pStyle w:val="FootnoteText"/>
      </w:pPr>
      <w:r>
        <w:rPr>
          <w:rStyle w:val="FootnoteReference"/>
        </w:rPr>
        <w:footnoteRef/>
      </w:r>
      <w:r>
        <w:rPr>
          <w:rtl/>
        </w:rPr>
        <w:t xml:space="preserve"> </w:t>
      </w:r>
      <w:r w:rsidRPr="00A028FF">
        <w:rPr>
          <w:rFonts w:hint="cs"/>
          <w:rtl/>
        </w:rPr>
        <w:t>منهاج الصالحين (للسيد محمد سعيد)، ج‌3، ص: 92‌</w:t>
      </w:r>
    </w:p>
  </w:footnote>
  <w:footnote w:id="8">
    <w:p w:rsidR="005B5FDC" w:rsidRDefault="005B5FDC" w:rsidP="005B5FDC">
      <w:pPr>
        <w:pStyle w:val="FootnoteText"/>
      </w:pPr>
      <w:r>
        <w:rPr>
          <w:rStyle w:val="FootnoteReference"/>
        </w:rPr>
        <w:footnoteRef/>
      </w:r>
      <w:r>
        <w:rPr>
          <w:rtl/>
        </w:rPr>
        <w:t xml:space="preserve"> </w:t>
      </w:r>
      <w:r w:rsidRPr="005B5FDC">
        <w:rPr>
          <w:rFonts w:hint="cs"/>
          <w:rtl/>
        </w:rPr>
        <w:t>منهاج الصالحين (للسيد محمد سعيد)، ج‌3، ص: 89‌</w:t>
      </w:r>
    </w:p>
  </w:footnote>
  <w:footnote w:id="9">
    <w:p w:rsidR="0003041A" w:rsidRDefault="0003041A">
      <w:pPr>
        <w:pStyle w:val="FootnoteText"/>
      </w:pPr>
      <w:r>
        <w:rPr>
          <w:rStyle w:val="FootnoteReference"/>
        </w:rPr>
        <w:footnoteRef/>
      </w:r>
      <w:r>
        <w:rPr>
          <w:rtl/>
        </w:rPr>
        <w:t xml:space="preserve"> </w:t>
      </w:r>
      <w:r w:rsidRPr="005B5FDC">
        <w:rPr>
          <w:rFonts w:hint="cs"/>
          <w:rtl/>
        </w:rPr>
        <w:t>منهاج الصالحين (للسيد محمد سعيد)، ج‌3، ص: 89‌</w:t>
      </w:r>
    </w:p>
  </w:footnote>
  <w:footnote w:id="10">
    <w:p w:rsidR="0003041A" w:rsidRDefault="0003041A">
      <w:pPr>
        <w:pStyle w:val="FootnoteText"/>
      </w:pPr>
      <w:r>
        <w:rPr>
          <w:rStyle w:val="FootnoteReference"/>
        </w:rPr>
        <w:footnoteRef/>
      </w:r>
      <w:r>
        <w:rPr>
          <w:rtl/>
        </w:rPr>
        <w:t xml:space="preserve"> </w:t>
      </w:r>
      <w:r w:rsidRPr="005B5FDC">
        <w:rPr>
          <w:rFonts w:hint="cs"/>
          <w:rtl/>
        </w:rPr>
        <w:t>منهاج الصالحي</w:t>
      </w:r>
      <w:r>
        <w:rPr>
          <w:rFonts w:hint="cs"/>
          <w:rtl/>
        </w:rPr>
        <w:t>ن (للسيد محمد سعيد)، ج‌3، ص: 90</w:t>
      </w:r>
    </w:p>
  </w:footnote>
  <w:footnote w:id="11">
    <w:p w:rsidR="00EF4FD8" w:rsidRPr="00EF4FD8" w:rsidRDefault="00EF4FD8" w:rsidP="00EF4FD8">
      <w:pPr>
        <w:pStyle w:val="FootnoteText"/>
      </w:pPr>
      <w:r w:rsidRPr="00EF4FD8">
        <w:footnoteRef/>
      </w:r>
      <w:r w:rsidRPr="00EF4FD8">
        <w:rPr>
          <w:rtl/>
        </w:rPr>
        <w:t xml:space="preserve"> </w:t>
      </w:r>
      <w:r w:rsidRPr="00EF4FD8">
        <w:rPr>
          <w:rFonts w:hint="cs"/>
          <w:rtl/>
        </w:rPr>
        <w:t>سوره</w:t>
      </w:r>
      <w:r w:rsidRPr="00EF4FD8">
        <w:rPr>
          <w:rtl/>
        </w:rPr>
        <w:t xml:space="preserve"> </w:t>
      </w:r>
      <w:r w:rsidRPr="00EF4FD8">
        <w:rPr>
          <w:rFonts w:hint="cs"/>
          <w:rtl/>
        </w:rPr>
        <w:t>طلاق،</w:t>
      </w:r>
      <w:r w:rsidRPr="00EF4FD8">
        <w:rPr>
          <w:rtl/>
        </w:rPr>
        <w:t xml:space="preserve"> </w:t>
      </w:r>
      <w:r w:rsidRPr="00EF4FD8">
        <w:rPr>
          <w:rFonts w:hint="cs"/>
          <w:rtl/>
        </w:rPr>
        <w:t>آيه</w:t>
      </w:r>
      <w:r w:rsidRPr="00EF4FD8">
        <w:rPr>
          <w:rtl/>
        </w:rPr>
        <w:t xml:space="preserve"> 4.</w:t>
      </w:r>
    </w:p>
  </w:footnote>
  <w:footnote w:id="12">
    <w:p w:rsidR="0084512B" w:rsidRPr="0084512B" w:rsidRDefault="0084512B" w:rsidP="0084512B">
      <w:pPr>
        <w:pStyle w:val="FootnoteText"/>
      </w:pPr>
      <w:r w:rsidRPr="0084512B">
        <w:footnoteRef/>
      </w:r>
      <w:r w:rsidRPr="0084512B">
        <w:rPr>
          <w:rtl/>
        </w:rPr>
        <w:t xml:space="preserve"> </w:t>
      </w:r>
      <w:r w:rsidRPr="0084512B">
        <w:rPr>
          <w:rFonts w:hint="cs"/>
          <w:rtl/>
        </w:rPr>
        <w:t>سوره</w:t>
      </w:r>
      <w:r w:rsidRPr="0084512B">
        <w:rPr>
          <w:rtl/>
        </w:rPr>
        <w:t xml:space="preserve"> </w:t>
      </w:r>
      <w:r w:rsidRPr="0084512B">
        <w:rPr>
          <w:rFonts w:hint="cs"/>
          <w:rtl/>
        </w:rPr>
        <w:t>طلاق،</w:t>
      </w:r>
      <w:r w:rsidRPr="0084512B">
        <w:rPr>
          <w:rtl/>
        </w:rPr>
        <w:t xml:space="preserve"> </w:t>
      </w:r>
      <w:r w:rsidRPr="0084512B">
        <w:rPr>
          <w:rFonts w:hint="cs"/>
          <w:rtl/>
        </w:rPr>
        <w:t>آيه</w:t>
      </w:r>
      <w:r w:rsidRPr="0084512B">
        <w:rPr>
          <w:rtl/>
        </w:rPr>
        <w:t xml:space="preserve"> 4.</w:t>
      </w:r>
    </w:p>
  </w:footnote>
  <w:footnote w:id="13">
    <w:p w:rsidR="0084512B" w:rsidRDefault="0084512B" w:rsidP="0084512B">
      <w:pPr>
        <w:pStyle w:val="FootnoteText"/>
      </w:pPr>
      <w:r>
        <w:rPr>
          <w:rStyle w:val="FootnoteReference"/>
        </w:rPr>
        <w:footnoteRef/>
      </w:r>
      <w:r>
        <w:rPr>
          <w:rtl/>
        </w:rPr>
        <w:t xml:space="preserve"> </w:t>
      </w:r>
      <w:r w:rsidRPr="0084512B">
        <w:rPr>
          <w:rFonts w:hint="cs"/>
          <w:rtl/>
        </w:rPr>
        <w:t>مباني منهاج الصالحين، ج‌10، ص: 131‌</w:t>
      </w:r>
    </w:p>
  </w:footnote>
  <w:footnote w:id="14">
    <w:p w:rsidR="001977CD" w:rsidRDefault="001977CD">
      <w:pPr>
        <w:pStyle w:val="FootnoteText"/>
      </w:pPr>
      <w:r>
        <w:rPr>
          <w:rStyle w:val="FootnoteReference"/>
        </w:rPr>
        <w:footnoteRef/>
      </w:r>
      <w:r>
        <w:rPr>
          <w:rtl/>
        </w:rPr>
        <w:t xml:space="preserve"> </w:t>
      </w:r>
      <w:r>
        <w:rPr>
          <w:rFonts w:hint="cs"/>
          <w:rtl/>
        </w:rPr>
        <w:t>ابواب العدد، باب 8، روایت 14 و 15 باب؛ روایت 40547 و 40548</w:t>
      </w:r>
    </w:p>
  </w:footnote>
  <w:footnote w:id="15">
    <w:p w:rsidR="00CD7AC9" w:rsidRPr="00CD7AC9" w:rsidRDefault="00CD7AC9" w:rsidP="00CD7AC9">
      <w:pPr>
        <w:pStyle w:val="FootnoteText"/>
      </w:pPr>
      <w:r w:rsidRPr="00CD7AC9">
        <w:footnoteRef/>
      </w:r>
      <w:r w:rsidRPr="00CD7AC9">
        <w:rPr>
          <w:rtl/>
        </w:rPr>
        <w:t xml:space="preserve"> </w:t>
      </w:r>
      <w:hyperlink r:id="rId1" w:history="1">
        <w:r w:rsidRPr="00CD7AC9">
          <w:rPr>
            <w:rStyle w:val="Hyperlink"/>
            <w:rFonts w:hint="cs"/>
            <w:rtl/>
          </w:rPr>
          <w:t>تهذیب</w:t>
        </w:r>
        <w:r w:rsidRPr="00CD7AC9">
          <w:rPr>
            <w:rStyle w:val="Hyperlink"/>
            <w:rtl/>
          </w:rPr>
          <w:t xml:space="preserve"> </w:t>
        </w:r>
        <w:r w:rsidRPr="00CD7AC9">
          <w:rPr>
            <w:rStyle w:val="Hyperlink"/>
            <w:rFonts w:hint="cs"/>
            <w:rtl/>
          </w:rPr>
          <w:t>الاحکام،</w:t>
        </w:r>
        <w:r w:rsidRPr="00CD7AC9">
          <w:rPr>
            <w:rStyle w:val="Hyperlink"/>
            <w:rtl/>
          </w:rPr>
          <w:t xml:space="preserve"> </w:t>
        </w:r>
        <w:r w:rsidRPr="00CD7AC9">
          <w:rPr>
            <w:rStyle w:val="Hyperlink"/>
            <w:rFonts w:hint="cs"/>
            <w:rtl/>
          </w:rPr>
          <w:t>شیخ</w:t>
        </w:r>
        <w:r w:rsidRPr="00CD7AC9">
          <w:rPr>
            <w:rStyle w:val="Hyperlink"/>
            <w:rtl/>
          </w:rPr>
          <w:t xml:space="preserve"> </w:t>
        </w:r>
        <w:r w:rsidRPr="00CD7AC9">
          <w:rPr>
            <w:rStyle w:val="Hyperlink"/>
            <w:rFonts w:hint="cs"/>
            <w:rtl/>
          </w:rPr>
          <w:t>طوسی،</w:t>
        </w:r>
        <w:r w:rsidRPr="00CD7AC9">
          <w:rPr>
            <w:rStyle w:val="Hyperlink"/>
            <w:rtl/>
          </w:rPr>
          <w:t xml:space="preserve"> </w:t>
        </w:r>
        <w:r w:rsidRPr="00CD7AC9">
          <w:rPr>
            <w:rStyle w:val="Hyperlink"/>
            <w:rFonts w:hint="cs"/>
            <w:rtl/>
          </w:rPr>
          <w:t>ج</w:t>
        </w:r>
        <w:r w:rsidRPr="00CD7AC9">
          <w:rPr>
            <w:rStyle w:val="Hyperlink"/>
            <w:rtl/>
          </w:rPr>
          <w:t>7</w:t>
        </w:r>
        <w:r w:rsidRPr="00CD7AC9">
          <w:rPr>
            <w:rStyle w:val="Hyperlink"/>
            <w:rFonts w:hint="cs"/>
            <w:rtl/>
          </w:rPr>
          <w:t>،</w:t>
        </w:r>
        <w:r w:rsidRPr="00CD7AC9">
          <w:rPr>
            <w:rStyle w:val="Hyperlink"/>
            <w:rtl/>
          </w:rPr>
          <w:t xml:space="preserve"> </w:t>
        </w:r>
        <w:r w:rsidRPr="00CD7AC9">
          <w:rPr>
            <w:rStyle w:val="Hyperlink"/>
            <w:rFonts w:hint="cs"/>
            <w:rtl/>
          </w:rPr>
          <w:t>ص</w:t>
        </w:r>
        <w:r w:rsidRPr="00CD7AC9">
          <w:rPr>
            <w:rStyle w:val="Hyperlink"/>
            <w:rtl/>
          </w:rPr>
          <w:t>474.</w:t>
        </w:r>
      </w:hyperlink>
    </w:p>
  </w:footnote>
  <w:footnote w:id="16">
    <w:p w:rsidR="00CD7AC9" w:rsidRPr="00CD7AC9" w:rsidRDefault="00CD7AC9" w:rsidP="00CD7AC9">
      <w:pPr>
        <w:pStyle w:val="FootnoteText"/>
      </w:pPr>
      <w:r w:rsidRPr="00CD7AC9">
        <w:footnoteRef/>
      </w:r>
      <w:r w:rsidRPr="00CD7AC9">
        <w:rPr>
          <w:rtl/>
        </w:rPr>
        <w:t xml:space="preserve"> </w:t>
      </w:r>
      <w:hyperlink r:id="rId2" w:history="1">
        <w:r w:rsidRPr="00CD7AC9">
          <w:rPr>
            <w:rStyle w:val="Hyperlink"/>
            <w:rFonts w:hint="cs"/>
            <w:rtl/>
          </w:rPr>
          <w:t>تهذیب</w:t>
        </w:r>
        <w:r w:rsidRPr="00CD7AC9">
          <w:rPr>
            <w:rStyle w:val="Hyperlink"/>
            <w:rtl/>
          </w:rPr>
          <w:t xml:space="preserve"> </w:t>
        </w:r>
        <w:r w:rsidRPr="00CD7AC9">
          <w:rPr>
            <w:rStyle w:val="Hyperlink"/>
            <w:rFonts w:hint="cs"/>
            <w:rtl/>
          </w:rPr>
          <w:t>الاحکام،</w:t>
        </w:r>
        <w:r w:rsidRPr="00CD7AC9">
          <w:rPr>
            <w:rStyle w:val="Hyperlink"/>
            <w:rtl/>
          </w:rPr>
          <w:t xml:space="preserve"> </w:t>
        </w:r>
        <w:r w:rsidRPr="00CD7AC9">
          <w:rPr>
            <w:rStyle w:val="Hyperlink"/>
            <w:rFonts w:hint="cs"/>
            <w:rtl/>
          </w:rPr>
          <w:t>شیخ</w:t>
        </w:r>
        <w:r w:rsidRPr="00CD7AC9">
          <w:rPr>
            <w:rStyle w:val="Hyperlink"/>
            <w:rtl/>
          </w:rPr>
          <w:t xml:space="preserve"> </w:t>
        </w:r>
        <w:r w:rsidRPr="00CD7AC9">
          <w:rPr>
            <w:rStyle w:val="Hyperlink"/>
            <w:rFonts w:hint="cs"/>
            <w:rtl/>
          </w:rPr>
          <w:t>طوسی،</w:t>
        </w:r>
        <w:r w:rsidRPr="00CD7AC9">
          <w:rPr>
            <w:rStyle w:val="Hyperlink"/>
            <w:rtl/>
          </w:rPr>
          <w:t xml:space="preserve"> </w:t>
        </w:r>
        <w:r w:rsidRPr="00CD7AC9">
          <w:rPr>
            <w:rStyle w:val="Hyperlink"/>
            <w:rFonts w:hint="cs"/>
            <w:rtl/>
          </w:rPr>
          <w:t>ج</w:t>
        </w:r>
        <w:r w:rsidRPr="00CD7AC9">
          <w:rPr>
            <w:rStyle w:val="Hyperlink"/>
            <w:rtl/>
          </w:rPr>
          <w:t>7</w:t>
        </w:r>
        <w:r w:rsidRPr="00CD7AC9">
          <w:rPr>
            <w:rStyle w:val="Hyperlink"/>
            <w:rFonts w:hint="cs"/>
            <w:rtl/>
          </w:rPr>
          <w:t>،</w:t>
        </w:r>
        <w:r w:rsidRPr="00CD7AC9">
          <w:rPr>
            <w:rStyle w:val="Hyperlink"/>
            <w:rtl/>
          </w:rPr>
          <w:t xml:space="preserve"> </w:t>
        </w:r>
        <w:r w:rsidRPr="00CD7AC9">
          <w:rPr>
            <w:rStyle w:val="Hyperlink"/>
            <w:rFonts w:hint="cs"/>
            <w:rtl/>
          </w:rPr>
          <w:t>ص</w:t>
        </w:r>
        <w:r w:rsidRPr="00CD7AC9">
          <w:rPr>
            <w:rStyle w:val="Hyperlink"/>
            <w:rtl/>
          </w:rPr>
          <w:t>468.</w:t>
        </w:r>
      </w:hyperlink>
    </w:p>
  </w:footnote>
  <w:footnote w:id="17">
    <w:p w:rsidR="00337ADB" w:rsidRPr="00337ADB" w:rsidRDefault="00337ADB" w:rsidP="00337ADB">
      <w:pPr>
        <w:pStyle w:val="FootnoteText"/>
      </w:pPr>
      <w:r w:rsidRPr="00337ADB">
        <w:footnoteRef/>
      </w:r>
      <w:r w:rsidRPr="00337ADB">
        <w:rPr>
          <w:rtl/>
        </w:rPr>
        <w:t xml:space="preserve"> </w:t>
      </w:r>
      <w:hyperlink r:id="rId3" w:history="1">
        <w:r w:rsidRPr="00337ADB">
          <w:rPr>
            <w:rStyle w:val="Hyperlink"/>
            <w:rFonts w:hint="cs"/>
            <w:rtl/>
          </w:rPr>
          <w:t>الکافی،</w:t>
        </w:r>
        <w:r w:rsidRPr="00337ADB">
          <w:rPr>
            <w:rStyle w:val="Hyperlink"/>
            <w:rtl/>
          </w:rPr>
          <w:t xml:space="preserve"> </w:t>
        </w:r>
        <w:r w:rsidRPr="00337ADB">
          <w:rPr>
            <w:rStyle w:val="Hyperlink"/>
            <w:rFonts w:hint="cs"/>
            <w:rtl/>
          </w:rPr>
          <w:t>محمد</w:t>
        </w:r>
        <w:r w:rsidRPr="00337ADB">
          <w:rPr>
            <w:rStyle w:val="Hyperlink"/>
            <w:rtl/>
          </w:rPr>
          <w:t xml:space="preserve"> </w:t>
        </w:r>
        <w:r w:rsidRPr="00337ADB">
          <w:rPr>
            <w:rStyle w:val="Hyperlink"/>
            <w:rFonts w:hint="cs"/>
            <w:rtl/>
          </w:rPr>
          <w:t>بن</w:t>
        </w:r>
        <w:r w:rsidRPr="00337ADB">
          <w:rPr>
            <w:rStyle w:val="Hyperlink"/>
            <w:rtl/>
          </w:rPr>
          <w:t xml:space="preserve"> </w:t>
        </w:r>
        <w:r w:rsidRPr="00337ADB">
          <w:rPr>
            <w:rStyle w:val="Hyperlink"/>
            <w:rFonts w:hint="cs"/>
            <w:rtl/>
          </w:rPr>
          <w:t>یعقوب</w:t>
        </w:r>
        <w:r w:rsidRPr="00337ADB">
          <w:rPr>
            <w:rStyle w:val="Hyperlink"/>
            <w:rtl/>
          </w:rPr>
          <w:t xml:space="preserve"> </w:t>
        </w:r>
        <w:r w:rsidRPr="00337ADB">
          <w:rPr>
            <w:rStyle w:val="Hyperlink"/>
            <w:rFonts w:hint="cs"/>
            <w:rtl/>
          </w:rPr>
          <w:t>کلینی،</w:t>
        </w:r>
        <w:r w:rsidRPr="00337ADB">
          <w:rPr>
            <w:rStyle w:val="Hyperlink"/>
            <w:rtl/>
          </w:rPr>
          <w:t xml:space="preserve"> </w:t>
        </w:r>
        <w:r w:rsidRPr="00337ADB">
          <w:rPr>
            <w:rStyle w:val="Hyperlink"/>
            <w:rFonts w:hint="cs"/>
            <w:rtl/>
          </w:rPr>
          <w:t>ج</w:t>
        </w:r>
        <w:r w:rsidRPr="00337ADB">
          <w:rPr>
            <w:rStyle w:val="Hyperlink"/>
            <w:rtl/>
          </w:rPr>
          <w:t>6</w:t>
        </w:r>
        <w:r w:rsidRPr="00337ADB">
          <w:rPr>
            <w:rStyle w:val="Hyperlink"/>
            <w:rFonts w:hint="cs"/>
            <w:rtl/>
          </w:rPr>
          <w:t>،</w:t>
        </w:r>
        <w:r w:rsidRPr="00337ADB">
          <w:rPr>
            <w:rStyle w:val="Hyperlink"/>
            <w:rtl/>
          </w:rPr>
          <w:t xml:space="preserve"> </w:t>
        </w:r>
        <w:r w:rsidRPr="00337ADB">
          <w:rPr>
            <w:rStyle w:val="Hyperlink"/>
            <w:rFonts w:hint="cs"/>
            <w:rtl/>
          </w:rPr>
          <w:t>ص</w:t>
        </w:r>
        <w:r w:rsidRPr="00337ADB">
          <w:rPr>
            <w:rStyle w:val="Hyperlink"/>
            <w:rtl/>
          </w:rPr>
          <w:t>114.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ACA" w:rsidRDefault="00843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ACA" w:rsidRPr="001D2E9A" w:rsidRDefault="00843AC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7" w:name="BokNum"/>
    <w:bookmarkEnd w:id="27"/>
    <w:r>
      <w:rPr>
        <w:b/>
        <w:bCs/>
        <w:sz w:val="20"/>
        <w:szCs w:val="24"/>
        <w:rtl/>
      </w:rPr>
      <w:t>072</w:t>
    </w:r>
    <w:r>
      <w:rPr>
        <w:rFonts w:hint="cs"/>
        <w:b/>
        <w:bCs/>
        <w:sz w:val="20"/>
        <w:szCs w:val="24"/>
        <w:rtl/>
      </w:rPr>
      <w:tab/>
    </w:r>
    <w:r w:rsidRPr="00C32A7E">
      <w:rPr>
        <w:rFonts w:hint="cs"/>
        <w:b/>
        <w:bCs/>
        <w:color w:val="632423" w:themeColor="accent2" w:themeShade="80"/>
        <w:sz w:val="20"/>
        <w:szCs w:val="24"/>
        <w:rtl/>
      </w:rPr>
      <w:t xml:space="preserve">درس خارج </w:t>
    </w:r>
    <w:bookmarkStart w:id="28" w:name="Bokdars"/>
    <w:bookmarkEnd w:id="2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9" w:name="Bokostad"/>
    <w:bookmarkEnd w:id="2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0" w:name="BokTarikh"/>
    <w:bookmarkEnd w:id="30"/>
    <w:r>
      <w:rPr>
        <w:sz w:val="24"/>
        <w:szCs w:val="24"/>
        <w:rtl/>
      </w:rPr>
      <w:t>26 /11 /1399</w:t>
    </w:r>
  </w:p>
  <w:p w:rsidR="00843ACA" w:rsidRPr="00F16B53" w:rsidRDefault="00843AC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1" w:name="BokSabj"/>
    <w:bookmarkEnd w:id="31"/>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2" w:name="Bokmoqarer"/>
    <w:bookmarkEnd w:id="32"/>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3" w:name="BokSabj2"/>
    <w:bookmarkEnd w:id="33"/>
    <w:r>
      <w:rPr>
        <w:rFonts w:hint="cs"/>
        <w:sz w:val="24"/>
        <w:szCs w:val="24"/>
        <w:rtl/>
      </w:rPr>
      <w:t>فصل</w:t>
    </w:r>
    <w:r>
      <w:rPr>
        <w:sz w:val="24"/>
        <w:szCs w:val="24"/>
        <w:rtl/>
      </w:rPr>
      <w:t xml:space="preserve"> </w:t>
    </w:r>
    <w:r>
      <w:rPr>
        <w:rFonts w:hint="cs"/>
        <w:sz w:val="24"/>
        <w:szCs w:val="24"/>
        <w:rtl/>
      </w:rPr>
      <w:t>پنجم</w:t>
    </w:r>
    <w:r>
      <w:rPr>
        <w:sz w:val="24"/>
        <w:szCs w:val="24"/>
        <w:rtl/>
      </w:rPr>
      <w:t xml:space="preserve"> </w:t>
    </w:r>
    <w:r>
      <w:rPr>
        <w:rFonts w:hint="cs"/>
        <w:sz w:val="24"/>
        <w:szCs w:val="24"/>
        <w:rtl/>
      </w:rPr>
      <w:t>کتاب</w:t>
    </w:r>
    <w:r>
      <w:rPr>
        <w:sz w:val="24"/>
        <w:szCs w:val="24"/>
        <w:rtl/>
      </w:rPr>
      <w:t xml:space="preserve"> </w:t>
    </w:r>
    <w:r>
      <w:rPr>
        <w:rFonts w:hint="cs"/>
        <w:sz w:val="24"/>
        <w:szCs w:val="24"/>
        <w:rtl/>
      </w:rPr>
      <w:t>العدد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ACA" w:rsidRDefault="00843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50FFF"/>
    <w:multiLevelType w:val="hybridMultilevel"/>
    <w:tmpl w:val="8536D84E"/>
    <w:lvl w:ilvl="0" w:tplc="55285E7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041A"/>
    <w:rsid w:val="000353D7"/>
    <w:rsid w:val="00055496"/>
    <w:rsid w:val="00063651"/>
    <w:rsid w:val="0007213D"/>
    <w:rsid w:val="00074B20"/>
    <w:rsid w:val="00080A41"/>
    <w:rsid w:val="0008299B"/>
    <w:rsid w:val="000913AA"/>
    <w:rsid w:val="00094847"/>
    <w:rsid w:val="00096C63"/>
    <w:rsid w:val="000A77B6"/>
    <w:rsid w:val="000B5DB5"/>
    <w:rsid w:val="000C3947"/>
    <w:rsid w:val="000D2A37"/>
    <w:rsid w:val="000D30E9"/>
    <w:rsid w:val="000D6818"/>
    <w:rsid w:val="000E335E"/>
    <w:rsid w:val="000F16CF"/>
    <w:rsid w:val="000F5BAC"/>
    <w:rsid w:val="00102585"/>
    <w:rsid w:val="00103300"/>
    <w:rsid w:val="00106205"/>
    <w:rsid w:val="00114AB7"/>
    <w:rsid w:val="00116B2B"/>
    <w:rsid w:val="00124E3D"/>
    <w:rsid w:val="00127E95"/>
    <w:rsid w:val="00130659"/>
    <w:rsid w:val="00131F56"/>
    <w:rsid w:val="001347C7"/>
    <w:rsid w:val="001356B0"/>
    <w:rsid w:val="00146F80"/>
    <w:rsid w:val="00151937"/>
    <w:rsid w:val="0016243B"/>
    <w:rsid w:val="001664CA"/>
    <w:rsid w:val="00181844"/>
    <w:rsid w:val="001837E9"/>
    <w:rsid w:val="00187DFA"/>
    <w:rsid w:val="0019507D"/>
    <w:rsid w:val="001977CD"/>
    <w:rsid w:val="001A1BC1"/>
    <w:rsid w:val="001A1EA5"/>
    <w:rsid w:val="001A2574"/>
    <w:rsid w:val="001A27D7"/>
    <w:rsid w:val="001A294E"/>
    <w:rsid w:val="001A31C3"/>
    <w:rsid w:val="001A4ED8"/>
    <w:rsid w:val="001A6D02"/>
    <w:rsid w:val="001B2488"/>
    <w:rsid w:val="001B6799"/>
    <w:rsid w:val="001C1362"/>
    <w:rsid w:val="001D2E9A"/>
    <w:rsid w:val="001D597F"/>
    <w:rsid w:val="001D7194"/>
    <w:rsid w:val="001E3FD4"/>
    <w:rsid w:val="001E7C07"/>
    <w:rsid w:val="0020241A"/>
    <w:rsid w:val="00203821"/>
    <w:rsid w:val="00211632"/>
    <w:rsid w:val="0021630D"/>
    <w:rsid w:val="0024121B"/>
    <w:rsid w:val="00241D49"/>
    <w:rsid w:val="00247D2F"/>
    <w:rsid w:val="0025322B"/>
    <w:rsid w:val="00256560"/>
    <w:rsid w:val="0027605E"/>
    <w:rsid w:val="002767BD"/>
    <w:rsid w:val="00281E00"/>
    <w:rsid w:val="00294A52"/>
    <w:rsid w:val="002B256C"/>
    <w:rsid w:val="002B575F"/>
    <w:rsid w:val="002B729B"/>
    <w:rsid w:val="002C23B5"/>
    <w:rsid w:val="002C53A2"/>
    <w:rsid w:val="002D0040"/>
    <w:rsid w:val="002D0490"/>
    <w:rsid w:val="002D2FA8"/>
    <w:rsid w:val="002E220F"/>
    <w:rsid w:val="002F3D47"/>
    <w:rsid w:val="002F7644"/>
    <w:rsid w:val="0030539B"/>
    <w:rsid w:val="00307311"/>
    <w:rsid w:val="00314C74"/>
    <w:rsid w:val="0032100F"/>
    <w:rsid w:val="0033402C"/>
    <w:rsid w:val="0033771A"/>
    <w:rsid w:val="00337ADB"/>
    <w:rsid w:val="00340521"/>
    <w:rsid w:val="00345C73"/>
    <w:rsid w:val="00354A99"/>
    <w:rsid w:val="00360311"/>
    <w:rsid w:val="00361922"/>
    <w:rsid w:val="0037339B"/>
    <w:rsid w:val="00386C11"/>
    <w:rsid w:val="003909AA"/>
    <w:rsid w:val="00394E30"/>
    <w:rsid w:val="00397466"/>
    <w:rsid w:val="003A6148"/>
    <w:rsid w:val="003C33F6"/>
    <w:rsid w:val="003C39AC"/>
    <w:rsid w:val="003C3D2E"/>
    <w:rsid w:val="003C43A5"/>
    <w:rsid w:val="003E1C5C"/>
    <w:rsid w:val="003E6650"/>
    <w:rsid w:val="003F5B46"/>
    <w:rsid w:val="00400350"/>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19A3"/>
    <w:rsid w:val="004A2FEA"/>
    <w:rsid w:val="004B4BCF"/>
    <w:rsid w:val="004C6E3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5EAD"/>
    <w:rsid w:val="005508ED"/>
    <w:rsid w:val="0056213C"/>
    <w:rsid w:val="00567C3B"/>
    <w:rsid w:val="005761B6"/>
    <w:rsid w:val="00580C24"/>
    <w:rsid w:val="00583715"/>
    <w:rsid w:val="00594A63"/>
    <w:rsid w:val="005968EF"/>
    <w:rsid w:val="00596C1E"/>
    <w:rsid w:val="005A2E26"/>
    <w:rsid w:val="005A76FC"/>
    <w:rsid w:val="005B5FDC"/>
    <w:rsid w:val="005B7BCA"/>
    <w:rsid w:val="005C0DAE"/>
    <w:rsid w:val="005C188E"/>
    <w:rsid w:val="005D1833"/>
    <w:rsid w:val="005D2349"/>
    <w:rsid w:val="005E1B60"/>
    <w:rsid w:val="005E5507"/>
    <w:rsid w:val="005E59D2"/>
    <w:rsid w:val="005E607B"/>
    <w:rsid w:val="005F0A8D"/>
    <w:rsid w:val="005F7C89"/>
    <w:rsid w:val="00601229"/>
    <w:rsid w:val="00603B67"/>
    <w:rsid w:val="006162A2"/>
    <w:rsid w:val="006240DA"/>
    <w:rsid w:val="0063256E"/>
    <w:rsid w:val="00633F04"/>
    <w:rsid w:val="00634B68"/>
    <w:rsid w:val="00635219"/>
    <w:rsid w:val="00635EC0"/>
    <w:rsid w:val="00640B58"/>
    <w:rsid w:val="00651B02"/>
    <w:rsid w:val="00651B19"/>
    <w:rsid w:val="00660A29"/>
    <w:rsid w:val="00665515"/>
    <w:rsid w:val="00666B1E"/>
    <w:rsid w:val="00683C8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38B2"/>
    <w:rsid w:val="0072290D"/>
    <w:rsid w:val="007235F2"/>
    <w:rsid w:val="00723D6D"/>
    <w:rsid w:val="00724537"/>
    <w:rsid w:val="00731724"/>
    <w:rsid w:val="0073474B"/>
    <w:rsid w:val="00735511"/>
    <w:rsid w:val="00737208"/>
    <w:rsid w:val="00744DE6"/>
    <w:rsid w:val="0075072D"/>
    <w:rsid w:val="00762452"/>
    <w:rsid w:val="007639E0"/>
    <w:rsid w:val="00775507"/>
    <w:rsid w:val="00783473"/>
    <w:rsid w:val="0078594B"/>
    <w:rsid w:val="00792CD3"/>
    <w:rsid w:val="00795E02"/>
    <w:rsid w:val="007979D0"/>
    <w:rsid w:val="007A188E"/>
    <w:rsid w:val="007A4E18"/>
    <w:rsid w:val="007A7B8C"/>
    <w:rsid w:val="007C6D9E"/>
    <w:rsid w:val="007D1C43"/>
    <w:rsid w:val="007D6C53"/>
    <w:rsid w:val="007E1564"/>
    <w:rsid w:val="007E1E87"/>
    <w:rsid w:val="007E5B3F"/>
    <w:rsid w:val="007F204E"/>
    <w:rsid w:val="007F2257"/>
    <w:rsid w:val="0080091D"/>
    <w:rsid w:val="00804108"/>
    <w:rsid w:val="00804FC4"/>
    <w:rsid w:val="00806816"/>
    <w:rsid w:val="00816367"/>
    <w:rsid w:val="00816A0B"/>
    <w:rsid w:val="00824B22"/>
    <w:rsid w:val="00830C53"/>
    <w:rsid w:val="00837FAA"/>
    <w:rsid w:val="00841F77"/>
    <w:rsid w:val="00843ACA"/>
    <w:rsid w:val="0084512B"/>
    <w:rsid w:val="0085276D"/>
    <w:rsid w:val="00862FE0"/>
    <w:rsid w:val="00863390"/>
    <w:rsid w:val="0086385C"/>
    <w:rsid w:val="00871916"/>
    <w:rsid w:val="00876518"/>
    <w:rsid w:val="008956DD"/>
    <w:rsid w:val="008960DF"/>
    <w:rsid w:val="008A0033"/>
    <w:rsid w:val="008A510E"/>
    <w:rsid w:val="008A522A"/>
    <w:rsid w:val="008B4464"/>
    <w:rsid w:val="008B750B"/>
    <w:rsid w:val="008C3162"/>
    <w:rsid w:val="008D1E29"/>
    <w:rsid w:val="008D1F14"/>
    <w:rsid w:val="008E3924"/>
    <w:rsid w:val="008E4454"/>
    <w:rsid w:val="008F13F7"/>
    <w:rsid w:val="008F5B4D"/>
    <w:rsid w:val="00907425"/>
    <w:rsid w:val="00912AE7"/>
    <w:rsid w:val="0092265E"/>
    <w:rsid w:val="00923C34"/>
    <w:rsid w:val="00924152"/>
    <w:rsid w:val="0092513D"/>
    <w:rsid w:val="00927A9F"/>
    <w:rsid w:val="009335CC"/>
    <w:rsid w:val="00935A55"/>
    <w:rsid w:val="00937576"/>
    <w:rsid w:val="00941CEB"/>
    <w:rsid w:val="0094720F"/>
    <w:rsid w:val="00953B28"/>
    <w:rsid w:val="00954322"/>
    <w:rsid w:val="00957CAA"/>
    <w:rsid w:val="0096778A"/>
    <w:rsid w:val="00977656"/>
    <w:rsid w:val="009846A7"/>
    <w:rsid w:val="0098794D"/>
    <w:rsid w:val="009915F9"/>
    <w:rsid w:val="0099497B"/>
    <w:rsid w:val="009A43BA"/>
    <w:rsid w:val="009B0D05"/>
    <w:rsid w:val="009B3D8B"/>
    <w:rsid w:val="009B4CA6"/>
    <w:rsid w:val="009B79F8"/>
    <w:rsid w:val="009C66D5"/>
    <w:rsid w:val="009D13FD"/>
    <w:rsid w:val="009D266A"/>
    <w:rsid w:val="009F7E07"/>
    <w:rsid w:val="00A01522"/>
    <w:rsid w:val="00A028FF"/>
    <w:rsid w:val="00A108C4"/>
    <w:rsid w:val="00A10A11"/>
    <w:rsid w:val="00A13C6A"/>
    <w:rsid w:val="00A16BA5"/>
    <w:rsid w:val="00A17B09"/>
    <w:rsid w:val="00A457C6"/>
    <w:rsid w:val="00A46AD0"/>
    <w:rsid w:val="00A47063"/>
    <w:rsid w:val="00A473A8"/>
    <w:rsid w:val="00A513F0"/>
    <w:rsid w:val="00A61AC8"/>
    <w:rsid w:val="00A6366F"/>
    <w:rsid w:val="00A65D4C"/>
    <w:rsid w:val="00A70512"/>
    <w:rsid w:val="00A84622"/>
    <w:rsid w:val="00A85CE5"/>
    <w:rsid w:val="00A97EC6"/>
    <w:rsid w:val="00AA1F60"/>
    <w:rsid w:val="00AA40D7"/>
    <w:rsid w:val="00AA4DC4"/>
    <w:rsid w:val="00AA6D56"/>
    <w:rsid w:val="00AB388B"/>
    <w:rsid w:val="00AB5F7D"/>
    <w:rsid w:val="00AC0C50"/>
    <w:rsid w:val="00AC6FE2"/>
    <w:rsid w:val="00AF3925"/>
    <w:rsid w:val="00B03057"/>
    <w:rsid w:val="00B06D72"/>
    <w:rsid w:val="00B1296B"/>
    <w:rsid w:val="00B2292F"/>
    <w:rsid w:val="00B26408"/>
    <w:rsid w:val="00B43169"/>
    <w:rsid w:val="00B501A8"/>
    <w:rsid w:val="00B55AE4"/>
    <w:rsid w:val="00B70B46"/>
    <w:rsid w:val="00B739B0"/>
    <w:rsid w:val="00B814A3"/>
    <w:rsid w:val="00B96F38"/>
    <w:rsid w:val="00BB0450"/>
    <w:rsid w:val="00BC716B"/>
    <w:rsid w:val="00BD0E74"/>
    <w:rsid w:val="00BD5F8C"/>
    <w:rsid w:val="00BE29DD"/>
    <w:rsid w:val="00C066AF"/>
    <w:rsid w:val="00C10E06"/>
    <w:rsid w:val="00C145B8"/>
    <w:rsid w:val="00C2438F"/>
    <w:rsid w:val="00C31AF0"/>
    <w:rsid w:val="00C32A7E"/>
    <w:rsid w:val="00C34F28"/>
    <w:rsid w:val="00C368DF"/>
    <w:rsid w:val="00C41D65"/>
    <w:rsid w:val="00C442C5"/>
    <w:rsid w:val="00C5763C"/>
    <w:rsid w:val="00C57B5C"/>
    <w:rsid w:val="00C57C7C"/>
    <w:rsid w:val="00C61049"/>
    <w:rsid w:val="00C63FFE"/>
    <w:rsid w:val="00C7518E"/>
    <w:rsid w:val="00C91EB6"/>
    <w:rsid w:val="00CA10B0"/>
    <w:rsid w:val="00CA2F8E"/>
    <w:rsid w:val="00CA3EE2"/>
    <w:rsid w:val="00CA7FD5"/>
    <w:rsid w:val="00CB3287"/>
    <w:rsid w:val="00CB33E2"/>
    <w:rsid w:val="00CB4E68"/>
    <w:rsid w:val="00CC2733"/>
    <w:rsid w:val="00CD0050"/>
    <w:rsid w:val="00CD7AC9"/>
    <w:rsid w:val="00CE6876"/>
    <w:rsid w:val="00CE7167"/>
    <w:rsid w:val="00CE7481"/>
    <w:rsid w:val="00CF0A8F"/>
    <w:rsid w:val="00CF2C58"/>
    <w:rsid w:val="00D048CE"/>
    <w:rsid w:val="00D10998"/>
    <w:rsid w:val="00D15CBD"/>
    <w:rsid w:val="00D221CB"/>
    <w:rsid w:val="00D23391"/>
    <w:rsid w:val="00D25894"/>
    <w:rsid w:val="00D31805"/>
    <w:rsid w:val="00D552B9"/>
    <w:rsid w:val="00D735B2"/>
    <w:rsid w:val="00D74021"/>
    <w:rsid w:val="00D76D01"/>
    <w:rsid w:val="00D80734"/>
    <w:rsid w:val="00D91BFF"/>
    <w:rsid w:val="00D922A9"/>
    <w:rsid w:val="00D9394A"/>
    <w:rsid w:val="00DB0CBB"/>
    <w:rsid w:val="00DB497D"/>
    <w:rsid w:val="00DB67CC"/>
    <w:rsid w:val="00DC3783"/>
    <w:rsid w:val="00DD3138"/>
    <w:rsid w:val="00DE1070"/>
    <w:rsid w:val="00DE1E23"/>
    <w:rsid w:val="00DE5B36"/>
    <w:rsid w:val="00E00219"/>
    <w:rsid w:val="00E0316B"/>
    <w:rsid w:val="00E25E10"/>
    <w:rsid w:val="00E30BD2"/>
    <w:rsid w:val="00E50B41"/>
    <w:rsid w:val="00E5219B"/>
    <w:rsid w:val="00E52D07"/>
    <w:rsid w:val="00E5518B"/>
    <w:rsid w:val="00E609FE"/>
    <w:rsid w:val="00E630BE"/>
    <w:rsid w:val="00E75920"/>
    <w:rsid w:val="00E80D96"/>
    <w:rsid w:val="00E81D4F"/>
    <w:rsid w:val="00E871FA"/>
    <w:rsid w:val="00E936A4"/>
    <w:rsid w:val="00E954BB"/>
    <w:rsid w:val="00EA45E7"/>
    <w:rsid w:val="00EB78E3"/>
    <w:rsid w:val="00EB7BE3"/>
    <w:rsid w:val="00EC1C4B"/>
    <w:rsid w:val="00EC735A"/>
    <w:rsid w:val="00ED5F38"/>
    <w:rsid w:val="00ED7325"/>
    <w:rsid w:val="00EF27FE"/>
    <w:rsid w:val="00EF4FD8"/>
    <w:rsid w:val="00F04322"/>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673E"/>
    <w:rsid w:val="00FB7F50"/>
    <w:rsid w:val="00FC2A85"/>
    <w:rsid w:val="00FC40AF"/>
    <w:rsid w:val="00FC715D"/>
    <w:rsid w:val="00FC73B9"/>
    <w:rsid w:val="00FD0A16"/>
    <w:rsid w:val="00FD36BF"/>
    <w:rsid w:val="00FE3D7D"/>
    <w:rsid w:val="00FE6DCF"/>
    <w:rsid w:val="00FF48A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583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3186432">
      <w:bodyDiv w:val="1"/>
      <w:marLeft w:val="0"/>
      <w:marRight w:val="0"/>
      <w:marTop w:val="0"/>
      <w:marBottom w:val="0"/>
      <w:divBdr>
        <w:top w:val="none" w:sz="0" w:space="0" w:color="auto"/>
        <w:left w:val="none" w:sz="0" w:space="0" w:color="auto"/>
        <w:bottom w:val="none" w:sz="0" w:space="0" w:color="auto"/>
        <w:right w:val="none" w:sz="0" w:space="0" w:color="auto"/>
      </w:divBdr>
    </w:div>
    <w:div w:id="8993591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5410682">
      <w:bodyDiv w:val="1"/>
      <w:marLeft w:val="0"/>
      <w:marRight w:val="0"/>
      <w:marTop w:val="0"/>
      <w:marBottom w:val="0"/>
      <w:divBdr>
        <w:top w:val="none" w:sz="0" w:space="0" w:color="auto"/>
        <w:left w:val="none" w:sz="0" w:space="0" w:color="auto"/>
        <w:bottom w:val="none" w:sz="0" w:space="0" w:color="auto"/>
        <w:right w:val="none" w:sz="0" w:space="0" w:color="auto"/>
      </w:divBdr>
    </w:div>
    <w:div w:id="2039546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473237">
      <w:bodyDiv w:val="1"/>
      <w:marLeft w:val="0"/>
      <w:marRight w:val="0"/>
      <w:marTop w:val="0"/>
      <w:marBottom w:val="0"/>
      <w:divBdr>
        <w:top w:val="none" w:sz="0" w:space="0" w:color="auto"/>
        <w:left w:val="none" w:sz="0" w:space="0" w:color="auto"/>
        <w:bottom w:val="none" w:sz="0" w:space="0" w:color="auto"/>
        <w:right w:val="none" w:sz="0" w:space="0" w:color="auto"/>
      </w:divBdr>
    </w:div>
    <w:div w:id="239216052">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299978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3435720">
      <w:bodyDiv w:val="1"/>
      <w:marLeft w:val="0"/>
      <w:marRight w:val="0"/>
      <w:marTop w:val="0"/>
      <w:marBottom w:val="0"/>
      <w:divBdr>
        <w:top w:val="none" w:sz="0" w:space="0" w:color="auto"/>
        <w:left w:val="none" w:sz="0" w:space="0" w:color="auto"/>
        <w:bottom w:val="none" w:sz="0" w:space="0" w:color="auto"/>
        <w:right w:val="none" w:sz="0" w:space="0" w:color="auto"/>
      </w:divBdr>
    </w:div>
    <w:div w:id="343825192">
      <w:bodyDiv w:val="1"/>
      <w:marLeft w:val="0"/>
      <w:marRight w:val="0"/>
      <w:marTop w:val="0"/>
      <w:marBottom w:val="0"/>
      <w:divBdr>
        <w:top w:val="none" w:sz="0" w:space="0" w:color="auto"/>
        <w:left w:val="none" w:sz="0" w:space="0" w:color="auto"/>
        <w:bottom w:val="none" w:sz="0" w:space="0" w:color="auto"/>
        <w:right w:val="none" w:sz="0" w:space="0" w:color="auto"/>
      </w:divBdr>
    </w:div>
    <w:div w:id="398214084">
      <w:bodyDiv w:val="1"/>
      <w:marLeft w:val="0"/>
      <w:marRight w:val="0"/>
      <w:marTop w:val="0"/>
      <w:marBottom w:val="0"/>
      <w:divBdr>
        <w:top w:val="none" w:sz="0" w:space="0" w:color="auto"/>
        <w:left w:val="none" w:sz="0" w:space="0" w:color="auto"/>
        <w:bottom w:val="none" w:sz="0" w:space="0" w:color="auto"/>
        <w:right w:val="none" w:sz="0" w:space="0" w:color="auto"/>
      </w:divBdr>
    </w:div>
    <w:div w:id="431779481">
      <w:bodyDiv w:val="1"/>
      <w:marLeft w:val="0"/>
      <w:marRight w:val="0"/>
      <w:marTop w:val="0"/>
      <w:marBottom w:val="0"/>
      <w:divBdr>
        <w:top w:val="none" w:sz="0" w:space="0" w:color="auto"/>
        <w:left w:val="none" w:sz="0" w:space="0" w:color="auto"/>
        <w:bottom w:val="none" w:sz="0" w:space="0" w:color="auto"/>
        <w:right w:val="none" w:sz="0" w:space="0" w:color="auto"/>
      </w:divBdr>
    </w:div>
    <w:div w:id="47213705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097409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0094465">
      <w:bodyDiv w:val="1"/>
      <w:marLeft w:val="0"/>
      <w:marRight w:val="0"/>
      <w:marTop w:val="0"/>
      <w:marBottom w:val="0"/>
      <w:divBdr>
        <w:top w:val="none" w:sz="0" w:space="0" w:color="auto"/>
        <w:left w:val="none" w:sz="0" w:space="0" w:color="auto"/>
        <w:bottom w:val="none" w:sz="0" w:space="0" w:color="auto"/>
        <w:right w:val="none" w:sz="0" w:space="0" w:color="auto"/>
      </w:divBdr>
    </w:div>
    <w:div w:id="548761119">
      <w:bodyDiv w:val="1"/>
      <w:marLeft w:val="0"/>
      <w:marRight w:val="0"/>
      <w:marTop w:val="0"/>
      <w:marBottom w:val="0"/>
      <w:divBdr>
        <w:top w:val="none" w:sz="0" w:space="0" w:color="auto"/>
        <w:left w:val="none" w:sz="0" w:space="0" w:color="auto"/>
        <w:bottom w:val="none" w:sz="0" w:space="0" w:color="auto"/>
        <w:right w:val="none" w:sz="0" w:space="0" w:color="auto"/>
      </w:divBdr>
    </w:div>
    <w:div w:id="557742532">
      <w:bodyDiv w:val="1"/>
      <w:marLeft w:val="0"/>
      <w:marRight w:val="0"/>
      <w:marTop w:val="0"/>
      <w:marBottom w:val="0"/>
      <w:divBdr>
        <w:top w:val="none" w:sz="0" w:space="0" w:color="auto"/>
        <w:left w:val="none" w:sz="0" w:space="0" w:color="auto"/>
        <w:bottom w:val="none" w:sz="0" w:space="0" w:color="auto"/>
        <w:right w:val="none" w:sz="0" w:space="0" w:color="auto"/>
      </w:divBdr>
    </w:div>
    <w:div w:id="574586844">
      <w:bodyDiv w:val="1"/>
      <w:marLeft w:val="0"/>
      <w:marRight w:val="0"/>
      <w:marTop w:val="0"/>
      <w:marBottom w:val="0"/>
      <w:divBdr>
        <w:top w:val="none" w:sz="0" w:space="0" w:color="auto"/>
        <w:left w:val="none" w:sz="0" w:space="0" w:color="auto"/>
        <w:bottom w:val="none" w:sz="0" w:space="0" w:color="auto"/>
        <w:right w:val="none" w:sz="0" w:space="0" w:color="auto"/>
      </w:divBdr>
    </w:div>
    <w:div w:id="60103381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9144270">
      <w:bodyDiv w:val="1"/>
      <w:marLeft w:val="0"/>
      <w:marRight w:val="0"/>
      <w:marTop w:val="0"/>
      <w:marBottom w:val="0"/>
      <w:divBdr>
        <w:top w:val="none" w:sz="0" w:space="0" w:color="auto"/>
        <w:left w:val="none" w:sz="0" w:space="0" w:color="auto"/>
        <w:bottom w:val="none" w:sz="0" w:space="0" w:color="auto"/>
        <w:right w:val="none" w:sz="0" w:space="0" w:color="auto"/>
      </w:divBdr>
    </w:div>
    <w:div w:id="639723481">
      <w:bodyDiv w:val="1"/>
      <w:marLeft w:val="0"/>
      <w:marRight w:val="0"/>
      <w:marTop w:val="0"/>
      <w:marBottom w:val="0"/>
      <w:divBdr>
        <w:top w:val="none" w:sz="0" w:space="0" w:color="auto"/>
        <w:left w:val="none" w:sz="0" w:space="0" w:color="auto"/>
        <w:bottom w:val="none" w:sz="0" w:space="0" w:color="auto"/>
        <w:right w:val="none" w:sz="0" w:space="0" w:color="auto"/>
      </w:divBdr>
    </w:div>
    <w:div w:id="656762274">
      <w:bodyDiv w:val="1"/>
      <w:marLeft w:val="0"/>
      <w:marRight w:val="0"/>
      <w:marTop w:val="0"/>
      <w:marBottom w:val="0"/>
      <w:divBdr>
        <w:top w:val="none" w:sz="0" w:space="0" w:color="auto"/>
        <w:left w:val="none" w:sz="0" w:space="0" w:color="auto"/>
        <w:bottom w:val="none" w:sz="0" w:space="0" w:color="auto"/>
        <w:right w:val="none" w:sz="0" w:space="0" w:color="auto"/>
      </w:divBdr>
    </w:div>
    <w:div w:id="680011511">
      <w:bodyDiv w:val="1"/>
      <w:marLeft w:val="0"/>
      <w:marRight w:val="0"/>
      <w:marTop w:val="0"/>
      <w:marBottom w:val="0"/>
      <w:divBdr>
        <w:top w:val="none" w:sz="0" w:space="0" w:color="auto"/>
        <w:left w:val="none" w:sz="0" w:space="0" w:color="auto"/>
        <w:bottom w:val="none" w:sz="0" w:space="0" w:color="auto"/>
        <w:right w:val="none" w:sz="0" w:space="0" w:color="auto"/>
      </w:divBdr>
    </w:div>
    <w:div w:id="720325605">
      <w:bodyDiv w:val="1"/>
      <w:marLeft w:val="0"/>
      <w:marRight w:val="0"/>
      <w:marTop w:val="0"/>
      <w:marBottom w:val="0"/>
      <w:divBdr>
        <w:top w:val="none" w:sz="0" w:space="0" w:color="auto"/>
        <w:left w:val="none" w:sz="0" w:space="0" w:color="auto"/>
        <w:bottom w:val="none" w:sz="0" w:space="0" w:color="auto"/>
        <w:right w:val="none" w:sz="0" w:space="0" w:color="auto"/>
      </w:divBdr>
    </w:div>
    <w:div w:id="789084066">
      <w:bodyDiv w:val="1"/>
      <w:marLeft w:val="0"/>
      <w:marRight w:val="0"/>
      <w:marTop w:val="0"/>
      <w:marBottom w:val="0"/>
      <w:divBdr>
        <w:top w:val="none" w:sz="0" w:space="0" w:color="auto"/>
        <w:left w:val="none" w:sz="0" w:space="0" w:color="auto"/>
        <w:bottom w:val="none" w:sz="0" w:space="0" w:color="auto"/>
        <w:right w:val="none" w:sz="0" w:space="0" w:color="auto"/>
      </w:divBdr>
    </w:div>
    <w:div w:id="802695535">
      <w:bodyDiv w:val="1"/>
      <w:marLeft w:val="0"/>
      <w:marRight w:val="0"/>
      <w:marTop w:val="0"/>
      <w:marBottom w:val="0"/>
      <w:divBdr>
        <w:top w:val="none" w:sz="0" w:space="0" w:color="auto"/>
        <w:left w:val="none" w:sz="0" w:space="0" w:color="auto"/>
        <w:bottom w:val="none" w:sz="0" w:space="0" w:color="auto"/>
        <w:right w:val="none" w:sz="0" w:space="0" w:color="auto"/>
      </w:divBdr>
    </w:div>
    <w:div w:id="802887219">
      <w:bodyDiv w:val="1"/>
      <w:marLeft w:val="0"/>
      <w:marRight w:val="0"/>
      <w:marTop w:val="0"/>
      <w:marBottom w:val="0"/>
      <w:divBdr>
        <w:top w:val="none" w:sz="0" w:space="0" w:color="auto"/>
        <w:left w:val="none" w:sz="0" w:space="0" w:color="auto"/>
        <w:bottom w:val="none" w:sz="0" w:space="0" w:color="auto"/>
        <w:right w:val="none" w:sz="0" w:space="0" w:color="auto"/>
      </w:divBdr>
    </w:div>
    <w:div w:id="898444483">
      <w:bodyDiv w:val="1"/>
      <w:marLeft w:val="0"/>
      <w:marRight w:val="0"/>
      <w:marTop w:val="0"/>
      <w:marBottom w:val="0"/>
      <w:divBdr>
        <w:top w:val="none" w:sz="0" w:space="0" w:color="auto"/>
        <w:left w:val="none" w:sz="0" w:space="0" w:color="auto"/>
        <w:bottom w:val="none" w:sz="0" w:space="0" w:color="auto"/>
        <w:right w:val="none" w:sz="0" w:space="0" w:color="auto"/>
      </w:divBdr>
    </w:div>
    <w:div w:id="970746927">
      <w:bodyDiv w:val="1"/>
      <w:marLeft w:val="0"/>
      <w:marRight w:val="0"/>
      <w:marTop w:val="0"/>
      <w:marBottom w:val="0"/>
      <w:divBdr>
        <w:top w:val="none" w:sz="0" w:space="0" w:color="auto"/>
        <w:left w:val="none" w:sz="0" w:space="0" w:color="auto"/>
        <w:bottom w:val="none" w:sz="0" w:space="0" w:color="auto"/>
        <w:right w:val="none" w:sz="0" w:space="0" w:color="auto"/>
      </w:divBdr>
    </w:div>
    <w:div w:id="1023165080">
      <w:bodyDiv w:val="1"/>
      <w:marLeft w:val="0"/>
      <w:marRight w:val="0"/>
      <w:marTop w:val="0"/>
      <w:marBottom w:val="0"/>
      <w:divBdr>
        <w:top w:val="none" w:sz="0" w:space="0" w:color="auto"/>
        <w:left w:val="none" w:sz="0" w:space="0" w:color="auto"/>
        <w:bottom w:val="none" w:sz="0" w:space="0" w:color="auto"/>
        <w:right w:val="none" w:sz="0" w:space="0" w:color="auto"/>
      </w:divBdr>
    </w:div>
    <w:div w:id="112800756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1555623">
      <w:bodyDiv w:val="1"/>
      <w:marLeft w:val="0"/>
      <w:marRight w:val="0"/>
      <w:marTop w:val="0"/>
      <w:marBottom w:val="0"/>
      <w:divBdr>
        <w:top w:val="none" w:sz="0" w:space="0" w:color="auto"/>
        <w:left w:val="none" w:sz="0" w:space="0" w:color="auto"/>
        <w:bottom w:val="none" w:sz="0" w:space="0" w:color="auto"/>
        <w:right w:val="none" w:sz="0" w:space="0" w:color="auto"/>
      </w:divBdr>
    </w:div>
    <w:div w:id="1238443781">
      <w:bodyDiv w:val="1"/>
      <w:marLeft w:val="0"/>
      <w:marRight w:val="0"/>
      <w:marTop w:val="0"/>
      <w:marBottom w:val="0"/>
      <w:divBdr>
        <w:top w:val="none" w:sz="0" w:space="0" w:color="auto"/>
        <w:left w:val="none" w:sz="0" w:space="0" w:color="auto"/>
        <w:bottom w:val="none" w:sz="0" w:space="0" w:color="auto"/>
        <w:right w:val="none" w:sz="0" w:space="0" w:color="auto"/>
      </w:divBdr>
    </w:div>
    <w:div w:id="1250195152">
      <w:bodyDiv w:val="1"/>
      <w:marLeft w:val="0"/>
      <w:marRight w:val="0"/>
      <w:marTop w:val="0"/>
      <w:marBottom w:val="0"/>
      <w:divBdr>
        <w:top w:val="none" w:sz="0" w:space="0" w:color="auto"/>
        <w:left w:val="none" w:sz="0" w:space="0" w:color="auto"/>
        <w:bottom w:val="none" w:sz="0" w:space="0" w:color="auto"/>
        <w:right w:val="none" w:sz="0" w:space="0" w:color="auto"/>
      </w:divBdr>
    </w:div>
    <w:div w:id="128045812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1581920">
      <w:bodyDiv w:val="1"/>
      <w:marLeft w:val="0"/>
      <w:marRight w:val="0"/>
      <w:marTop w:val="0"/>
      <w:marBottom w:val="0"/>
      <w:divBdr>
        <w:top w:val="none" w:sz="0" w:space="0" w:color="auto"/>
        <w:left w:val="none" w:sz="0" w:space="0" w:color="auto"/>
        <w:bottom w:val="none" w:sz="0" w:space="0" w:color="auto"/>
        <w:right w:val="none" w:sz="0" w:space="0" w:color="auto"/>
      </w:divBdr>
    </w:div>
    <w:div w:id="1468939827">
      <w:bodyDiv w:val="1"/>
      <w:marLeft w:val="0"/>
      <w:marRight w:val="0"/>
      <w:marTop w:val="0"/>
      <w:marBottom w:val="0"/>
      <w:divBdr>
        <w:top w:val="none" w:sz="0" w:space="0" w:color="auto"/>
        <w:left w:val="none" w:sz="0" w:space="0" w:color="auto"/>
        <w:bottom w:val="none" w:sz="0" w:space="0" w:color="auto"/>
        <w:right w:val="none" w:sz="0" w:space="0" w:color="auto"/>
      </w:divBdr>
    </w:div>
    <w:div w:id="1494835286">
      <w:bodyDiv w:val="1"/>
      <w:marLeft w:val="0"/>
      <w:marRight w:val="0"/>
      <w:marTop w:val="0"/>
      <w:marBottom w:val="0"/>
      <w:divBdr>
        <w:top w:val="none" w:sz="0" w:space="0" w:color="auto"/>
        <w:left w:val="none" w:sz="0" w:space="0" w:color="auto"/>
        <w:bottom w:val="none" w:sz="0" w:space="0" w:color="auto"/>
        <w:right w:val="none" w:sz="0" w:space="0" w:color="auto"/>
      </w:divBdr>
    </w:div>
    <w:div w:id="1509370415">
      <w:bodyDiv w:val="1"/>
      <w:marLeft w:val="0"/>
      <w:marRight w:val="0"/>
      <w:marTop w:val="0"/>
      <w:marBottom w:val="0"/>
      <w:divBdr>
        <w:top w:val="none" w:sz="0" w:space="0" w:color="auto"/>
        <w:left w:val="none" w:sz="0" w:space="0" w:color="auto"/>
        <w:bottom w:val="none" w:sz="0" w:space="0" w:color="auto"/>
        <w:right w:val="none" w:sz="0" w:space="0" w:color="auto"/>
      </w:divBdr>
    </w:div>
    <w:div w:id="152956202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2340151">
      <w:bodyDiv w:val="1"/>
      <w:marLeft w:val="0"/>
      <w:marRight w:val="0"/>
      <w:marTop w:val="0"/>
      <w:marBottom w:val="0"/>
      <w:divBdr>
        <w:top w:val="none" w:sz="0" w:space="0" w:color="auto"/>
        <w:left w:val="none" w:sz="0" w:space="0" w:color="auto"/>
        <w:bottom w:val="none" w:sz="0" w:space="0" w:color="auto"/>
        <w:right w:val="none" w:sz="0" w:space="0" w:color="auto"/>
      </w:divBdr>
    </w:div>
    <w:div w:id="1740321325">
      <w:bodyDiv w:val="1"/>
      <w:marLeft w:val="0"/>
      <w:marRight w:val="0"/>
      <w:marTop w:val="0"/>
      <w:marBottom w:val="0"/>
      <w:divBdr>
        <w:top w:val="none" w:sz="0" w:space="0" w:color="auto"/>
        <w:left w:val="none" w:sz="0" w:space="0" w:color="auto"/>
        <w:bottom w:val="none" w:sz="0" w:space="0" w:color="auto"/>
        <w:right w:val="none" w:sz="0" w:space="0" w:color="auto"/>
      </w:divBdr>
    </w:div>
    <w:div w:id="1760130109">
      <w:bodyDiv w:val="1"/>
      <w:marLeft w:val="0"/>
      <w:marRight w:val="0"/>
      <w:marTop w:val="0"/>
      <w:marBottom w:val="0"/>
      <w:divBdr>
        <w:top w:val="none" w:sz="0" w:space="0" w:color="auto"/>
        <w:left w:val="none" w:sz="0" w:space="0" w:color="auto"/>
        <w:bottom w:val="none" w:sz="0" w:space="0" w:color="auto"/>
        <w:right w:val="none" w:sz="0" w:space="0" w:color="auto"/>
      </w:divBdr>
    </w:div>
    <w:div w:id="179039554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5678857">
      <w:bodyDiv w:val="1"/>
      <w:marLeft w:val="0"/>
      <w:marRight w:val="0"/>
      <w:marTop w:val="0"/>
      <w:marBottom w:val="0"/>
      <w:divBdr>
        <w:top w:val="none" w:sz="0" w:space="0" w:color="auto"/>
        <w:left w:val="none" w:sz="0" w:space="0" w:color="auto"/>
        <w:bottom w:val="none" w:sz="0" w:space="0" w:color="auto"/>
        <w:right w:val="none" w:sz="0" w:space="0" w:color="auto"/>
      </w:divBdr>
    </w:div>
    <w:div w:id="1841698642">
      <w:bodyDiv w:val="1"/>
      <w:marLeft w:val="0"/>
      <w:marRight w:val="0"/>
      <w:marTop w:val="0"/>
      <w:marBottom w:val="0"/>
      <w:divBdr>
        <w:top w:val="none" w:sz="0" w:space="0" w:color="auto"/>
        <w:left w:val="none" w:sz="0" w:space="0" w:color="auto"/>
        <w:bottom w:val="none" w:sz="0" w:space="0" w:color="auto"/>
        <w:right w:val="none" w:sz="0" w:space="0" w:color="auto"/>
      </w:divBdr>
    </w:div>
    <w:div w:id="1858302680">
      <w:bodyDiv w:val="1"/>
      <w:marLeft w:val="0"/>
      <w:marRight w:val="0"/>
      <w:marTop w:val="0"/>
      <w:marBottom w:val="0"/>
      <w:divBdr>
        <w:top w:val="none" w:sz="0" w:space="0" w:color="auto"/>
        <w:left w:val="none" w:sz="0" w:space="0" w:color="auto"/>
        <w:bottom w:val="none" w:sz="0" w:space="0" w:color="auto"/>
        <w:right w:val="none" w:sz="0" w:space="0" w:color="auto"/>
      </w:divBdr>
    </w:div>
    <w:div w:id="187159939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3734176">
      <w:bodyDiv w:val="1"/>
      <w:marLeft w:val="0"/>
      <w:marRight w:val="0"/>
      <w:marTop w:val="0"/>
      <w:marBottom w:val="0"/>
      <w:divBdr>
        <w:top w:val="none" w:sz="0" w:space="0" w:color="auto"/>
        <w:left w:val="none" w:sz="0" w:space="0" w:color="auto"/>
        <w:bottom w:val="none" w:sz="0" w:space="0" w:color="auto"/>
        <w:right w:val="none" w:sz="0" w:space="0" w:color="auto"/>
      </w:divBdr>
    </w:div>
    <w:div w:id="199741614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334023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14/&#1576;&#1705;&#1585;" TargetMode="External"/><Relationship Id="rId2" Type="http://schemas.openxmlformats.org/officeDocument/2006/relationships/hyperlink" Target="http://lib.eshia.ir/10083/7/468/&#1587;&#1606;&#1575;&#1606;" TargetMode="External"/><Relationship Id="rId1" Type="http://schemas.openxmlformats.org/officeDocument/2006/relationships/hyperlink" Target="http://lib.eshia.ir/10083/7/474/&#1587;&#1606;&#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0ABF-FFD5-4874-A896-0938C822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717</TotalTime>
  <Pages>7</Pages>
  <Words>1602</Words>
  <Characters>9138</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10719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101</cp:revision>
  <cp:lastPrinted>2021-02-15T06:58:00Z</cp:lastPrinted>
  <dcterms:created xsi:type="dcterms:W3CDTF">2021-02-14T04:46:00Z</dcterms:created>
  <dcterms:modified xsi:type="dcterms:W3CDTF">2021-02-24T19:58:00Z</dcterms:modified>
  <cp:contentStatus>ویرایش 2.5</cp:contentStatus>
  <cp:version>2.7</cp:version>
</cp:coreProperties>
</file>