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39" w:rsidRDefault="00FA5439" w:rsidP="00FA543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FA5439" w:rsidRDefault="00FA5439" w:rsidP="00FA5439">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 1</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 xml:space="preserve"> /11/ 1399 عده متعه /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E84F8B">
      <w:pPr>
        <w:pBdr>
          <w:bottom w:val="double" w:sz="6" w:space="1" w:color="auto"/>
        </w:pBdr>
        <w:jc w:val="both"/>
        <w:rPr>
          <w:rtl/>
        </w:rPr>
      </w:pPr>
      <w:r>
        <w:rPr>
          <w:rFonts w:hint="cs"/>
          <w:rtl/>
        </w:rPr>
        <w:t>متن خلاصه ...</w:t>
      </w:r>
    </w:p>
    <w:p w:rsidR="00247D2F" w:rsidRPr="003A6148" w:rsidRDefault="00247D2F" w:rsidP="00E84F8B">
      <w:pPr>
        <w:pBdr>
          <w:bottom w:val="double" w:sz="6" w:space="1" w:color="auto"/>
        </w:pBdr>
        <w:jc w:val="both"/>
      </w:pPr>
    </w:p>
    <w:p w:rsidR="008F5B4D" w:rsidRDefault="008F5B4D" w:rsidP="00E84F8B">
      <w:pPr>
        <w:jc w:val="both"/>
        <w:rPr>
          <w:rtl/>
        </w:rPr>
      </w:pPr>
    </w:p>
    <w:p w:rsidR="00973434" w:rsidRDefault="00973434" w:rsidP="00973434">
      <w:pPr>
        <w:pStyle w:val="Heading1"/>
        <w:rPr>
          <w:rtl/>
        </w:rPr>
      </w:pPr>
      <w:bookmarkStart w:id="1" w:name="_Toc63942352"/>
      <w:bookmarkStart w:id="2" w:name="_Toc63943469"/>
      <w:r>
        <w:rPr>
          <w:rFonts w:hint="cs"/>
          <w:rtl/>
        </w:rPr>
        <w:t>کلام مرحوم سید یزدی</w:t>
      </w:r>
      <w:bookmarkEnd w:id="1"/>
      <w:bookmarkEnd w:id="2"/>
    </w:p>
    <w:p w:rsidR="005A43BA" w:rsidRDefault="005A43BA" w:rsidP="0080628B">
      <w:pPr>
        <w:jc w:val="both"/>
      </w:pPr>
      <w:r>
        <w:rPr>
          <w:rFonts w:hint="cs"/>
          <w:rtl/>
        </w:rPr>
        <w:t xml:space="preserve">در بحث عده‌ی وفات متعه مرحوم سید یزدی </w:t>
      </w:r>
      <w:r w:rsidR="0080628B">
        <w:rPr>
          <w:rFonts w:hint="cs"/>
          <w:rtl/>
        </w:rPr>
        <w:t>می فرماید</w:t>
      </w:r>
      <w:r>
        <w:rPr>
          <w:rFonts w:hint="cs"/>
          <w:rtl/>
        </w:rPr>
        <w:t>:</w:t>
      </w:r>
    </w:p>
    <w:p w:rsidR="00E84F8B" w:rsidRPr="002D6C47" w:rsidRDefault="00E84F8B" w:rsidP="00E84F8B">
      <w:pPr>
        <w:jc w:val="both"/>
        <w:rPr>
          <w:color w:val="0000FF"/>
          <w:rtl/>
        </w:rPr>
      </w:pPr>
      <w:r w:rsidRPr="002D6C47">
        <w:rPr>
          <w:rFonts w:hint="cs"/>
          <w:color w:val="0000FF"/>
          <w:rtl/>
        </w:rPr>
        <w:t>و لمرسل الحلبي عن أبى عبد اللّه (ع) «سألته عن رجل تزوج امرأة متعة ثمّ مات عنها ما عدتها قال: خمسة و ستون يوما».</w:t>
      </w:r>
    </w:p>
    <w:p w:rsidR="00E84F8B" w:rsidRDefault="00E84F8B" w:rsidP="00E84F8B">
      <w:pPr>
        <w:jc w:val="both"/>
        <w:rPr>
          <w:rtl/>
        </w:rPr>
      </w:pPr>
      <w:r w:rsidRPr="002D6C47">
        <w:rPr>
          <w:rFonts w:hint="cs"/>
          <w:color w:val="0000FF"/>
          <w:rtl/>
        </w:rPr>
        <w:t>و فيه: انّه لا يقاوم الصحيحين خصوصا مع ضعفه لأنّ في سنده الطاطري الواقفي الذي كان شديد العناد في مذهبه</w:t>
      </w:r>
    </w:p>
    <w:p w:rsidR="00973434" w:rsidRDefault="00973434" w:rsidP="00973434">
      <w:pPr>
        <w:pStyle w:val="Heading2"/>
        <w:rPr>
          <w:rtl/>
        </w:rPr>
      </w:pPr>
      <w:bookmarkStart w:id="3" w:name="_Toc63942353"/>
      <w:bookmarkStart w:id="4" w:name="_Toc63943470"/>
      <w:r>
        <w:rPr>
          <w:rFonts w:hint="cs"/>
          <w:rtl/>
        </w:rPr>
        <w:t>مرسله‌ی طاطری</w:t>
      </w:r>
      <w:bookmarkEnd w:id="3"/>
      <w:bookmarkEnd w:id="4"/>
    </w:p>
    <w:p w:rsidR="00973434" w:rsidRDefault="00973434" w:rsidP="003825BA">
      <w:pPr>
        <w:jc w:val="both"/>
        <w:rPr>
          <w:rtl/>
        </w:rPr>
      </w:pPr>
      <w:r w:rsidRPr="00413F2D">
        <w:rPr>
          <w:rFonts w:hint="cs"/>
          <w:rtl/>
        </w:rPr>
        <w:t xml:space="preserve">عَلِيُّ بْنُ الْحَسَنِ الطَّاطَرِيُّ قَالَ حَدَّثَنِي عُبَيْدُ اللَّهِ بْنُ عَلِيِّ بْنِ أَبِي شُعْبَةَ الْحَلَبِيُّ عَنْ أَبِيهِ عَنْ رَجُلٍ عَنْ أَبِي عَبْدِ اللَّهِ ع قَالَ: </w:t>
      </w:r>
      <w:r w:rsidRPr="00413F2D">
        <w:rPr>
          <w:rFonts w:hint="cs"/>
          <w:color w:val="008000"/>
          <w:rtl/>
        </w:rPr>
        <w:t>سَأَلْتُهُ عَنْ رَجُلٍ تَزَوَّجَ امْرَأَةً مُتْعَةً ثُمَ‏ مَاتَ‏ عَنْهَا مَا عِدَّتُهَا قَالَ خَمْسَةٌ وَ سِتُّونَ يَوْماً.</w:t>
      </w:r>
      <w:r>
        <w:rPr>
          <w:rStyle w:val="FootnoteReference"/>
          <w:color w:val="008000"/>
          <w:rtl/>
        </w:rPr>
        <w:footnoteReference w:id="1"/>
      </w:r>
    </w:p>
    <w:p w:rsidR="00E84F8B" w:rsidRDefault="0080628B" w:rsidP="00442A5F">
      <w:pPr>
        <w:jc w:val="both"/>
        <w:rPr>
          <w:rtl/>
        </w:rPr>
      </w:pPr>
      <w:r>
        <w:rPr>
          <w:rFonts w:hint="cs"/>
          <w:rtl/>
        </w:rPr>
        <w:t xml:space="preserve">تعبیر </w:t>
      </w:r>
      <w:r w:rsidRPr="002D6C47">
        <w:rPr>
          <w:rFonts w:hint="cs"/>
          <w:color w:val="0000FF"/>
          <w:rtl/>
        </w:rPr>
        <w:t>خصوصا مع ضعفه</w:t>
      </w:r>
      <w:r>
        <w:rPr>
          <w:rFonts w:hint="cs"/>
          <w:rtl/>
        </w:rPr>
        <w:t xml:space="preserve"> با توجه به اصطلاح قدما صحیح </w:t>
      </w:r>
      <w:r w:rsidR="00442A5F">
        <w:rPr>
          <w:rFonts w:hint="cs"/>
          <w:rtl/>
        </w:rPr>
        <w:t>است</w:t>
      </w:r>
      <w:r>
        <w:rPr>
          <w:rFonts w:hint="cs"/>
          <w:rtl/>
        </w:rPr>
        <w:t>.</w:t>
      </w:r>
      <w:r w:rsidR="003825BA">
        <w:rPr>
          <w:rFonts w:hint="cs"/>
          <w:rtl/>
        </w:rPr>
        <w:t xml:space="preserve"> البته با این مبنا که در اعتبار سند، صحت مذهب را شرط بدانیم. قدما به خبری خبر ضعیف می گفتند که معتبر نباشد. اگر در اعتبار خبر صحت مذهب را شرط بدانیم، خبر فاسد المذهب ضعیف است؛ اما در اصطلاح متاخرین که از زمان علامه حلی تقسیم بندی چهارگانه شایع شد، خبر غیر امامی ثقه موثق به حساب می آید.</w:t>
      </w:r>
      <w:r w:rsidR="005C6DFC">
        <w:rPr>
          <w:rFonts w:hint="cs"/>
          <w:rtl/>
        </w:rPr>
        <w:t xml:space="preserve"> علی بن حسن طاطری گر چه واقفی است اما به دلیل ثقه بودن، خبرش موثق به حساب می آید.</w:t>
      </w:r>
    </w:p>
    <w:p w:rsidR="00E84F8B" w:rsidRDefault="00B8754C" w:rsidP="00164268">
      <w:pPr>
        <w:jc w:val="both"/>
        <w:rPr>
          <w:rtl/>
        </w:rPr>
      </w:pPr>
      <w:r>
        <w:rPr>
          <w:rFonts w:hint="cs"/>
          <w:rtl/>
        </w:rPr>
        <w:t>اشکال اصلی در این سند مرسل بودن آن است.</w:t>
      </w:r>
      <w:r w:rsidR="00F275A9">
        <w:rPr>
          <w:rFonts w:hint="cs"/>
          <w:rtl/>
        </w:rPr>
        <w:t xml:space="preserve"> در مورد عدم توثیق عبید الله بن علی بن ابی شعبه حلبی قبلا بحث کرده ایم و سند از جانب این شخص نیز دچار مشکل است.</w:t>
      </w:r>
    </w:p>
    <w:p w:rsidR="00E84F8B" w:rsidRPr="00926CBD" w:rsidRDefault="00164268" w:rsidP="00164268">
      <w:pPr>
        <w:pStyle w:val="Heading1"/>
        <w:rPr>
          <w:rtl/>
        </w:rPr>
      </w:pPr>
      <w:bookmarkStart w:id="5" w:name="_Toc63942354"/>
      <w:bookmarkStart w:id="6" w:name="_Toc63943471"/>
      <w:r>
        <w:rPr>
          <w:rFonts w:hint="cs"/>
          <w:rtl/>
        </w:rPr>
        <w:lastRenderedPageBreak/>
        <w:t>مساله‌ی نهم تکمله‌ی عروه</w:t>
      </w:r>
      <w:bookmarkEnd w:id="5"/>
      <w:bookmarkEnd w:id="6"/>
    </w:p>
    <w:p w:rsidR="00E84F8B" w:rsidRPr="00413F2D" w:rsidRDefault="00E84F8B" w:rsidP="00E84F8B">
      <w:pPr>
        <w:jc w:val="both"/>
        <w:rPr>
          <w:color w:val="0000FF"/>
          <w:rtl/>
        </w:rPr>
      </w:pPr>
      <w:r w:rsidRPr="00413F2D">
        <w:rPr>
          <w:rFonts w:hint="cs"/>
          <w:color w:val="0000FF"/>
          <w:rtl/>
        </w:rPr>
        <w:t>مسألة 9: إذا عقد على الحرة متعة فدخل بها ثمّ تبين فساد العقد فعدتها عدة الطلاق كما في العقد الدائم إذا تبين فساده بعد الدخول و إن عقد على الأمة متعة فتبين‌ الفساد بعد الدخول فحكمها الاستبراء</w:t>
      </w:r>
      <w:r w:rsidR="00EB0EB9">
        <w:rPr>
          <w:rStyle w:val="FootnoteReference"/>
          <w:color w:val="0000FF"/>
          <w:rtl/>
        </w:rPr>
        <w:footnoteReference w:id="2"/>
      </w:r>
      <w:r w:rsidRPr="00413F2D">
        <w:rPr>
          <w:rFonts w:hint="cs"/>
          <w:color w:val="0000FF"/>
          <w:rtl/>
        </w:rPr>
        <w:t xml:space="preserve"> كما في الوطء المجرد عن العقد و كما في العقد الدائم عليها مع تبين الفساد.</w:t>
      </w:r>
      <w:r>
        <w:rPr>
          <w:rStyle w:val="FootnoteReference"/>
          <w:color w:val="0000FF"/>
          <w:rtl/>
        </w:rPr>
        <w:footnoteReference w:id="3"/>
      </w:r>
    </w:p>
    <w:p w:rsidR="00E84F8B" w:rsidRDefault="00A9140F" w:rsidP="00E84F8B">
      <w:pPr>
        <w:jc w:val="both"/>
        <w:rPr>
          <w:rtl/>
        </w:rPr>
      </w:pPr>
      <w:r>
        <w:rPr>
          <w:rFonts w:hint="cs"/>
          <w:rtl/>
        </w:rPr>
        <w:t>مرحوم سید می فرماید: اگر مردی زن آزادی را متعه کند و به آن زن دخول کند، سپس مشخص شود که عقد موقت فاسد بود</w:t>
      </w:r>
      <w:r w:rsidR="006B3FC2">
        <w:rPr>
          <w:rFonts w:hint="cs"/>
          <w:rtl/>
        </w:rPr>
        <w:t>ه است، عده‌ی زن، عده‌ی طلاق است؛</w:t>
      </w:r>
      <w:r w:rsidR="00340B95">
        <w:rPr>
          <w:rFonts w:hint="cs"/>
          <w:rtl/>
        </w:rPr>
        <w:t xml:space="preserve"> چنان که عقد دائم فاسد چنین است که در صورت دخول و تبین بطلان عقد، زن باید عده‌ی طلاق نگه دارد.</w:t>
      </w:r>
    </w:p>
    <w:p w:rsidR="007809F7" w:rsidRDefault="007809F7" w:rsidP="00E84F8B">
      <w:pPr>
        <w:jc w:val="both"/>
        <w:rPr>
          <w:rtl/>
        </w:rPr>
      </w:pPr>
      <w:r>
        <w:rPr>
          <w:rFonts w:hint="cs"/>
          <w:rtl/>
        </w:rPr>
        <w:t xml:space="preserve">مرحوم سید در این مساله با قاطعیت عده‌ی ازدواج موقت فاسد را عده‌ی طلاق دانسته است؛ اما این مساله را در مساله‌ی سوم از فصل پنجم نیز مطرح کرده است </w:t>
      </w:r>
      <w:r w:rsidR="00D801E7">
        <w:rPr>
          <w:rFonts w:hint="cs"/>
          <w:rtl/>
        </w:rPr>
        <w:t>که با کلامش در این مساله متفاوت است.</w:t>
      </w:r>
    </w:p>
    <w:p w:rsidR="00E84F8B" w:rsidRDefault="00772575" w:rsidP="00772575">
      <w:pPr>
        <w:pStyle w:val="Heading2"/>
        <w:rPr>
          <w:rtl/>
        </w:rPr>
      </w:pPr>
      <w:bookmarkStart w:id="7" w:name="_Toc63942355"/>
      <w:bookmarkStart w:id="8" w:name="_Toc63943472"/>
      <w:r>
        <w:rPr>
          <w:rFonts w:hint="cs"/>
          <w:rtl/>
        </w:rPr>
        <w:t>مساله‌ی سوم از فصل پنجم تکمله‌ی عروه</w:t>
      </w:r>
      <w:bookmarkEnd w:id="7"/>
      <w:bookmarkEnd w:id="8"/>
    </w:p>
    <w:p w:rsidR="00E84F8B" w:rsidRPr="00411C81" w:rsidRDefault="00E84F8B" w:rsidP="00E84F8B">
      <w:pPr>
        <w:jc w:val="both"/>
        <w:rPr>
          <w:color w:val="0000FF"/>
          <w:rtl/>
        </w:rPr>
      </w:pPr>
      <w:r w:rsidRPr="00411C81">
        <w:rPr>
          <w:rFonts w:hint="cs"/>
          <w:color w:val="0000FF"/>
          <w:rtl/>
        </w:rPr>
        <w:t>مسألة 3: تجب العدة للوطء بالشبهة</w:t>
      </w:r>
      <w:r w:rsidRPr="00411C81">
        <w:rPr>
          <w:rFonts w:hint="cs"/>
          <w:color w:val="0000FF"/>
        </w:rPr>
        <w:t>‌</w:t>
      </w:r>
      <w:r w:rsidRPr="00411C81">
        <w:rPr>
          <w:color w:val="0000FF"/>
        </w:rPr>
        <w:t xml:space="preserve"> </w:t>
      </w:r>
      <w:r w:rsidRPr="00411C81">
        <w:rPr>
          <w:rFonts w:hint="cs"/>
          <w:color w:val="0000FF"/>
          <w:rtl/>
        </w:rPr>
        <w:t>كما أشرنا إليه سابقا سواء كانت المرأة مزوجة أو خلية و إنّ عدتها عدة الطلاق للأخبار الواردة فيمن تزوجت في عدتها من قوله (ع):</w:t>
      </w:r>
    </w:p>
    <w:p w:rsidR="00E84F8B" w:rsidRPr="00411C81" w:rsidRDefault="00E84F8B" w:rsidP="00E84F8B">
      <w:pPr>
        <w:jc w:val="both"/>
        <w:rPr>
          <w:color w:val="0000FF"/>
          <w:rtl/>
        </w:rPr>
      </w:pPr>
      <w:r w:rsidRPr="00411C81">
        <w:rPr>
          <w:rFonts w:hint="cs"/>
          <w:color w:val="0000FF"/>
          <w:rtl/>
        </w:rPr>
        <w:t>«و إن دخل بها فرق بينهما و تأخذ ببقية العدّة من الأول ثمّ تأتي عن الثاني ثلاثة أقراء مستقبلة». نعم إذا كانت معقودة بالعقد الانقطاعى ثمّ تبين فساده يمكن أن يقال: تعتد عدة المتعة هذا إذا كانت حرّة و أمّا إذا كانت أمة فيكفي فيها الاستبراء و لو كانت ذات زوج و مبدؤها آخر وطء وطئت شبهة، و يحتمل كونه من حين ارتفاع الشبهة، و يحتمل التفصيل</w:t>
      </w:r>
      <w:r w:rsidR="00D975C7">
        <w:rPr>
          <w:rStyle w:val="FootnoteReference"/>
          <w:color w:val="0000FF"/>
          <w:rtl/>
        </w:rPr>
        <w:footnoteReference w:id="4"/>
      </w:r>
      <w:r w:rsidRPr="00411C81">
        <w:rPr>
          <w:rFonts w:hint="cs"/>
          <w:color w:val="0000FF"/>
          <w:rtl/>
        </w:rPr>
        <w:t xml:space="preserve"> بين الوطء المجرد عن العقد فمن حين الوطء و الوطء بالعقد الفاسد فمن حين ارتفاع الشبهة، بدعوى ظهور الأخبار الواردة في عدم التداخل في الاعتداد من حين ارتفاع الشبهة إذا وطئت بالعقد الفاسد ثمّ طلقها زوجها.</w:t>
      </w:r>
      <w:r>
        <w:rPr>
          <w:rStyle w:val="FootnoteReference"/>
          <w:color w:val="0000FF"/>
          <w:rtl/>
        </w:rPr>
        <w:footnoteReference w:id="5"/>
      </w:r>
    </w:p>
    <w:p w:rsidR="00E84F8B" w:rsidRDefault="001D0367" w:rsidP="00E84F8B">
      <w:pPr>
        <w:jc w:val="both"/>
        <w:rPr>
          <w:rtl/>
        </w:rPr>
      </w:pPr>
      <w:r>
        <w:rPr>
          <w:rFonts w:hint="cs"/>
          <w:rtl/>
        </w:rPr>
        <w:t xml:space="preserve">مرحوم سید در این مساله </w:t>
      </w:r>
      <w:r w:rsidRPr="00411C81">
        <w:rPr>
          <w:rFonts w:hint="cs"/>
          <w:color w:val="0000FF"/>
          <w:rtl/>
        </w:rPr>
        <w:t>يمكن أن يقال: تعتد عدة المتعة</w:t>
      </w:r>
      <w:r>
        <w:rPr>
          <w:rFonts w:hint="cs"/>
          <w:rtl/>
        </w:rPr>
        <w:t xml:space="preserve"> تعبیر کرده است که ظاهرا به این قول متمایل است.</w:t>
      </w:r>
    </w:p>
    <w:p w:rsidR="007C3274" w:rsidRDefault="007C3274" w:rsidP="00E84F8B">
      <w:pPr>
        <w:jc w:val="both"/>
        <w:rPr>
          <w:rtl/>
        </w:rPr>
      </w:pPr>
      <w:r>
        <w:rPr>
          <w:rFonts w:hint="cs"/>
          <w:rtl/>
        </w:rPr>
        <w:lastRenderedPageBreak/>
        <w:t>با توجه به بحث هایی که سابقا در این مورد داشتیم و کلام آیت الله والد را ذکر کردیم، به نظر می رسد این قول صحیح است که زن باید عده‌ی متعه نگه دارد.</w:t>
      </w:r>
    </w:p>
    <w:p w:rsidR="001D0367" w:rsidRDefault="00CD4AFA" w:rsidP="00CD4AFA">
      <w:pPr>
        <w:pStyle w:val="Heading1"/>
        <w:rPr>
          <w:rtl/>
        </w:rPr>
      </w:pPr>
      <w:bookmarkStart w:id="9" w:name="_Toc63942356"/>
      <w:bookmarkStart w:id="10" w:name="_Toc63943473"/>
      <w:r>
        <w:rPr>
          <w:rFonts w:hint="cs"/>
          <w:rtl/>
        </w:rPr>
        <w:t>مساله‌ی دهم تکمله‌ی عروه</w:t>
      </w:r>
      <w:bookmarkEnd w:id="9"/>
      <w:bookmarkEnd w:id="10"/>
    </w:p>
    <w:p w:rsidR="00E84F8B" w:rsidRPr="00411C81" w:rsidRDefault="00E84F8B" w:rsidP="00E84F8B">
      <w:pPr>
        <w:jc w:val="both"/>
        <w:rPr>
          <w:color w:val="0000FF"/>
          <w:rtl/>
        </w:rPr>
      </w:pPr>
      <w:r w:rsidRPr="00411C81">
        <w:rPr>
          <w:rFonts w:hint="cs"/>
          <w:color w:val="0000FF"/>
          <w:rtl/>
        </w:rPr>
        <w:t>مسألة 10: الأمة المبعضة كالحرة</w:t>
      </w:r>
      <w:r w:rsidRPr="00411C81">
        <w:rPr>
          <w:rFonts w:hint="cs"/>
          <w:color w:val="0000FF"/>
        </w:rPr>
        <w:t>‌</w:t>
      </w:r>
      <w:r w:rsidRPr="00411C81">
        <w:rPr>
          <w:rFonts w:hint="cs"/>
          <w:color w:val="0000FF"/>
          <w:rtl/>
        </w:rPr>
        <w:t xml:space="preserve"> في الموارد التي يختلف حكمها.</w:t>
      </w:r>
      <w:r>
        <w:rPr>
          <w:rStyle w:val="FootnoteReference"/>
          <w:color w:val="0000FF"/>
          <w:rtl/>
        </w:rPr>
        <w:footnoteReference w:id="6"/>
      </w:r>
    </w:p>
    <w:p w:rsidR="00E84F8B" w:rsidRDefault="00CD4AFA" w:rsidP="00CD4AFA">
      <w:pPr>
        <w:pStyle w:val="Heading1"/>
        <w:rPr>
          <w:rtl/>
        </w:rPr>
      </w:pPr>
      <w:bookmarkStart w:id="11" w:name="_Toc63942357"/>
      <w:bookmarkStart w:id="12" w:name="_Toc63943474"/>
      <w:r>
        <w:rPr>
          <w:rFonts w:hint="cs"/>
          <w:rtl/>
        </w:rPr>
        <w:t>مساله‌ی یازدهم تکمله‌ی عروه</w:t>
      </w:r>
      <w:bookmarkEnd w:id="11"/>
      <w:bookmarkEnd w:id="12"/>
    </w:p>
    <w:p w:rsidR="00E84F8B" w:rsidRPr="00411C81" w:rsidRDefault="00E84F8B" w:rsidP="00E84F8B">
      <w:pPr>
        <w:jc w:val="both"/>
        <w:rPr>
          <w:color w:val="0000FF"/>
          <w:rtl/>
        </w:rPr>
      </w:pPr>
      <w:r w:rsidRPr="00411C81">
        <w:rPr>
          <w:rFonts w:hint="cs"/>
          <w:color w:val="0000FF"/>
          <w:rtl/>
        </w:rPr>
        <w:t>مسألة 11: إذا لم يعلم انّها كانت حرة أو أمة</w:t>
      </w:r>
      <w:r w:rsidRPr="00411C81">
        <w:rPr>
          <w:rFonts w:hint="cs"/>
          <w:color w:val="0000FF"/>
        </w:rPr>
        <w:t>‌</w:t>
      </w:r>
      <w:r w:rsidRPr="00411C81">
        <w:rPr>
          <w:rFonts w:hint="cs"/>
          <w:color w:val="0000FF"/>
          <w:rtl/>
        </w:rPr>
        <w:t xml:space="preserve"> مقتضى الاستصحاب إجراء حكم الحرّة.</w:t>
      </w:r>
      <w:r>
        <w:rPr>
          <w:rStyle w:val="FootnoteReference"/>
          <w:color w:val="0000FF"/>
          <w:rtl/>
        </w:rPr>
        <w:footnoteReference w:id="7"/>
      </w:r>
    </w:p>
    <w:p w:rsidR="00E84F8B" w:rsidRDefault="00CD4AFA" w:rsidP="00C23089">
      <w:pPr>
        <w:pStyle w:val="Heading1"/>
        <w:rPr>
          <w:rtl/>
        </w:rPr>
      </w:pPr>
      <w:bookmarkStart w:id="13" w:name="_Toc63942358"/>
      <w:bookmarkStart w:id="14" w:name="_Toc63943475"/>
      <w:r>
        <w:rPr>
          <w:rFonts w:hint="cs"/>
          <w:rtl/>
        </w:rPr>
        <w:t>مساله‌ی دوازدهم تکمله‌ی عروه</w:t>
      </w:r>
      <w:bookmarkEnd w:id="13"/>
      <w:bookmarkEnd w:id="14"/>
    </w:p>
    <w:p w:rsidR="00E84F8B" w:rsidRPr="00411C81" w:rsidRDefault="00E84F8B" w:rsidP="00E84F8B">
      <w:pPr>
        <w:jc w:val="both"/>
        <w:rPr>
          <w:color w:val="0000FF"/>
          <w:rtl/>
        </w:rPr>
      </w:pPr>
      <w:r w:rsidRPr="00411C81">
        <w:rPr>
          <w:rFonts w:hint="cs"/>
          <w:color w:val="0000FF"/>
          <w:rtl/>
        </w:rPr>
        <w:t>مسألة 12: إذا لم يعلم انّ العقد كان دائما أو متعة</w:t>
      </w:r>
      <w:r w:rsidRPr="00411C81">
        <w:rPr>
          <w:rFonts w:hint="cs"/>
          <w:color w:val="0000FF"/>
        </w:rPr>
        <w:t>‌</w:t>
      </w:r>
      <w:r w:rsidRPr="00411C81">
        <w:rPr>
          <w:rFonts w:hint="cs"/>
          <w:color w:val="0000FF"/>
          <w:rtl/>
        </w:rPr>
        <w:t xml:space="preserve"> يجرى عليه حكم الدوام في موارد اختلاف حكمها للاستصحاب.</w:t>
      </w:r>
      <w:r>
        <w:rPr>
          <w:rStyle w:val="FootnoteReference"/>
          <w:color w:val="0000FF"/>
          <w:rtl/>
        </w:rPr>
        <w:footnoteReference w:id="8"/>
      </w:r>
    </w:p>
    <w:p w:rsidR="00E84F8B" w:rsidRDefault="005D596B" w:rsidP="00E84F8B">
      <w:pPr>
        <w:jc w:val="both"/>
        <w:rPr>
          <w:rtl/>
        </w:rPr>
      </w:pPr>
      <w:r>
        <w:rPr>
          <w:rFonts w:hint="cs"/>
          <w:rtl/>
        </w:rPr>
        <w:t xml:space="preserve">مرحوم سید می فرماید: </w:t>
      </w:r>
      <w:r w:rsidR="00072E33">
        <w:rPr>
          <w:rFonts w:hint="cs"/>
          <w:rtl/>
        </w:rPr>
        <w:t>اگر ندانیم که عقد</w:t>
      </w:r>
      <w:r w:rsidR="003C57CE">
        <w:rPr>
          <w:rFonts w:hint="cs"/>
          <w:rtl/>
        </w:rPr>
        <w:t>،</w:t>
      </w:r>
      <w:r w:rsidR="00072E33">
        <w:rPr>
          <w:rFonts w:hint="cs"/>
          <w:rtl/>
        </w:rPr>
        <w:t xml:space="preserve"> دائم بوده است و با طلاق یا فسخ منقضی شده است یا موقت بوده است و با انقضاء اجل یا هبه‌ی مدت منقضی شده است</w:t>
      </w:r>
      <w:r>
        <w:rPr>
          <w:rFonts w:hint="cs"/>
          <w:rtl/>
        </w:rPr>
        <w:t>،</w:t>
      </w:r>
      <w:r w:rsidR="00A32053">
        <w:rPr>
          <w:rFonts w:hint="cs"/>
          <w:rtl/>
        </w:rPr>
        <w:t xml:space="preserve"> به خاطر استصحاب</w:t>
      </w:r>
      <w:r w:rsidR="0014470A">
        <w:rPr>
          <w:rFonts w:hint="cs"/>
          <w:rtl/>
        </w:rPr>
        <w:t>،</w:t>
      </w:r>
      <w:r>
        <w:rPr>
          <w:rFonts w:hint="cs"/>
          <w:rtl/>
        </w:rPr>
        <w:t xml:space="preserve"> حکم ازدواج دائم جاری می شود</w:t>
      </w:r>
      <w:r w:rsidR="00BA6532">
        <w:rPr>
          <w:rFonts w:hint="cs"/>
          <w:rtl/>
        </w:rPr>
        <w:t>.</w:t>
      </w:r>
    </w:p>
    <w:p w:rsidR="00D92FE7" w:rsidRDefault="00671B5A" w:rsidP="00776A8B">
      <w:pPr>
        <w:jc w:val="both"/>
        <w:rPr>
          <w:rtl/>
        </w:rPr>
      </w:pPr>
      <w:r>
        <w:rPr>
          <w:rFonts w:hint="cs"/>
          <w:rtl/>
        </w:rPr>
        <w:t xml:space="preserve">مراد از استصحاب، استصحاب اعتداد زن است. مرحوم سید مفروض گرفته است که عده‌ی عقد دائم </w:t>
      </w:r>
      <w:r w:rsidR="008F71BD">
        <w:rPr>
          <w:rFonts w:hint="cs"/>
          <w:rtl/>
        </w:rPr>
        <w:t xml:space="preserve">از عده‌ی عقد موقت طولانی تر است؛ طبق مبنای ما همین طور است؛ یعنی عده‌ی عقد دائم </w:t>
      </w:r>
      <w:r w:rsidR="00776A8B">
        <w:rPr>
          <w:rFonts w:hint="cs"/>
          <w:rtl/>
        </w:rPr>
        <w:t>طولانی تر از عده‌ی عقد موقت است</w:t>
      </w:r>
      <w:r w:rsidR="008F71BD">
        <w:rPr>
          <w:rFonts w:hint="cs"/>
          <w:rtl/>
        </w:rPr>
        <w:t>؛ اما طبق مبنای مرحوم سید ممکن است عده‌ی ازدواج موقت از عده‌ی طلاق طولانی تر شود.</w:t>
      </w:r>
    </w:p>
    <w:p w:rsidR="0038533D" w:rsidRDefault="0038533D" w:rsidP="00E84F8B">
      <w:pPr>
        <w:jc w:val="both"/>
        <w:rPr>
          <w:rtl/>
        </w:rPr>
      </w:pPr>
      <w:r>
        <w:rPr>
          <w:rFonts w:hint="cs"/>
          <w:rtl/>
        </w:rPr>
        <w:t xml:space="preserve">ما در عده‌ی متعه اسبق الامرین از چهل و پنج روز و یک حیض ( دو حیض طبق نظر مشهور) را ملاک قرار دادیم؛ اما مرحوم سید مساله را محل تامل دانست. طبق این مبنا که اسبق الامرین ملاک نیست؛ بلکه در زنی که حیض نمی بیند ملاک چهل و پنج روز باشد و در زنی که حیض می بیند گر چه مستقیمة الحیض نباشد، ملاک دو حیض ( طبق نظر مشهور و مرحوم سید) باشد، ممکن است عده‌ی متعه از عده‌ی طلاق طولانی تر شود. مثلا زنی طهرش سه ماه یا بیش تر باشد، در این صورت عده‌ی متعه‌ی این زن دو حیض است که از سه ماه بیش تر است و حال آن که عده‌ی طلاق این زن سه </w:t>
      </w:r>
      <w:r w:rsidR="00487B6E">
        <w:rPr>
          <w:rFonts w:hint="cs"/>
          <w:rtl/>
        </w:rPr>
        <w:t>ماه است؛ زیرا در طلاق اسبق الامرین از سه ماه و سه طهر موجب انقضاء عده می شود.</w:t>
      </w:r>
    </w:p>
    <w:p w:rsidR="00D92FE7" w:rsidRPr="00411C81" w:rsidRDefault="00D92FE7" w:rsidP="00FB651E">
      <w:pPr>
        <w:pStyle w:val="Heading1"/>
        <w:rPr>
          <w:rtl/>
        </w:rPr>
      </w:pPr>
      <w:bookmarkStart w:id="15" w:name="_Toc63942359"/>
      <w:bookmarkStart w:id="16" w:name="_Toc63943476"/>
      <w:r>
        <w:rPr>
          <w:rFonts w:hint="cs"/>
          <w:rtl/>
        </w:rPr>
        <w:lastRenderedPageBreak/>
        <w:t xml:space="preserve">مساله‌ی </w:t>
      </w:r>
      <w:r w:rsidR="00FB651E">
        <w:rPr>
          <w:rFonts w:hint="cs"/>
          <w:rtl/>
        </w:rPr>
        <w:t>سیز</w:t>
      </w:r>
      <w:r>
        <w:rPr>
          <w:rFonts w:hint="cs"/>
          <w:rtl/>
        </w:rPr>
        <w:t>دهم تکمله‌ی عروه</w:t>
      </w:r>
      <w:bookmarkEnd w:id="15"/>
      <w:bookmarkEnd w:id="16"/>
    </w:p>
    <w:p w:rsidR="00E84F8B" w:rsidRPr="00411C81" w:rsidRDefault="00E84F8B" w:rsidP="00E84F8B">
      <w:pPr>
        <w:jc w:val="both"/>
        <w:rPr>
          <w:color w:val="0000FF"/>
          <w:rtl/>
        </w:rPr>
      </w:pPr>
      <w:r w:rsidRPr="00411C81">
        <w:rPr>
          <w:rFonts w:hint="cs"/>
          <w:color w:val="0000FF"/>
          <w:rtl/>
        </w:rPr>
        <w:t>مسألة 13: إذا مات زوج المنقطعة بعد انقضاء المدّة أو هبتها</w:t>
      </w:r>
      <w:r w:rsidRPr="00411C81">
        <w:rPr>
          <w:rFonts w:hint="cs"/>
          <w:color w:val="0000FF"/>
        </w:rPr>
        <w:t>‌</w:t>
      </w:r>
      <w:r w:rsidRPr="00411C81">
        <w:rPr>
          <w:rFonts w:hint="cs"/>
          <w:color w:val="0000FF"/>
          <w:rtl/>
        </w:rPr>
        <w:t xml:space="preserve"> لم تنقلب عدّتها إلى عدّة الوفاة لأنّها بائنة و قد انقطعت عصمتها، و امّا إذا مات مقارنا للانقضاء فيحتمل وجوب عدة الوفاة، لكنّ الظاهر عدمه لعدم صدق موته عن زوجة</w:t>
      </w:r>
      <w:r w:rsidR="000B137E">
        <w:rPr>
          <w:rStyle w:val="FootnoteReference"/>
          <w:color w:val="0000FF"/>
          <w:rtl/>
        </w:rPr>
        <w:footnoteReference w:id="9"/>
      </w:r>
      <w:r w:rsidRPr="00411C81">
        <w:rPr>
          <w:rFonts w:hint="cs"/>
          <w:color w:val="0000FF"/>
          <w:rtl/>
        </w:rPr>
        <w:t>، و لو لم يعلم تقدم أيهما فمع العلم بتاريخ أحدهما يكون الحكم تابعا له، و مع جهلهما يحكم بعدة الموت لاستصحاب عدم خروجها عن العدة بشهر و نصف، هذا إذا كانت مدخولا بها و إلّا فالأصل عدم وجوب العدة أصلا.</w:t>
      </w:r>
      <w:r>
        <w:rPr>
          <w:rStyle w:val="FootnoteReference"/>
          <w:color w:val="0000FF"/>
          <w:rtl/>
        </w:rPr>
        <w:footnoteReference w:id="10"/>
      </w:r>
    </w:p>
    <w:p w:rsidR="00E84F8B" w:rsidRDefault="00455BA5" w:rsidP="00E84F8B">
      <w:pPr>
        <w:jc w:val="both"/>
        <w:rPr>
          <w:rtl/>
        </w:rPr>
      </w:pPr>
      <w:r>
        <w:rPr>
          <w:rFonts w:hint="cs"/>
          <w:rtl/>
        </w:rPr>
        <w:t>مرحوم سید می فرماید: عده‌ی متعه با موت زوج به عده‌ی وفات منقلب نمی شود؛ زیرا بائن است و هر گونه علقه ای بین زن و مرد منقطع شده است.</w:t>
      </w:r>
    </w:p>
    <w:p w:rsidR="00166722" w:rsidRDefault="00166722" w:rsidP="00E84F8B">
      <w:pPr>
        <w:jc w:val="both"/>
        <w:rPr>
          <w:rtl/>
        </w:rPr>
      </w:pPr>
      <w:r>
        <w:rPr>
          <w:rFonts w:hint="cs"/>
          <w:rtl/>
        </w:rPr>
        <w:t>در عده‌ی رجعیه</w:t>
      </w:r>
      <w:r w:rsidR="005C5439">
        <w:rPr>
          <w:rStyle w:val="FootnoteReference"/>
          <w:rtl/>
        </w:rPr>
        <w:footnoteReference w:id="11"/>
      </w:r>
      <w:r>
        <w:rPr>
          <w:rFonts w:hint="cs"/>
          <w:rtl/>
        </w:rPr>
        <w:t xml:space="preserve"> یک نحو علقه ای وجود دارد که باعث می شود</w:t>
      </w:r>
      <w:r w:rsidR="009A0445">
        <w:rPr>
          <w:rFonts w:hint="cs"/>
          <w:rtl/>
        </w:rPr>
        <w:t xml:space="preserve"> مرد بتواند رجوع کند.</w:t>
      </w:r>
    </w:p>
    <w:p w:rsidR="00E84F8B" w:rsidRDefault="00140BEA" w:rsidP="00E84F8B">
      <w:pPr>
        <w:jc w:val="both"/>
        <w:rPr>
          <w:rtl/>
        </w:rPr>
      </w:pPr>
      <w:r w:rsidRPr="00411C81">
        <w:rPr>
          <w:rFonts w:hint="cs"/>
          <w:color w:val="0000FF"/>
          <w:rtl/>
        </w:rPr>
        <w:t>قد انقطعت عصمتها</w:t>
      </w:r>
      <w:r>
        <w:rPr>
          <w:rFonts w:hint="cs"/>
          <w:rtl/>
        </w:rPr>
        <w:t xml:space="preserve"> یعنی ارتباط بین زن و مرد کاملا قطع شده است، عصمت اعم از ارتباطی</w:t>
      </w:r>
      <w:r w:rsidR="00500EED">
        <w:rPr>
          <w:rFonts w:hint="cs"/>
          <w:rtl/>
        </w:rPr>
        <w:t xml:space="preserve"> است</w:t>
      </w:r>
      <w:r>
        <w:rPr>
          <w:rFonts w:hint="cs"/>
          <w:rtl/>
        </w:rPr>
        <w:t xml:space="preserve"> که در زوجیت محقق است و ارتباطی که در عده‌ی رجعیه وجود دارد.</w:t>
      </w:r>
    </w:p>
    <w:p w:rsidR="004A2D1F" w:rsidRDefault="000B137E" w:rsidP="009A20E4">
      <w:pPr>
        <w:jc w:val="both"/>
        <w:rPr>
          <w:rtl/>
        </w:rPr>
      </w:pPr>
      <w:r>
        <w:rPr>
          <w:rFonts w:hint="cs"/>
          <w:rtl/>
        </w:rPr>
        <w:t xml:space="preserve">سپس مرحوم سید </w:t>
      </w:r>
      <w:r w:rsidR="00B1345A">
        <w:rPr>
          <w:rFonts w:hint="cs"/>
          <w:rtl/>
        </w:rPr>
        <w:t>صورتی را مطرح می کند که معلوم نیست انقضاء اجل یا هبه‌ی مدت زودتر واقع شده است یا موت مرد. در ای</w:t>
      </w:r>
      <w:r w:rsidR="009A20E4">
        <w:rPr>
          <w:rFonts w:hint="cs"/>
          <w:rtl/>
        </w:rPr>
        <w:t>ن صورت بحث استصحاب مطرح می شود.</w:t>
      </w:r>
    </w:p>
    <w:p w:rsidR="00E84F8B" w:rsidRDefault="00B1345A" w:rsidP="004A2D1F">
      <w:pPr>
        <w:jc w:val="both"/>
        <w:rPr>
          <w:rtl/>
        </w:rPr>
      </w:pPr>
      <w:r>
        <w:rPr>
          <w:rFonts w:hint="cs"/>
          <w:rtl/>
        </w:rPr>
        <w:t>اگر تاریخ انقضاء اجل مشخص باشد و تاریخ وفات مشخص نباشد، استصحاب عدم وفات تا زمان انقضاء اجل جاری می شود؛ بنابراین باید عده‌ی متعه ای که در زمان حیات شوهر مدت متعه منقضی شده است، نگه دارد.</w:t>
      </w:r>
    </w:p>
    <w:p w:rsidR="00B1345A" w:rsidRDefault="004A2D1F" w:rsidP="00E84F8B">
      <w:pPr>
        <w:jc w:val="both"/>
        <w:rPr>
          <w:rtl/>
        </w:rPr>
      </w:pPr>
      <w:r>
        <w:rPr>
          <w:rFonts w:hint="cs"/>
          <w:rtl/>
        </w:rPr>
        <w:t>اگر تاریخ وفات مشخص باشد و تاریخ انقضاء ا</w:t>
      </w:r>
      <w:r w:rsidR="007D0B92">
        <w:rPr>
          <w:rFonts w:hint="cs"/>
          <w:rtl/>
        </w:rPr>
        <w:t>جل مشخص نباشد، استصحاب زوجیت تا حین وفات جاری می شود؛ بنابراین عده‌ی وفات بر زن ثابت می شود.</w:t>
      </w:r>
    </w:p>
    <w:p w:rsidR="00440CA4" w:rsidRDefault="00440CA4" w:rsidP="00172954">
      <w:pPr>
        <w:jc w:val="both"/>
        <w:rPr>
          <w:rtl/>
        </w:rPr>
      </w:pPr>
      <w:r>
        <w:rPr>
          <w:rFonts w:hint="cs"/>
          <w:rtl/>
        </w:rPr>
        <w:t>اگر هر دو مجهول التاریخ باشند، استصحاب عدم انقضاء مدت تا زمان موت و استصحاب عدم موت تا زمان انقضاء اجل تعارض کرده و تساقط می کنند؛ در نتیجه باید به اصول مسببی رجوع کرد.</w:t>
      </w:r>
      <w:r w:rsidR="00172954">
        <w:rPr>
          <w:rFonts w:hint="cs"/>
          <w:rtl/>
        </w:rPr>
        <w:t xml:space="preserve"> اگر زن مدخوله باشد، اصل عده مسلم است و نمی دانیم عده‌ی او عده‌ی وفات است یا عده‌ی انقضاء اجل؛ در این صورت با استصحاب اعتداد زن، عده‌ی وفات ثابت می شود. اما اگر زن مدخوله نباشد، عده‌ی انقضاء مدت وجود ندارد؛ اما عده‌ی وفات در زن غیر مدخوله نیز ثابت می شود.</w:t>
      </w:r>
      <w:r w:rsidR="00475273">
        <w:rPr>
          <w:rFonts w:hint="cs"/>
          <w:rtl/>
        </w:rPr>
        <w:t xml:space="preserve"> در نتیجه در صورت غیر مدخوله بودن، اصل معتده بودن زن مشکوک است و استصحاب عدم اعتداد زن جاری می شود.</w:t>
      </w:r>
    </w:p>
    <w:p w:rsidR="009A20E4" w:rsidRDefault="00ED5F67" w:rsidP="005F5156">
      <w:pPr>
        <w:jc w:val="both"/>
        <w:rPr>
          <w:rtl/>
        </w:rPr>
      </w:pPr>
      <w:r>
        <w:rPr>
          <w:rFonts w:hint="cs"/>
          <w:rtl/>
        </w:rPr>
        <w:lastRenderedPageBreak/>
        <w:t xml:space="preserve">مرحوم سید در عبارت </w:t>
      </w:r>
      <w:r w:rsidRPr="00411C81">
        <w:rPr>
          <w:rFonts w:hint="cs"/>
          <w:color w:val="0000FF"/>
          <w:rtl/>
        </w:rPr>
        <w:t>و مع جهلهما يحكم بعدة الموت لاستصحاب عدم خروجها عن العدة بشهر و نصف</w:t>
      </w:r>
      <w:r>
        <w:rPr>
          <w:rFonts w:hint="cs"/>
          <w:rtl/>
        </w:rPr>
        <w:t xml:space="preserve"> عده‌ی متعه ر</w:t>
      </w:r>
      <w:r w:rsidR="00863031">
        <w:rPr>
          <w:rFonts w:hint="cs"/>
          <w:rtl/>
        </w:rPr>
        <w:t>ا یک ماه و نیم در نظر گرفته است که به نوعی مسامحه است و مراد چهل و پنج روز می باشد؛ اما چهل و پنج روز هم طبق مبنای مرحوم</w:t>
      </w:r>
      <w:r w:rsidR="005F5156">
        <w:rPr>
          <w:rFonts w:hint="cs"/>
          <w:rtl/>
        </w:rPr>
        <w:t xml:space="preserve"> سید مربوط به زن ذات الشهور است و عده‌ی زن ذات الاقراء دو حیض است؛ در نتیجه باید دو حیض و چهار ماه و ده روز با هم مقایسه شوند. حال اگر در همه‌ی موارد ( مستقیمة الحیض و غیر مستقیمة الحیض) قائل به دو حیض شویم، ممکن است دو حیض از چهار ماه و ده روز بیش تر شود.</w:t>
      </w:r>
    </w:p>
    <w:p w:rsidR="000B137E" w:rsidRDefault="00180194" w:rsidP="00007B43">
      <w:pPr>
        <w:pStyle w:val="Heading1"/>
        <w:rPr>
          <w:rtl/>
        </w:rPr>
      </w:pPr>
      <w:bookmarkStart w:id="17" w:name="_Toc63942360"/>
      <w:bookmarkStart w:id="18" w:name="_Toc63943477"/>
      <w:r>
        <w:rPr>
          <w:rFonts w:hint="cs"/>
          <w:rtl/>
        </w:rPr>
        <w:t xml:space="preserve">فصل چهارم تکمله‌ی </w:t>
      </w:r>
      <w:r w:rsidR="00007B43">
        <w:rPr>
          <w:rFonts w:hint="cs"/>
          <w:rtl/>
        </w:rPr>
        <w:t>عروه</w:t>
      </w:r>
      <w:r>
        <w:rPr>
          <w:rFonts w:hint="cs"/>
          <w:rtl/>
        </w:rPr>
        <w:t xml:space="preserve"> از کتاب العدد</w:t>
      </w:r>
      <w:bookmarkEnd w:id="17"/>
      <w:bookmarkEnd w:id="18"/>
    </w:p>
    <w:p w:rsidR="00180194" w:rsidRPr="00180194" w:rsidRDefault="00180194" w:rsidP="00180194">
      <w:pPr>
        <w:jc w:val="both"/>
      </w:pPr>
      <w:r>
        <w:rPr>
          <w:rFonts w:hint="cs"/>
          <w:rtl/>
        </w:rPr>
        <w:t>عنوان فصل چهارم «</w:t>
      </w:r>
      <w:r w:rsidRPr="00180194">
        <w:rPr>
          <w:rFonts w:hint="cs"/>
          <w:color w:val="0000FF"/>
          <w:rtl/>
        </w:rPr>
        <w:t>الفصل الرابع في استبراء الإماء</w:t>
      </w:r>
      <w:r w:rsidRPr="00180194">
        <w:rPr>
          <w:rFonts w:hint="cs"/>
          <w:color w:val="0000FF"/>
        </w:rPr>
        <w:t>‌</w:t>
      </w:r>
      <w:r>
        <w:rPr>
          <w:rFonts w:hint="cs"/>
          <w:rtl/>
        </w:rPr>
        <w:t>» می باشد. این فصل را بررسی نمی کنیم. فقط بعضی از نکات آن که بحث علمی دارد، اشاره کرده و وارد فصل بعد می شویم.</w:t>
      </w:r>
    </w:p>
    <w:p w:rsidR="008541DD" w:rsidRDefault="00B20416" w:rsidP="00FA52E6">
      <w:pPr>
        <w:jc w:val="both"/>
        <w:rPr>
          <w:rtl/>
        </w:rPr>
      </w:pPr>
      <w:r>
        <w:rPr>
          <w:rFonts w:hint="cs"/>
          <w:rtl/>
        </w:rPr>
        <w:t>مرح</w:t>
      </w:r>
      <w:r w:rsidR="003E492B">
        <w:rPr>
          <w:rFonts w:hint="cs"/>
          <w:rtl/>
        </w:rPr>
        <w:t>وم سید در مساله‌ی ششم می فرماید</w:t>
      </w:r>
      <w:r>
        <w:rPr>
          <w:rFonts w:hint="cs"/>
          <w:rtl/>
        </w:rPr>
        <w:t xml:space="preserve"> در بعضی موارد استبراء اماء ساقط است:</w:t>
      </w:r>
    </w:p>
    <w:p w:rsidR="00E84F8B" w:rsidRPr="0087091E" w:rsidRDefault="00E84F8B" w:rsidP="00E84F8B">
      <w:pPr>
        <w:jc w:val="both"/>
        <w:rPr>
          <w:color w:val="0000FF"/>
        </w:rPr>
      </w:pPr>
      <w:r w:rsidRPr="0087091E">
        <w:rPr>
          <w:rFonts w:hint="cs"/>
          <w:color w:val="0000FF"/>
          <w:rtl/>
        </w:rPr>
        <w:t>أحدها: إذا أخبر البائع باستبرائها أو عدم وطئها فإنّه يجوز للمشترى مقاربتها من غير استبراء، بشرط أن يكون ثقة مأمونا على المشهور، خلافا لابن إدريس و فخر المحققين و الأقوى قول المشهور لجملة من الأخبار المحمول مطلقها في السقوط على مقيدها باشتراط الأمانة، و مطلقها في عدم السقوط على صورة عدم الوثوق به، و حمل ما دل منها على الاستبراء و لو مع الامانة على الاستحباب، ففي خبر: محمّد بن حكيم «إذا اشتريت جارية فضمن لك مولاها انّها على طهر فلا بأس أن تقع عليها». و في صحيحة الحلبي «في رجل اشترى جارية و لم يكن صاحبها يطؤها أ يستبرئ رحمها، قال: نعم». و في خبر حفص بن البختري «في الرجل يشتري الأمة من رجل فيقول انّى لم أطأها، قال: إن وثق به فلا بأس بأن يأتيها». و في خبر أبى بصير الرّجل يشتري الجارية و هي طاهرة و يزعم</w:t>
      </w:r>
      <w:r w:rsidR="00FB14C3">
        <w:rPr>
          <w:rStyle w:val="FootnoteReference"/>
          <w:color w:val="0000FF"/>
          <w:rtl/>
        </w:rPr>
        <w:footnoteReference w:id="12"/>
      </w:r>
      <w:r w:rsidRPr="0087091E">
        <w:rPr>
          <w:rFonts w:hint="cs"/>
          <w:color w:val="0000FF"/>
          <w:rtl/>
        </w:rPr>
        <w:t xml:space="preserve"> صاحبها انّه لم يمسّها منذ حاضت، فقال: انّ ائتمنته فمسّها».</w:t>
      </w:r>
    </w:p>
    <w:p w:rsidR="00E84F8B" w:rsidRPr="0087091E" w:rsidRDefault="00E84F8B" w:rsidP="00E84F8B">
      <w:pPr>
        <w:jc w:val="both"/>
        <w:rPr>
          <w:color w:val="0000FF"/>
          <w:rtl/>
        </w:rPr>
      </w:pPr>
      <w:r w:rsidRPr="0087091E">
        <w:rPr>
          <w:rFonts w:hint="cs"/>
          <w:color w:val="0000FF"/>
          <w:rtl/>
        </w:rPr>
        <w:t>و في: خبر عبد اللّه بن سنان «اشترى الجارية من الرجل المأمون فيخبرني انّه لم‌ يمسّها منذ طمثت عنده و طهرت، قال: ليس بجائز أن تأتيها حتى تستبرئها بحيضة، و لكن يجوز لك ما دون الفرج لأنّ الّذين يشترون الإماء ثم يأتونهن قبل أن يستبرئهن فأولئك الزناة بأموالهم». هذا و لا يلزم كون البائع المخبر عادلا بل يكفى كونه موثوقا به مأمونا و ما في المسالك من قوله انّما عبّر يعنى المحقق بالثقة لوروده في النصوص المذكورة في هذا الباب و الظّاهر انّ المراد بالثقة العدل لأنّه الثقة شرعا.</w:t>
      </w:r>
    </w:p>
    <w:p w:rsidR="00E84F8B" w:rsidRPr="0087091E" w:rsidRDefault="00E84F8B" w:rsidP="00E84F8B">
      <w:pPr>
        <w:jc w:val="both"/>
        <w:rPr>
          <w:color w:val="0000FF"/>
          <w:rtl/>
        </w:rPr>
      </w:pPr>
      <w:r w:rsidRPr="0087091E">
        <w:rPr>
          <w:rFonts w:hint="cs"/>
          <w:color w:val="0000FF"/>
          <w:rtl/>
        </w:rPr>
        <w:t xml:space="preserve">فيه أولا: انّه لم يرد في النصوص لفظ الثقة بل ورد إن وثق به و إن ائتمنه و نحو ذلك، و لا يظهر منها اعتبار العدالة مع انّ لفظ الثقة أيضا أعم من العدل و كون المراد منه العدل انّما هو في اصطلاح أهل الرّجال، و كيف كان لا دليل على اعتبار عدالة المخبر، </w:t>
      </w:r>
      <w:r w:rsidRPr="0087091E">
        <w:rPr>
          <w:rFonts w:hint="cs"/>
          <w:color w:val="0000FF"/>
          <w:rtl/>
        </w:rPr>
        <w:lastRenderedPageBreak/>
        <w:t>هذا و لا يلزم كون إخبار البائع للمشتري بلا واسطة فلو ثبت عنده إخباره مع كونه ثقة بمثل البينة كفى بل و كذا بإخبار ثقة باخباره على إشكال</w:t>
      </w:r>
      <w:r>
        <w:rPr>
          <w:rFonts w:hint="cs"/>
          <w:color w:val="0000FF"/>
          <w:rtl/>
        </w:rPr>
        <w:t xml:space="preserve"> ...</w:t>
      </w:r>
      <w:r>
        <w:rPr>
          <w:rStyle w:val="FootnoteReference"/>
          <w:color w:val="0000FF"/>
          <w:rtl/>
        </w:rPr>
        <w:footnoteReference w:id="13"/>
      </w:r>
    </w:p>
    <w:p w:rsidR="00FB14C3" w:rsidRDefault="00FB14C3" w:rsidP="00FB14C3">
      <w:pPr>
        <w:jc w:val="both"/>
        <w:rPr>
          <w:rtl/>
        </w:rPr>
      </w:pPr>
      <w:r>
        <w:rPr>
          <w:rFonts w:hint="cs"/>
          <w:rtl/>
        </w:rPr>
        <w:t>یکی از مواردی که استبراء اماء ساقط است در جایی است که بایع بگوید امه را استبراء کرده است یا وطی نکرده است، در این صورت مشتری می تواند بدون استبراء امه با او مقاربت کند. البته به شرطی که بایع ثقه و مامون باشد.</w:t>
      </w:r>
    </w:p>
    <w:p w:rsidR="00FB14C3" w:rsidRDefault="00FB14C3" w:rsidP="00FB14C3">
      <w:pPr>
        <w:jc w:val="both"/>
        <w:rPr>
          <w:rtl/>
        </w:rPr>
      </w:pPr>
      <w:r>
        <w:rPr>
          <w:rFonts w:hint="cs"/>
          <w:rtl/>
        </w:rPr>
        <w:t>سپس مرحوم سید روایات مساله را بیان می کند:</w:t>
      </w:r>
    </w:p>
    <w:p w:rsidR="00FB14C3" w:rsidRDefault="00FB14C3" w:rsidP="00FB14C3">
      <w:pPr>
        <w:jc w:val="both"/>
        <w:rPr>
          <w:rtl/>
        </w:rPr>
      </w:pPr>
      <w:r>
        <w:rPr>
          <w:rFonts w:hint="cs"/>
          <w:rtl/>
        </w:rPr>
        <w:t>در یک دسته از روایات آمده است که قول بایع پذیرفته نمی شود.</w:t>
      </w:r>
    </w:p>
    <w:p w:rsidR="00FB14C3" w:rsidRDefault="00FB14C3" w:rsidP="00FB14C3">
      <w:pPr>
        <w:jc w:val="both"/>
        <w:rPr>
          <w:rtl/>
        </w:rPr>
      </w:pPr>
      <w:r>
        <w:rPr>
          <w:rFonts w:hint="cs"/>
          <w:rtl/>
        </w:rPr>
        <w:t>دسته‌ی دیگر روایات می فرمایند: قول بایع پذیرفته می شود.</w:t>
      </w:r>
    </w:p>
    <w:p w:rsidR="00FB14C3" w:rsidRDefault="00FB14C3" w:rsidP="00FB14C3">
      <w:pPr>
        <w:jc w:val="both"/>
        <w:rPr>
          <w:rtl/>
        </w:rPr>
      </w:pPr>
      <w:r>
        <w:rPr>
          <w:rFonts w:hint="cs"/>
          <w:rtl/>
        </w:rPr>
        <w:t>به قرینه</w:t>
      </w:r>
      <w:r w:rsidR="00AA31E4">
        <w:rPr>
          <w:rFonts w:hint="cs"/>
          <w:rtl/>
        </w:rPr>
        <w:t>‌ی</w:t>
      </w:r>
      <w:r>
        <w:rPr>
          <w:rFonts w:hint="cs"/>
          <w:rtl/>
        </w:rPr>
        <w:t xml:space="preserve"> روایات دیگر که بین بایع مامون و غیر مامون تفصیل داده است، بین دو دسته روایت جمع کرده است که اگر بایع مامون و ثقه باشد، قول او پذیرفته می شود و اگر ثقه نباشد، قولش پذیرفته نمی شود.</w:t>
      </w:r>
    </w:p>
    <w:p w:rsidR="00E84F8B" w:rsidRDefault="00FB14C3" w:rsidP="00FB14C3">
      <w:pPr>
        <w:jc w:val="both"/>
        <w:rPr>
          <w:rtl/>
        </w:rPr>
      </w:pPr>
      <w:r>
        <w:rPr>
          <w:rFonts w:hint="cs"/>
          <w:rtl/>
        </w:rPr>
        <w:t>البته روایات دیگری نیز وجود دارد که حتی در صورت مامون بودن بایع، حکم به استبراء امه کرده است که این روایات را مرحوم سید بر استحباب حمل کرده است.</w:t>
      </w:r>
    </w:p>
    <w:p w:rsidR="00E84F8B" w:rsidRDefault="00C6234D" w:rsidP="00E84F8B">
      <w:pPr>
        <w:jc w:val="both"/>
        <w:rPr>
          <w:rtl/>
        </w:rPr>
      </w:pPr>
      <w:r>
        <w:rPr>
          <w:rFonts w:hint="cs"/>
          <w:rtl/>
        </w:rPr>
        <w:t>نکته‌ی اصلی بحث ادامه‌ی کلام مرحوم سید می باشد:</w:t>
      </w:r>
    </w:p>
    <w:p w:rsidR="00C6234D" w:rsidRPr="0087091E" w:rsidRDefault="00C6234D" w:rsidP="00C6234D">
      <w:pPr>
        <w:jc w:val="both"/>
        <w:rPr>
          <w:color w:val="0000FF"/>
          <w:rtl/>
        </w:rPr>
      </w:pPr>
      <w:r w:rsidRPr="0087091E">
        <w:rPr>
          <w:rFonts w:hint="cs"/>
          <w:color w:val="0000FF"/>
          <w:rtl/>
        </w:rPr>
        <w:t>هذا و لا يلزم كون البائع المخبر عادلا بل يكفى كونه موثوقا به مأمونا و ما في المسالك من قوله انّما عبّر يعنى المحقق بالثقة لوروده في النصوص المذكورة في هذا الباب و الظّاهر انّ المراد بالثقة العدل لأنّه الثقة شرعا.</w:t>
      </w:r>
    </w:p>
    <w:p w:rsidR="00E84F8B" w:rsidRDefault="00C6234D" w:rsidP="00E84F8B">
      <w:pPr>
        <w:jc w:val="both"/>
        <w:rPr>
          <w:rtl/>
        </w:rPr>
      </w:pPr>
      <w:r>
        <w:rPr>
          <w:rFonts w:hint="cs"/>
          <w:rtl/>
        </w:rPr>
        <w:t>مرحوم سید می فرماید: لازم نیست بایع مخبر، عادل باشد؛ بلکه ثقه و مامون بودن او کفایت می کند.</w:t>
      </w:r>
    </w:p>
    <w:p w:rsidR="000821B4" w:rsidRDefault="000821B4" w:rsidP="00E84F8B">
      <w:pPr>
        <w:jc w:val="both"/>
        <w:rPr>
          <w:rtl/>
        </w:rPr>
      </w:pPr>
      <w:r>
        <w:rPr>
          <w:rFonts w:hint="cs"/>
          <w:rtl/>
        </w:rPr>
        <w:t>شهید ثانی در مسالک ( شرح شرایع) می فرماید: تعبیر مرحوم محقق در شرایع که لفظ ثقه را بیان کرده است، به تبع اخبار می باشد؛ ظاهرا مراد از ثقه، عدل می باشد؛ زیرا در شرع به عادل، ثقه گفته می شود.</w:t>
      </w:r>
    </w:p>
    <w:p w:rsidR="000821B4" w:rsidRDefault="000821B4" w:rsidP="00E84F8B">
      <w:pPr>
        <w:jc w:val="both"/>
        <w:rPr>
          <w:rtl/>
        </w:rPr>
      </w:pPr>
      <w:r>
        <w:rPr>
          <w:rFonts w:hint="cs"/>
          <w:rtl/>
        </w:rPr>
        <w:t xml:space="preserve">مرحوم سید می فرماید: اولا در روایات لفظ ثقه وارد نشده است؛ بلکه تعبیراتی چون </w:t>
      </w:r>
      <w:r w:rsidRPr="0087091E">
        <w:rPr>
          <w:rFonts w:hint="cs"/>
          <w:color w:val="0000FF"/>
          <w:rtl/>
        </w:rPr>
        <w:t>إن وثق به و إن ائتمنه</w:t>
      </w:r>
      <w:r>
        <w:rPr>
          <w:rFonts w:hint="cs"/>
          <w:rtl/>
        </w:rPr>
        <w:t xml:space="preserve"> وارد شده است که از این تعبیرات وثاقت به دست نمی آید.</w:t>
      </w:r>
    </w:p>
    <w:p w:rsidR="00E84F8B" w:rsidRDefault="000821B4" w:rsidP="00E84F8B">
      <w:pPr>
        <w:jc w:val="both"/>
        <w:rPr>
          <w:rtl/>
        </w:rPr>
      </w:pPr>
      <w:r>
        <w:rPr>
          <w:rFonts w:hint="cs"/>
          <w:rtl/>
        </w:rPr>
        <w:t>ثانیا اگر لفظ ثقه هم ملاک باشد، ثقه اعم از عدالت می باشد. اراده‌ی عدل از ثقه، اصطلاح اهل رجال است.</w:t>
      </w:r>
    </w:p>
    <w:p w:rsidR="001A1EA5" w:rsidRDefault="009C3DAE" w:rsidP="009C3DAE">
      <w:pPr>
        <w:pStyle w:val="Heading2"/>
        <w:rPr>
          <w:rtl/>
        </w:rPr>
      </w:pPr>
      <w:bookmarkStart w:id="19" w:name="_Toc63942361"/>
      <w:bookmarkStart w:id="20" w:name="_Toc63943478"/>
      <w:r>
        <w:rPr>
          <w:rFonts w:hint="cs"/>
          <w:rtl/>
        </w:rPr>
        <w:lastRenderedPageBreak/>
        <w:t>اصطلاح ثقه در میان اهل رجال</w:t>
      </w:r>
      <w:bookmarkEnd w:id="19"/>
      <w:bookmarkEnd w:id="20"/>
    </w:p>
    <w:p w:rsidR="000821B4" w:rsidRDefault="00DB0F2A" w:rsidP="00DB0F2A">
      <w:pPr>
        <w:jc w:val="both"/>
        <w:rPr>
          <w:rtl/>
        </w:rPr>
      </w:pPr>
      <w:r>
        <w:rPr>
          <w:rFonts w:hint="cs"/>
          <w:rtl/>
        </w:rPr>
        <w:t>برخی تصور کرده اند که ثقه به معنای صدوق و راستگو می باشد. آیت الله والد می فرماید: ثقه به معنای صدوق و راستگو نیست؛ بلکه به معنای مورد اعتماد می باشد و با توجه به تناسبات حکم و موضوع در موارد مختلف معنای ثقه متفاوت است. مثلا وقتی گفته می شود فلان پزشک مورد اعتماد است یعنی درست تشخیص می دهد و خلاف واقع نمی گوید. اگر گفته شود فلان بنا ثقه است یعنی در بنایی و امور مربوط به آن مورد اعتماد است. در بحث احادیث اگر گفته شود فلان راوی ثقه است یعنی این راوی عدل است به این اعتبار که در اعتبار روایت، عدالت معتبر است. مراد شهید ثانی در مسالک این معناست.</w:t>
      </w:r>
    </w:p>
    <w:p w:rsidR="00806FC9" w:rsidRDefault="00806FC9" w:rsidP="00084C92">
      <w:pPr>
        <w:jc w:val="both"/>
        <w:rPr>
          <w:rtl/>
        </w:rPr>
      </w:pPr>
      <w:r>
        <w:rPr>
          <w:rFonts w:hint="cs"/>
          <w:rtl/>
        </w:rPr>
        <w:t>البته این تقریب مبتنی بر این است که در اعتبار روایت، عدالت را معتبر بدانیم؛ اما مرحوم شیخ طوسی در ع</w:t>
      </w:r>
      <w:r w:rsidR="005D0350">
        <w:rPr>
          <w:rFonts w:hint="cs"/>
          <w:rtl/>
        </w:rPr>
        <w:t>ُ</w:t>
      </w:r>
      <w:r>
        <w:rPr>
          <w:rFonts w:hint="cs"/>
          <w:rtl/>
        </w:rPr>
        <w:t>ده مسلم می داند که در اعتبار روایت،</w:t>
      </w:r>
      <w:r w:rsidR="009E4626">
        <w:rPr>
          <w:rFonts w:hint="cs"/>
          <w:rtl/>
        </w:rPr>
        <w:t xml:space="preserve"> عدالت شرط نیست. ثقه به این معناست که شخص راستگو باشد و صحت مذهب داشته باشد.</w:t>
      </w:r>
      <w:r w:rsidR="00084C92">
        <w:rPr>
          <w:rFonts w:hint="cs"/>
          <w:rtl/>
        </w:rPr>
        <w:t xml:space="preserve"> مرحوم شیخ در بحث ترجیح یک خبر بر خبر دیگر، خبر عادل را بر خبر غیر عادل مقدم می کند؛ سپس عدالت را به این صورت معنا می کند: عدالتی که در این باب ( ترجیح خبری بر خبر دیگر) شرط است به معنای </w:t>
      </w:r>
      <w:r w:rsidR="00931BB5">
        <w:rPr>
          <w:rFonts w:hint="cs"/>
          <w:rtl/>
        </w:rPr>
        <w:t>راستگو بودن و صحت مذهب می باشد و فسق به جوارح موجب نمی شود خبر شخص حتی در ظرف تعارض از اعتبار ساقط شود.</w:t>
      </w:r>
    </w:p>
    <w:p w:rsidR="00AA322C" w:rsidRDefault="00AA322C" w:rsidP="00770B4A">
      <w:pPr>
        <w:jc w:val="both"/>
        <w:rPr>
          <w:rtl/>
        </w:rPr>
      </w:pPr>
      <w:r>
        <w:rPr>
          <w:rFonts w:hint="cs"/>
          <w:rtl/>
        </w:rPr>
        <w:t>بنابراین مشکل است که بگوییم در اصطلاح ائمه‌ی رجال از ثق</w:t>
      </w:r>
      <w:r w:rsidR="00B35C38">
        <w:rPr>
          <w:rFonts w:hint="cs"/>
          <w:rtl/>
        </w:rPr>
        <w:t>ه</w:t>
      </w:r>
      <w:r w:rsidR="00406939">
        <w:rPr>
          <w:rFonts w:hint="cs"/>
          <w:rtl/>
        </w:rPr>
        <w:t>،</w:t>
      </w:r>
      <w:r w:rsidR="00B35C38">
        <w:rPr>
          <w:rFonts w:hint="cs"/>
          <w:rtl/>
        </w:rPr>
        <w:t xml:space="preserve"> عدالت استفاده می شود. </w:t>
      </w:r>
      <w:r w:rsidR="00770B4A">
        <w:rPr>
          <w:rFonts w:hint="cs"/>
          <w:rtl/>
        </w:rPr>
        <w:t>البته</w:t>
      </w:r>
      <w:r w:rsidR="00B35C38">
        <w:rPr>
          <w:rFonts w:hint="cs"/>
          <w:rtl/>
        </w:rPr>
        <w:t xml:space="preserve"> صحت مذهب استفاده می شود.</w:t>
      </w:r>
    </w:p>
    <w:p w:rsidR="0034601C" w:rsidRDefault="00770B4A" w:rsidP="00770B4A">
      <w:pPr>
        <w:jc w:val="both"/>
        <w:rPr>
          <w:rtl/>
        </w:rPr>
      </w:pPr>
      <w:r>
        <w:rPr>
          <w:rFonts w:hint="cs"/>
          <w:rtl/>
        </w:rPr>
        <w:t>ثقه به معنای دارا بودن شرایط اعتبار است و در اعتبار خبر ( حتی در ظرف تعارض) صحت مذهب معتبر است؛ در نتیجه اگر ثقه به صورت مطلق استعمال شد، صح</w:t>
      </w:r>
      <w:r w:rsidR="006D7573">
        <w:rPr>
          <w:rFonts w:hint="cs"/>
          <w:rtl/>
        </w:rPr>
        <w:t>ت مذهب نیز از آن استفاده می شود؛ اما عدالت از لفظ ثقه به دست نمی آید.</w:t>
      </w:r>
    </w:p>
    <w:p w:rsidR="00001E36" w:rsidRDefault="00001E36" w:rsidP="001B24DB">
      <w:pPr>
        <w:jc w:val="both"/>
        <w:rPr>
          <w:rtl/>
        </w:rPr>
      </w:pPr>
      <w:r>
        <w:rPr>
          <w:rFonts w:hint="cs"/>
          <w:rtl/>
        </w:rPr>
        <w:t>مرحوم سید</w:t>
      </w:r>
      <w:r w:rsidR="001B24DB">
        <w:rPr>
          <w:rFonts w:hint="cs"/>
          <w:rtl/>
        </w:rPr>
        <w:t xml:space="preserve"> می فرماید: در این مساله بحث به معنای ثقه وابسته نیست؛ زیرا در روایات</w:t>
      </w:r>
      <w:r w:rsidR="00044120">
        <w:rPr>
          <w:rFonts w:hint="cs"/>
          <w:rtl/>
        </w:rPr>
        <w:t>ِ</w:t>
      </w:r>
      <w:r w:rsidR="001B24DB">
        <w:rPr>
          <w:rFonts w:hint="cs"/>
          <w:rtl/>
        </w:rPr>
        <w:t xml:space="preserve"> بحث</w:t>
      </w:r>
      <w:r w:rsidR="00044120">
        <w:rPr>
          <w:rFonts w:hint="cs"/>
          <w:rtl/>
        </w:rPr>
        <w:t>،</w:t>
      </w:r>
      <w:r w:rsidR="001B24DB">
        <w:rPr>
          <w:rFonts w:hint="cs"/>
          <w:rtl/>
        </w:rPr>
        <w:t xml:space="preserve"> لفظ ثقه نیامده است؛ بلکه </w:t>
      </w:r>
      <w:r w:rsidR="00876A12">
        <w:rPr>
          <w:rFonts w:hint="cs"/>
          <w:rtl/>
        </w:rPr>
        <w:t xml:space="preserve">تعبیراتی چون </w:t>
      </w:r>
      <w:r w:rsidR="00876A12" w:rsidRPr="0087091E">
        <w:rPr>
          <w:rFonts w:hint="cs"/>
          <w:color w:val="0000FF"/>
          <w:rtl/>
        </w:rPr>
        <w:t>إن وثق به و إن ائتمنه</w:t>
      </w:r>
      <w:r w:rsidR="00876A12">
        <w:rPr>
          <w:rFonts w:hint="cs"/>
          <w:rtl/>
        </w:rPr>
        <w:t xml:space="preserve"> وارد شده است.</w:t>
      </w:r>
    </w:p>
    <w:p w:rsidR="00D9155D" w:rsidRDefault="00D9155D" w:rsidP="00D9155D">
      <w:pPr>
        <w:jc w:val="both"/>
        <w:rPr>
          <w:rtl/>
        </w:rPr>
      </w:pPr>
      <w:r>
        <w:rPr>
          <w:rFonts w:hint="cs"/>
          <w:rtl/>
        </w:rPr>
        <w:t>البته لفظ ثقه در جایی به کار می رود که شخص به حسب نوع مورد اعتماد باشد؛ نه این که فقط در مورد خصوص این خبر مورد اعتماد باشد.</w:t>
      </w:r>
      <w:r w:rsidR="005842F2">
        <w:rPr>
          <w:rFonts w:hint="cs"/>
          <w:rtl/>
        </w:rPr>
        <w:t xml:space="preserve"> اما تعبیر </w:t>
      </w:r>
      <w:r w:rsidR="005842F2" w:rsidRPr="0087091E">
        <w:rPr>
          <w:rFonts w:hint="cs"/>
          <w:color w:val="0000FF"/>
          <w:rtl/>
        </w:rPr>
        <w:t>إن وثق به و إن ائتمنه</w:t>
      </w:r>
      <w:r w:rsidR="005842F2">
        <w:rPr>
          <w:rFonts w:hint="cs"/>
          <w:rtl/>
        </w:rPr>
        <w:t xml:space="preserve"> چنین ظهوری ندارد که اگر در نوع موارد مورد اعتماد باشد کفایت می کند؛ بلکه ظاهرش این است که اگر به صحت همین خبر او اطمینان وجود دارد، کفایت می کند.</w:t>
      </w:r>
    </w:p>
    <w:p w:rsidR="00770B4A" w:rsidRDefault="00C57040" w:rsidP="00084C92">
      <w:pPr>
        <w:jc w:val="both"/>
        <w:rPr>
          <w:rtl/>
        </w:rPr>
      </w:pPr>
      <w:r>
        <w:rPr>
          <w:rFonts w:hint="cs"/>
          <w:rtl/>
        </w:rPr>
        <w:t xml:space="preserve">روایت عبدالله بن سنان </w:t>
      </w:r>
      <w:r w:rsidR="007E64BC">
        <w:rPr>
          <w:rFonts w:hint="cs"/>
          <w:rtl/>
        </w:rPr>
        <w:t>که مرحوم سید نقل کرده است را به دو صورت می توان معنا کرد:</w:t>
      </w:r>
    </w:p>
    <w:p w:rsidR="00062760" w:rsidRDefault="000844E9" w:rsidP="00084C92">
      <w:pPr>
        <w:jc w:val="both"/>
        <w:rPr>
          <w:rtl/>
        </w:rPr>
      </w:pPr>
      <w:r w:rsidRPr="0087091E">
        <w:rPr>
          <w:rFonts w:hint="cs"/>
          <w:color w:val="0000FF"/>
          <w:rtl/>
        </w:rPr>
        <w:t>و في: خبر عبد اللّه بن سنان «اشترى الجارية من الرجل المأمون فيخبرني انّه لم‌ يمسّها منذ طمثت عنده و طهرت، قال: ليس بجائز أن تأتيها حتى تستبرئها بحيضة</w:t>
      </w:r>
      <w:r>
        <w:rPr>
          <w:rFonts w:hint="cs"/>
          <w:color w:val="0000FF"/>
          <w:rtl/>
        </w:rPr>
        <w:t xml:space="preserve"> ...»</w:t>
      </w:r>
    </w:p>
    <w:p w:rsidR="00770B4A" w:rsidRDefault="00251D53" w:rsidP="005D3866">
      <w:pPr>
        <w:jc w:val="both"/>
        <w:rPr>
          <w:rtl/>
        </w:rPr>
      </w:pPr>
      <w:r>
        <w:rPr>
          <w:rFonts w:hint="cs"/>
          <w:rtl/>
        </w:rPr>
        <w:lastRenderedPageBreak/>
        <w:t xml:space="preserve">یک معنا این است که </w:t>
      </w:r>
      <w:r w:rsidR="005D3866">
        <w:rPr>
          <w:rFonts w:hint="cs"/>
          <w:rtl/>
        </w:rPr>
        <w:t>سائل سوال می کند که</w:t>
      </w:r>
      <w:r w:rsidR="000555C9">
        <w:rPr>
          <w:rFonts w:hint="cs"/>
          <w:rtl/>
        </w:rPr>
        <w:t xml:space="preserve"> به خاطر مامون بودن بایع</w:t>
      </w:r>
      <w:r>
        <w:rPr>
          <w:rFonts w:hint="cs"/>
          <w:rtl/>
        </w:rPr>
        <w:t xml:space="preserve"> </w:t>
      </w:r>
      <w:r w:rsidR="000555C9">
        <w:rPr>
          <w:rFonts w:hint="cs"/>
          <w:rtl/>
        </w:rPr>
        <w:t>من اطمینان دارم که امه را مس نکرده است، آیا باز هم باید استبراء کنم؟ امام علیه السلام می فرماید: استبراء موضوعیت دارد، گر چه بایع استبراء کرده باشد، باز هم تو باید استبراء کنی. با این معنا روایت باید بر استحباب حمل شود، چنان که مرحوم سید چنین حمل کرد.</w:t>
      </w:r>
    </w:p>
    <w:p w:rsidR="00A0472F" w:rsidRDefault="00A0472F" w:rsidP="00084C92">
      <w:pPr>
        <w:jc w:val="both"/>
        <w:rPr>
          <w:rtl/>
        </w:rPr>
      </w:pPr>
      <w:r>
        <w:rPr>
          <w:rFonts w:hint="cs"/>
          <w:rtl/>
        </w:rPr>
        <w:t>ممکن است روایت این طور معنا شود که گر چه بایع در نوع موارد مامون است؛ اما در خصوص این خبر ممکن است به جهت عنوان ثانوی یا نکته‌ی دیگری خلاف واقع گفته باشد. امام علیه السلام می فرماید: این مامون بودن کافی نیست؛ بلکه باید اطمینان به صحت قولش وجود داشته باشد.</w:t>
      </w:r>
      <w:r w:rsidR="000C2BA5">
        <w:rPr>
          <w:rFonts w:hint="cs"/>
          <w:rtl/>
        </w:rPr>
        <w:t xml:space="preserve"> در نتیجه این روایت جزء اخباری است که حجیت قول ثقه را در خصو</w:t>
      </w:r>
      <w:r w:rsidR="004447B4">
        <w:rPr>
          <w:rFonts w:hint="cs"/>
          <w:rtl/>
        </w:rPr>
        <w:t>ص این موضوع خاص زیر سوال می برد</w:t>
      </w:r>
      <w:r w:rsidR="005C0C74">
        <w:rPr>
          <w:rFonts w:hint="cs"/>
          <w:rtl/>
        </w:rPr>
        <w:t>؛ یعنی خبر ثقه در این مورد حجیت ظنی تعبدی ندارد</w:t>
      </w:r>
      <w:r w:rsidR="004447B4">
        <w:rPr>
          <w:rFonts w:hint="cs"/>
          <w:rtl/>
        </w:rPr>
        <w:t xml:space="preserve"> و فقط در صورتی که اطمینان به قول بایع حاصل شود، می توان به قول او ترتیب اثر داد</w:t>
      </w:r>
      <w:r w:rsidR="00DA1DDC">
        <w:rPr>
          <w:rFonts w:hint="cs"/>
          <w:rtl/>
        </w:rPr>
        <w:t>.</w:t>
      </w:r>
    </w:p>
    <w:p w:rsidR="000821B4" w:rsidRDefault="008E3640" w:rsidP="00E84F8B">
      <w:pPr>
        <w:jc w:val="both"/>
        <w:rPr>
          <w:rtl/>
        </w:rPr>
      </w:pPr>
      <w:r>
        <w:rPr>
          <w:rFonts w:hint="cs"/>
          <w:rtl/>
        </w:rPr>
        <w:t>در این فصل نکته‌ی خاص دیگری وجود ندارد و در جلسه‌ی بعد وارد فصل پنجم خواهیم شد، ان شاء الله.</w:t>
      </w:r>
    </w:p>
    <w:p w:rsidR="008E3640" w:rsidRPr="006162A2" w:rsidRDefault="008E3640" w:rsidP="00E84F8B">
      <w:pPr>
        <w:jc w:val="both"/>
        <w:rPr>
          <w:rtl/>
        </w:rPr>
      </w:pPr>
    </w:p>
    <w:sectPr w:rsidR="008E364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10" w:rsidRDefault="002D5510" w:rsidP="008B750B">
      <w:pPr>
        <w:spacing w:line="240" w:lineRule="auto"/>
      </w:pPr>
      <w:r>
        <w:separator/>
      </w:r>
    </w:p>
  </w:endnote>
  <w:endnote w:type="continuationSeparator" w:id="0">
    <w:p w:rsidR="002D5510" w:rsidRDefault="002D55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B4" w:rsidRDefault="00082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821B4" w:rsidRPr="006D44C1" w:rsidTr="0020241A">
      <w:tc>
        <w:tcPr>
          <w:tcW w:w="3382" w:type="dxa"/>
          <w:tcBorders>
            <w:top w:val="nil"/>
            <w:left w:val="nil"/>
            <w:bottom w:val="nil"/>
            <w:right w:val="nil"/>
          </w:tcBorders>
        </w:tcPr>
        <w:p w:rsidR="000821B4" w:rsidRDefault="000821B4"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821B4" w:rsidRDefault="000821B4" w:rsidP="006D44C1">
          <w:pPr>
            <w:pStyle w:val="Footer"/>
            <w:jc w:val="right"/>
            <w:rPr>
              <w:rtl/>
            </w:rPr>
          </w:pPr>
          <w:r>
            <w:rPr>
              <w:rFonts w:hint="cs"/>
              <w:rtl/>
            </w:rPr>
            <w:t xml:space="preserve">صفحه </w:t>
          </w:r>
          <w:r>
            <w:fldChar w:fldCharType="begin"/>
          </w:r>
          <w:r>
            <w:instrText>PAGE   \* MERGEFORMAT</w:instrText>
          </w:r>
          <w:r>
            <w:fldChar w:fldCharType="separate"/>
          </w:r>
          <w:r w:rsidR="00FA5439" w:rsidRPr="00FA5439">
            <w:rPr>
              <w:noProof/>
              <w:rtl/>
              <w:lang w:val="fa-IR"/>
            </w:rPr>
            <w:t>1</w:t>
          </w:r>
          <w:r>
            <w:rPr>
              <w:noProof/>
            </w:rPr>
            <w:fldChar w:fldCharType="end"/>
          </w:r>
        </w:p>
      </w:tc>
      <w:tc>
        <w:tcPr>
          <w:tcW w:w="4786" w:type="dxa"/>
          <w:tcBorders>
            <w:top w:val="nil"/>
            <w:left w:val="nil"/>
            <w:bottom w:val="nil"/>
            <w:right w:val="nil"/>
          </w:tcBorders>
          <w:vAlign w:val="center"/>
        </w:tcPr>
        <w:p w:rsidR="000821B4" w:rsidRPr="006D44C1" w:rsidRDefault="000821B4" w:rsidP="001B6799">
          <w:pPr>
            <w:pStyle w:val="Footer"/>
            <w:bidi w:val="0"/>
            <w:rPr>
              <w:color w:val="808080" w:themeColor="background1" w:themeShade="80"/>
              <w:rtl/>
            </w:rPr>
          </w:pPr>
          <w:bookmarkStart w:id="28" w:name="BokAdres"/>
          <w:bookmarkEnd w:id="28"/>
          <w:r>
            <w:rPr>
              <w:color w:val="808080" w:themeColor="background1" w:themeShade="80"/>
            </w:rPr>
            <w:t>F1js1_13991119-068_mk3_mfeb.ir</w:t>
          </w:r>
        </w:p>
      </w:tc>
    </w:tr>
  </w:tbl>
  <w:p w:rsidR="000821B4" w:rsidRDefault="000821B4"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B4" w:rsidRDefault="00082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10" w:rsidRDefault="002D5510" w:rsidP="008B750B">
      <w:pPr>
        <w:spacing w:line="240" w:lineRule="auto"/>
      </w:pPr>
      <w:r>
        <w:separator/>
      </w:r>
    </w:p>
  </w:footnote>
  <w:footnote w:type="continuationSeparator" w:id="0">
    <w:p w:rsidR="002D5510" w:rsidRDefault="002D5510" w:rsidP="008B750B">
      <w:pPr>
        <w:spacing w:line="240" w:lineRule="auto"/>
      </w:pPr>
      <w:r>
        <w:continuationSeparator/>
      </w:r>
    </w:p>
  </w:footnote>
  <w:footnote w:id="1">
    <w:p w:rsidR="000821B4" w:rsidRPr="00413F2D" w:rsidRDefault="000821B4" w:rsidP="00973434">
      <w:pPr>
        <w:pStyle w:val="FootnoteText"/>
      </w:pPr>
      <w:r w:rsidRPr="00413F2D">
        <w:footnoteRef/>
      </w:r>
      <w:r w:rsidRPr="00413F2D">
        <w:rPr>
          <w:rtl/>
        </w:rPr>
        <w:t xml:space="preserve"> </w:t>
      </w:r>
      <w:hyperlink r:id="rId1" w:history="1">
        <w:r w:rsidRPr="00413F2D">
          <w:rPr>
            <w:rStyle w:val="Hyperlink"/>
            <w:rFonts w:hint="cs"/>
            <w:rtl/>
          </w:rPr>
          <w:t>تهذیب</w:t>
        </w:r>
        <w:r w:rsidRPr="00413F2D">
          <w:rPr>
            <w:rStyle w:val="Hyperlink"/>
            <w:rtl/>
          </w:rPr>
          <w:t xml:space="preserve"> </w:t>
        </w:r>
        <w:r w:rsidRPr="00413F2D">
          <w:rPr>
            <w:rStyle w:val="Hyperlink"/>
            <w:rFonts w:hint="cs"/>
            <w:rtl/>
          </w:rPr>
          <w:t>الاحکام،</w:t>
        </w:r>
        <w:r w:rsidRPr="00413F2D">
          <w:rPr>
            <w:rStyle w:val="Hyperlink"/>
            <w:rtl/>
          </w:rPr>
          <w:t xml:space="preserve"> </w:t>
        </w:r>
        <w:r w:rsidRPr="00413F2D">
          <w:rPr>
            <w:rStyle w:val="Hyperlink"/>
            <w:rFonts w:hint="cs"/>
            <w:rtl/>
          </w:rPr>
          <w:t>شیخ</w:t>
        </w:r>
        <w:r w:rsidRPr="00413F2D">
          <w:rPr>
            <w:rStyle w:val="Hyperlink"/>
            <w:rtl/>
          </w:rPr>
          <w:t xml:space="preserve"> </w:t>
        </w:r>
        <w:r w:rsidRPr="00413F2D">
          <w:rPr>
            <w:rStyle w:val="Hyperlink"/>
            <w:rFonts w:hint="cs"/>
            <w:rtl/>
          </w:rPr>
          <w:t>طوسی،</w:t>
        </w:r>
        <w:r w:rsidRPr="00413F2D">
          <w:rPr>
            <w:rStyle w:val="Hyperlink"/>
            <w:rtl/>
          </w:rPr>
          <w:t xml:space="preserve"> </w:t>
        </w:r>
        <w:r w:rsidRPr="00413F2D">
          <w:rPr>
            <w:rStyle w:val="Hyperlink"/>
            <w:rFonts w:hint="cs"/>
            <w:rtl/>
          </w:rPr>
          <w:t>ج</w:t>
        </w:r>
        <w:r w:rsidRPr="00413F2D">
          <w:rPr>
            <w:rStyle w:val="Hyperlink"/>
            <w:rtl/>
          </w:rPr>
          <w:t>8</w:t>
        </w:r>
        <w:r w:rsidRPr="00413F2D">
          <w:rPr>
            <w:rStyle w:val="Hyperlink"/>
            <w:rFonts w:hint="cs"/>
            <w:rtl/>
          </w:rPr>
          <w:t>،</w:t>
        </w:r>
        <w:r w:rsidRPr="00413F2D">
          <w:rPr>
            <w:rStyle w:val="Hyperlink"/>
            <w:rtl/>
          </w:rPr>
          <w:t xml:space="preserve"> </w:t>
        </w:r>
        <w:r w:rsidRPr="00413F2D">
          <w:rPr>
            <w:rStyle w:val="Hyperlink"/>
            <w:rFonts w:hint="cs"/>
            <w:rtl/>
          </w:rPr>
          <w:t>ص</w:t>
        </w:r>
        <w:r w:rsidRPr="00413F2D">
          <w:rPr>
            <w:rStyle w:val="Hyperlink"/>
            <w:rtl/>
          </w:rPr>
          <w:t>158.</w:t>
        </w:r>
      </w:hyperlink>
    </w:p>
  </w:footnote>
  <w:footnote w:id="2">
    <w:p w:rsidR="000821B4" w:rsidRDefault="000821B4" w:rsidP="006653A6">
      <w:pPr>
        <w:pStyle w:val="FootnoteText"/>
      </w:pPr>
      <w:r>
        <w:rPr>
          <w:rStyle w:val="FootnoteReference"/>
        </w:rPr>
        <w:footnoteRef/>
      </w:r>
      <w:r>
        <w:rPr>
          <w:rtl/>
        </w:rPr>
        <w:t xml:space="preserve"> </w:t>
      </w:r>
      <w:r>
        <w:rPr>
          <w:rFonts w:hint="cs"/>
          <w:rtl/>
        </w:rPr>
        <w:t>زیرا حکم امه استبراء است مگر آن که مزوجه باشد و در این مورد تزویج ثابت نشده است.</w:t>
      </w:r>
    </w:p>
  </w:footnote>
  <w:footnote w:id="3">
    <w:p w:rsidR="000821B4" w:rsidRPr="00413F2D" w:rsidRDefault="000821B4" w:rsidP="00E84F8B">
      <w:pPr>
        <w:pStyle w:val="FootnoteText"/>
      </w:pPr>
      <w:r w:rsidRPr="00413F2D">
        <w:footnoteRef/>
      </w:r>
      <w:r w:rsidRPr="00413F2D">
        <w:rPr>
          <w:rtl/>
        </w:rPr>
        <w:t xml:space="preserve"> </w:t>
      </w:r>
      <w:hyperlink r:id="rId2" w:history="1">
        <w:r w:rsidRPr="00413F2D">
          <w:rPr>
            <w:rStyle w:val="Hyperlink"/>
            <w:rFonts w:hint="cs"/>
            <w:rtl/>
          </w:rPr>
          <w:t>تکملة</w:t>
        </w:r>
        <w:r w:rsidRPr="00413F2D">
          <w:rPr>
            <w:rStyle w:val="Hyperlink"/>
            <w:rtl/>
          </w:rPr>
          <w:t xml:space="preserve"> </w:t>
        </w:r>
        <w:r w:rsidRPr="00413F2D">
          <w:rPr>
            <w:rStyle w:val="Hyperlink"/>
            <w:rFonts w:hint="cs"/>
            <w:rtl/>
          </w:rPr>
          <w:t>العروة</w:t>
        </w:r>
        <w:r w:rsidRPr="00413F2D">
          <w:rPr>
            <w:rStyle w:val="Hyperlink"/>
            <w:rtl/>
          </w:rPr>
          <w:t xml:space="preserve"> </w:t>
        </w:r>
        <w:r w:rsidRPr="00413F2D">
          <w:rPr>
            <w:rStyle w:val="Hyperlink"/>
            <w:rFonts w:hint="cs"/>
            <w:rtl/>
          </w:rPr>
          <w:t>الوثقی،</w:t>
        </w:r>
        <w:r w:rsidRPr="00413F2D">
          <w:rPr>
            <w:rStyle w:val="Hyperlink"/>
            <w:rtl/>
          </w:rPr>
          <w:t xml:space="preserve"> </w:t>
        </w:r>
        <w:r w:rsidRPr="00413F2D">
          <w:rPr>
            <w:rStyle w:val="Hyperlink"/>
            <w:rFonts w:hint="cs"/>
            <w:rtl/>
          </w:rPr>
          <w:t>السید</w:t>
        </w:r>
        <w:r w:rsidRPr="00413F2D">
          <w:rPr>
            <w:rStyle w:val="Hyperlink"/>
            <w:rtl/>
          </w:rPr>
          <w:t xml:space="preserve"> </w:t>
        </w:r>
        <w:r w:rsidRPr="00413F2D">
          <w:rPr>
            <w:rStyle w:val="Hyperlink"/>
            <w:rFonts w:hint="cs"/>
            <w:rtl/>
          </w:rPr>
          <w:t>محمد</w:t>
        </w:r>
        <w:r w:rsidRPr="00413F2D">
          <w:rPr>
            <w:rStyle w:val="Hyperlink"/>
            <w:rtl/>
          </w:rPr>
          <w:t xml:space="preserve"> </w:t>
        </w:r>
        <w:r w:rsidRPr="00413F2D">
          <w:rPr>
            <w:rStyle w:val="Hyperlink"/>
            <w:rFonts w:hint="cs"/>
            <w:rtl/>
          </w:rPr>
          <w:t>کاظم</w:t>
        </w:r>
        <w:r w:rsidRPr="00413F2D">
          <w:rPr>
            <w:rStyle w:val="Hyperlink"/>
            <w:rtl/>
          </w:rPr>
          <w:t xml:space="preserve"> </w:t>
        </w:r>
        <w:r w:rsidRPr="00413F2D">
          <w:rPr>
            <w:rStyle w:val="Hyperlink"/>
            <w:rFonts w:hint="cs"/>
            <w:rtl/>
          </w:rPr>
          <w:t>الطباطبائی</w:t>
        </w:r>
        <w:r w:rsidRPr="00413F2D">
          <w:rPr>
            <w:rStyle w:val="Hyperlink"/>
            <w:rtl/>
          </w:rPr>
          <w:t xml:space="preserve"> </w:t>
        </w:r>
        <w:r w:rsidRPr="00413F2D">
          <w:rPr>
            <w:rStyle w:val="Hyperlink"/>
            <w:rFonts w:hint="cs"/>
            <w:rtl/>
          </w:rPr>
          <w:t>الیزدی،</w:t>
        </w:r>
        <w:r w:rsidRPr="00413F2D">
          <w:rPr>
            <w:rStyle w:val="Hyperlink"/>
            <w:rtl/>
          </w:rPr>
          <w:t xml:space="preserve"> </w:t>
        </w:r>
        <w:r w:rsidRPr="00413F2D">
          <w:rPr>
            <w:rStyle w:val="Hyperlink"/>
            <w:rFonts w:hint="cs"/>
            <w:rtl/>
          </w:rPr>
          <w:t>ج</w:t>
        </w:r>
        <w:r w:rsidRPr="00413F2D">
          <w:rPr>
            <w:rStyle w:val="Hyperlink"/>
            <w:rtl/>
          </w:rPr>
          <w:t>1</w:t>
        </w:r>
        <w:r w:rsidRPr="00413F2D">
          <w:rPr>
            <w:rStyle w:val="Hyperlink"/>
            <w:rFonts w:hint="cs"/>
            <w:rtl/>
          </w:rPr>
          <w:t>،</w:t>
        </w:r>
        <w:r w:rsidRPr="00413F2D">
          <w:rPr>
            <w:rStyle w:val="Hyperlink"/>
            <w:rtl/>
          </w:rPr>
          <w:t xml:space="preserve"> </w:t>
        </w:r>
        <w:r w:rsidRPr="00413F2D">
          <w:rPr>
            <w:rStyle w:val="Hyperlink"/>
            <w:rFonts w:hint="cs"/>
            <w:rtl/>
          </w:rPr>
          <w:t>ص</w:t>
        </w:r>
        <w:r w:rsidRPr="00413F2D">
          <w:rPr>
            <w:rStyle w:val="Hyperlink"/>
            <w:rtl/>
          </w:rPr>
          <w:t>91</w:t>
        </w:r>
        <w:r w:rsidRPr="00413F2D">
          <w:rPr>
            <w:rStyle w:val="Hyperlink"/>
          </w:rPr>
          <w:t>.</w:t>
        </w:r>
      </w:hyperlink>
    </w:p>
  </w:footnote>
  <w:footnote w:id="4">
    <w:p w:rsidR="000821B4" w:rsidRDefault="000821B4">
      <w:pPr>
        <w:pStyle w:val="FootnoteText"/>
      </w:pPr>
      <w:r>
        <w:rPr>
          <w:rStyle w:val="FootnoteReference"/>
        </w:rPr>
        <w:footnoteRef/>
      </w:r>
      <w:r>
        <w:rPr>
          <w:rtl/>
        </w:rPr>
        <w:t xml:space="preserve"> </w:t>
      </w:r>
      <w:r>
        <w:rPr>
          <w:rFonts w:hint="cs"/>
          <w:rtl/>
        </w:rPr>
        <w:t>در بحث های قبلی تفصیل را از آقای حکیم نقل کردیم، بهتر بود این کلام مرحوم سید را نیز در آن بحث نقل کنیم.</w:t>
      </w:r>
    </w:p>
  </w:footnote>
  <w:footnote w:id="5">
    <w:p w:rsidR="000821B4" w:rsidRPr="00411C81" w:rsidRDefault="000821B4" w:rsidP="00E84F8B">
      <w:pPr>
        <w:pStyle w:val="FootnoteText"/>
      </w:pPr>
      <w:r w:rsidRPr="00411C81">
        <w:footnoteRef/>
      </w:r>
      <w:r w:rsidRPr="00411C81">
        <w:rPr>
          <w:rtl/>
        </w:rPr>
        <w:t xml:space="preserve"> </w:t>
      </w:r>
      <w:hyperlink r:id="rId3" w:history="1">
        <w:r w:rsidRPr="00411C81">
          <w:rPr>
            <w:rStyle w:val="Hyperlink"/>
            <w:rFonts w:hint="cs"/>
            <w:rtl/>
          </w:rPr>
          <w:t>تکملة</w:t>
        </w:r>
        <w:r w:rsidRPr="00411C81">
          <w:rPr>
            <w:rStyle w:val="Hyperlink"/>
            <w:rtl/>
          </w:rPr>
          <w:t xml:space="preserve"> </w:t>
        </w:r>
        <w:r w:rsidRPr="00411C81">
          <w:rPr>
            <w:rStyle w:val="Hyperlink"/>
            <w:rFonts w:hint="cs"/>
            <w:rtl/>
          </w:rPr>
          <w:t>العروة</w:t>
        </w:r>
        <w:r w:rsidRPr="00411C81">
          <w:rPr>
            <w:rStyle w:val="Hyperlink"/>
            <w:rtl/>
          </w:rPr>
          <w:t xml:space="preserve"> </w:t>
        </w:r>
        <w:r w:rsidRPr="00411C81">
          <w:rPr>
            <w:rStyle w:val="Hyperlink"/>
            <w:rFonts w:hint="cs"/>
            <w:rtl/>
          </w:rPr>
          <w:t>الوثقی،</w:t>
        </w:r>
        <w:r w:rsidRPr="00411C81">
          <w:rPr>
            <w:rStyle w:val="Hyperlink"/>
            <w:rtl/>
          </w:rPr>
          <w:t xml:space="preserve"> </w:t>
        </w:r>
        <w:r w:rsidRPr="00411C81">
          <w:rPr>
            <w:rStyle w:val="Hyperlink"/>
            <w:rFonts w:hint="cs"/>
            <w:rtl/>
          </w:rPr>
          <w:t>السید</w:t>
        </w:r>
        <w:r w:rsidRPr="00411C81">
          <w:rPr>
            <w:rStyle w:val="Hyperlink"/>
            <w:rtl/>
          </w:rPr>
          <w:t xml:space="preserve"> </w:t>
        </w:r>
        <w:r w:rsidRPr="00411C81">
          <w:rPr>
            <w:rStyle w:val="Hyperlink"/>
            <w:rFonts w:hint="cs"/>
            <w:rtl/>
          </w:rPr>
          <w:t>محمد</w:t>
        </w:r>
        <w:r w:rsidRPr="00411C81">
          <w:rPr>
            <w:rStyle w:val="Hyperlink"/>
            <w:rtl/>
          </w:rPr>
          <w:t xml:space="preserve"> </w:t>
        </w:r>
        <w:r w:rsidRPr="00411C81">
          <w:rPr>
            <w:rStyle w:val="Hyperlink"/>
            <w:rFonts w:hint="cs"/>
            <w:rtl/>
          </w:rPr>
          <w:t>کاظم</w:t>
        </w:r>
        <w:r w:rsidRPr="00411C81">
          <w:rPr>
            <w:rStyle w:val="Hyperlink"/>
            <w:rtl/>
          </w:rPr>
          <w:t xml:space="preserve"> </w:t>
        </w:r>
        <w:r w:rsidRPr="00411C81">
          <w:rPr>
            <w:rStyle w:val="Hyperlink"/>
            <w:rFonts w:hint="cs"/>
            <w:rtl/>
          </w:rPr>
          <w:t>الطباطبائی</w:t>
        </w:r>
        <w:r w:rsidRPr="00411C81">
          <w:rPr>
            <w:rStyle w:val="Hyperlink"/>
            <w:rtl/>
          </w:rPr>
          <w:t xml:space="preserve"> </w:t>
        </w:r>
        <w:r w:rsidRPr="00411C81">
          <w:rPr>
            <w:rStyle w:val="Hyperlink"/>
            <w:rFonts w:hint="cs"/>
            <w:rtl/>
          </w:rPr>
          <w:t>الیزدی،</w:t>
        </w:r>
        <w:r w:rsidRPr="00411C81">
          <w:rPr>
            <w:rStyle w:val="Hyperlink"/>
            <w:rtl/>
          </w:rPr>
          <w:t xml:space="preserve"> </w:t>
        </w:r>
        <w:r w:rsidRPr="00411C81">
          <w:rPr>
            <w:rStyle w:val="Hyperlink"/>
            <w:rFonts w:hint="cs"/>
            <w:rtl/>
          </w:rPr>
          <w:t>ج</w:t>
        </w:r>
        <w:r w:rsidRPr="00411C81">
          <w:rPr>
            <w:rStyle w:val="Hyperlink"/>
            <w:rtl/>
          </w:rPr>
          <w:t>1</w:t>
        </w:r>
        <w:r w:rsidRPr="00411C81">
          <w:rPr>
            <w:rStyle w:val="Hyperlink"/>
            <w:rFonts w:hint="cs"/>
            <w:rtl/>
          </w:rPr>
          <w:t>،</w:t>
        </w:r>
        <w:r w:rsidRPr="00411C81">
          <w:rPr>
            <w:rStyle w:val="Hyperlink"/>
            <w:rtl/>
          </w:rPr>
          <w:t xml:space="preserve"> </w:t>
        </w:r>
        <w:r w:rsidRPr="00411C81">
          <w:rPr>
            <w:rStyle w:val="Hyperlink"/>
            <w:rFonts w:hint="cs"/>
            <w:rtl/>
          </w:rPr>
          <w:t>ص</w:t>
        </w:r>
        <w:r w:rsidRPr="00411C81">
          <w:rPr>
            <w:rStyle w:val="Hyperlink"/>
            <w:rtl/>
          </w:rPr>
          <w:t>105</w:t>
        </w:r>
        <w:r w:rsidRPr="00411C81">
          <w:rPr>
            <w:rStyle w:val="Hyperlink"/>
          </w:rPr>
          <w:t>.</w:t>
        </w:r>
      </w:hyperlink>
    </w:p>
  </w:footnote>
  <w:footnote w:id="6">
    <w:p w:rsidR="000821B4" w:rsidRPr="00411C81" w:rsidRDefault="000821B4" w:rsidP="00E84F8B">
      <w:pPr>
        <w:pStyle w:val="FootnoteText"/>
      </w:pPr>
      <w:r w:rsidRPr="00411C81">
        <w:footnoteRef/>
      </w:r>
      <w:r w:rsidRPr="00411C81">
        <w:rPr>
          <w:rtl/>
        </w:rPr>
        <w:t xml:space="preserve"> </w:t>
      </w:r>
      <w:hyperlink r:id="rId4" w:history="1">
        <w:r w:rsidRPr="00411C81">
          <w:rPr>
            <w:rStyle w:val="Hyperlink"/>
            <w:rFonts w:hint="cs"/>
            <w:rtl/>
          </w:rPr>
          <w:t>تکملة</w:t>
        </w:r>
        <w:r w:rsidRPr="00411C81">
          <w:rPr>
            <w:rStyle w:val="Hyperlink"/>
            <w:rtl/>
          </w:rPr>
          <w:t xml:space="preserve"> </w:t>
        </w:r>
        <w:r w:rsidRPr="00411C81">
          <w:rPr>
            <w:rStyle w:val="Hyperlink"/>
            <w:rFonts w:hint="cs"/>
            <w:rtl/>
          </w:rPr>
          <w:t>العروة</w:t>
        </w:r>
        <w:r w:rsidRPr="00411C81">
          <w:rPr>
            <w:rStyle w:val="Hyperlink"/>
            <w:rtl/>
          </w:rPr>
          <w:t xml:space="preserve"> </w:t>
        </w:r>
        <w:r w:rsidRPr="00411C81">
          <w:rPr>
            <w:rStyle w:val="Hyperlink"/>
            <w:rFonts w:hint="cs"/>
            <w:rtl/>
          </w:rPr>
          <w:t>الوثقی،</w:t>
        </w:r>
        <w:r w:rsidRPr="00411C81">
          <w:rPr>
            <w:rStyle w:val="Hyperlink"/>
            <w:rtl/>
          </w:rPr>
          <w:t xml:space="preserve"> </w:t>
        </w:r>
        <w:r w:rsidRPr="00411C81">
          <w:rPr>
            <w:rStyle w:val="Hyperlink"/>
            <w:rFonts w:hint="cs"/>
            <w:rtl/>
          </w:rPr>
          <w:t>السید</w:t>
        </w:r>
        <w:r w:rsidRPr="00411C81">
          <w:rPr>
            <w:rStyle w:val="Hyperlink"/>
            <w:rtl/>
          </w:rPr>
          <w:t xml:space="preserve"> </w:t>
        </w:r>
        <w:r w:rsidRPr="00411C81">
          <w:rPr>
            <w:rStyle w:val="Hyperlink"/>
            <w:rFonts w:hint="cs"/>
            <w:rtl/>
          </w:rPr>
          <w:t>محمد</w:t>
        </w:r>
        <w:r w:rsidRPr="00411C81">
          <w:rPr>
            <w:rStyle w:val="Hyperlink"/>
            <w:rtl/>
          </w:rPr>
          <w:t xml:space="preserve"> </w:t>
        </w:r>
        <w:r w:rsidRPr="00411C81">
          <w:rPr>
            <w:rStyle w:val="Hyperlink"/>
            <w:rFonts w:hint="cs"/>
            <w:rtl/>
          </w:rPr>
          <w:t>کاظم</w:t>
        </w:r>
        <w:r w:rsidRPr="00411C81">
          <w:rPr>
            <w:rStyle w:val="Hyperlink"/>
            <w:rtl/>
          </w:rPr>
          <w:t xml:space="preserve"> </w:t>
        </w:r>
        <w:r w:rsidRPr="00411C81">
          <w:rPr>
            <w:rStyle w:val="Hyperlink"/>
            <w:rFonts w:hint="cs"/>
            <w:rtl/>
          </w:rPr>
          <w:t>الطباطبائی</w:t>
        </w:r>
        <w:r w:rsidRPr="00411C81">
          <w:rPr>
            <w:rStyle w:val="Hyperlink"/>
            <w:rtl/>
          </w:rPr>
          <w:t xml:space="preserve"> </w:t>
        </w:r>
        <w:r w:rsidRPr="00411C81">
          <w:rPr>
            <w:rStyle w:val="Hyperlink"/>
            <w:rFonts w:hint="cs"/>
            <w:rtl/>
          </w:rPr>
          <w:t>الیزدی،</w:t>
        </w:r>
        <w:r w:rsidRPr="00411C81">
          <w:rPr>
            <w:rStyle w:val="Hyperlink"/>
            <w:rtl/>
          </w:rPr>
          <w:t xml:space="preserve"> </w:t>
        </w:r>
        <w:r w:rsidRPr="00411C81">
          <w:rPr>
            <w:rStyle w:val="Hyperlink"/>
            <w:rFonts w:hint="cs"/>
            <w:rtl/>
          </w:rPr>
          <w:t>ج</w:t>
        </w:r>
        <w:r w:rsidRPr="00411C81">
          <w:rPr>
            <w:rStyle w:val="Hyperlink"/>
            <w:rtl/>
          </w:rPr>
          <w:t>1</w:t>
        </w:r>
        <w:r w:rsidRPr="00411C81">
          <w:rPr>
            <w:rStyle w:val="Hyperlink"/>
            <w:rFonts w:hint="cs"/>
            <w:rtl/>
          </w:rPr>
          <w:t>،</w:t>
        </w:r>
        <w:r w:rsidRPr="00411C81">
          <w:rPr>
            <w:rStyle w:val="Hyperlink"/>
            <w:rtl/>
          </w:rPr>
          <w:t xml:space="preserve"> </w:t>
        </w:r>
        <w:r w:rsidRPr="00411C81">
          <w:rPr>
            <w:rStyle w:val="Hyperlink"/>
            <w:rFonts w:hint="cs"/>
            <w:rtl/>
          </w:rPr>
          <w:t>ص</w:t>
        </w:r>
        <w:r w:rsidRPr="00411C81">
          <w:rPr>
            <w:rStyle w:val="Hyperlink"/>
            <w:rtl/>
          </w:rPr>
          <w:t>92</w:t>
        </w:r>
        <w:r w:rsidRPr="00411C81">
          <w:rPr>
            <w:rStyle w:val="Hyperlink"/>
          </w:rPr>
          <w:t>.</w:t>
        </w:r>
      </w:hyperlink>
    </w:p>
  </w:footnote>
  <w:footnote w:id="7">
    <w:p w:rsidR="000821B4" w:rsidRPr="00411C81" w:rsidRDefault="000821B4" w:rsidP="00E84F8B">
      <w:pPr>
        <w:pStyle w:val="FootnoteText"/>
      </w:pPr>
      <w:r w:rsidRPr="00411C81">
        <w:footnoteRef/>
      </w:r>
      <w:r w:rsidRPr="00411C81">
        <w:rPr>
          <w:rtl/>
        </w:rPr>
        <w:t xml:space="preserve"> </w:t>
      </w:r>
      <w:hyperlink r:id="rId5" w:history="1">
        <w:r w:rsidRPr="00411C81">
          <w:rPr>
            <w:rStyle w:val="Hyperlink"/>
            <w:rFonts w:hint="cs"/>
            <w:rtl/>
          </w:rPr>
          <w:t>تکملة</w:t>
        </w:r>
        <w:r w:rsidRPr="00411C81">
          <w:rPr>
            <w:rStyle w:val="Hyperlink"/>
            <w:rtl/>
          </w:rPr>
          <w:t xml:space="preserve"> </w:t>
        </w:r>
        <w:r w:rsidRPr="00411C81">
          <w:rPr>
            <w:rStyle w:val="Hyperlink"/>
            <w:rFonts w:hint="cs"/>
            <w:rtl/>
          </w:rPr>
          <w:t>العروة</w:t>
        </w:r>
        <w:r w:rsidRPr="00411C81">
          <w:rPr>
            <w:rStyle w:val="Hyperlink"/>
            <w:rtl/>
          </w:rPr>
          <w:t xml:space="preserve"> </w:t>
        </w:r>
        <w:r w:rsidRPr="00411C81">
          <w:rPr>
            <w:rStyle w:val="Hyperlink"/>
            <w:rFonts w:hint="cs"/>
            <w:rtl/>
          </w:rPr>
          <w:t>الوثقی،</w:t>
        </w:r>
        <w:r w:rsidRPr="00411C81">
          <w:rPr>
            <w:rStyle w:val="Hyperlink"/>
            <w:rtl/>
          </w:rPr>
          <w:t xml:space="preserve"> </w:t>
        </w:r>
        <w:r w:rsidRPr="00411C81">
          <w:rPr>
            <w:rStyle w:val="Hyperlink"/>
            <w:rFonts w:hint="cs"/>
            <w:rtl/>
          </w:rPr>
          <w:t>السید</w:t>
        </w:r>
        <w:r w:rsidRPr="00411C81">
          <w:rPr>
            <w:rStyle w:val="Hyperlink"/>
            <w:rtl/>
          </w:rPr>
          <w:t xml:space="preserve"> </w:t>
        </w:r>
        <w:r w:rsidRPr="00411C81">
          <w:rPr>
            <w:rStyle w:val="Hyperlink"/>
            <w:rFonts w:hint="cs"/>
            <w:rtl/>
          </w:rPr>
          <w:t>محمد</w:t>
        </w:r>
        <w:r w:rsidRPr="00411C81">
          <w:rPr>
            <w:rStyle w:val="Hyperlink"/>
            <w:rtl/>
          </w:rPr>
          <w:t xml:space="preserve"> </w:t>
        </w:r>
        <w:r w:rsidRPr="00411C81">
          <w:rPr>
            <w:rStyle w:val="Hyperlink"/>
            <w:rFonts w:hint="cs"/>
            <w:rtl/>
          </w:rPr>
          <w:t>کاظم</w:t>
        </w:r>
        <w:r w:rsidRPr="00411C81">
          <w:rPr>
            <w:rStyle w:val="Hyperlink"/>
            <w:rtl/>
          </w:rPr>
          <w:t xml:space="preserve"> </w:t>
        </w:r>
        <w:r w:rsidRPr="00411C81">
          <w:rPr>
            <w:rStyle w:val="Hyperlink"/>
            <w:rFonts w:hint="cs"/>
            <w:rtl/>
          </w:rPr>
          <w:t>الطباطبائی</w:t>
        </w:r>
        <w:r w:rsidRPr="00411C81">
          <w:rPr>
            <w:rStyle w:val="Hyperlink"/>
            <w:rtl/>
          </w:rPr>
          <w:t xml:space="preserve"> </w:t>
        </w:r>
        <w:r w:rsidRPr="00411C81">
          <w:rPr>
            <w:rStyle w:val="Hyperlink"/>
            <w:rFonts w:hint="cs"/>
            <w:rtl/>
          </w:rPr>
          <w:t>الیزدی،</w:t>
        </w:r>
        <w:r w:rsidRPr="00411C81">
          <w:rPr>
            <w:rStyle w:val="Hyperlink"/>
            <w:rtl/>
          </w:rPr>
          <w:t xml:space="preserve"> </w:t>
        </w:r>
        <w:r w:rsidRPr="00411C81">
          <w:rPr>
            <w:rStyle w:val="Hyperlink"/>
            <w:rFonts w:hint="cs"/>
            <w:rtl/>
          </w:rPr>
          <w:t>ج</w:t>
        </w:r>
        <w:r w:rsidRPr="00411C81">
          <w:rPr>
            <w:rStyle w:val="Hyperlink"/>
            <w:rtl/>
          </w:rPr>
          <w:t>1</w:t>
        </w:r>
        <w:r w:rsidRPr="00411C81">
          <w:rPr>
            <w:rStyle w:val="Hyperlink"/>
            <w:rFonts w:hint="cs"/>
            <w:rtl/>
          </w:rPr>
          <w:t>،</w:t>
        </w:r>
        <w:r w:rsidRPr="00411C81">
          <w:rPr>
            <w:rStyle w:val="Hyperlink"/>
            <w:rtl/>
          </w:rPr>
          <w:t xml:space="preserve"> </w:t>
        </w:r>
        <w:r w:rsidRPr="00411C81">
          <w:rPr>
            <w:rStyle w:val="Hyperlink"/>
            <w:rFonts w:hint="cs"/>
            <w:rtl/>
          </w:rPr>
          <w:t>ص</w:t>
        </w:r>
        <w:r w:rsidRPr="00411C81">
          <w:rPr>
            <w:rStyle w:val="Hyperlink"/>
            <w:rtl/>
          </w:rPr>
          <w:t>92</w:t>
        </w:r>
        <w:r w:rsidRPr="00411C81">
          <w:rPr>
            <w:rStyle w:val="Hyperlink"/>
          </w:rPr>
          <w:t>.</w:t>
        </w:r>
      </w:hyperlink>
    </w:p>
  </w:footnote>
  <w:footnote w:id="8">
    <w:p w:rsidR="000821B4" w:rsidRPr="00411C81" w:rsidRDefault="000821B4" w:rsidP="00E84F8B">
      <w:pPr>
        <w:pStyle w:val="FootnoteText"/>
      </w:pPr>
      <w:r w:rsidRPr="00411C81">
        <w:footnoteRef/>
      </w:r>
      <w:r w:rsidRPr="00411C81">
        <w:rPr>
          <w:rtl/>
        </w:rPr>
        <w:t xml:space="preserve"> </w:t>
      </w:r>
      <w:hyperlink r:id="rId6" w:history="1">
        <w:r w:rsidRPr="00411C81">
          <w:rPr>
            <w:rStyle w:val="Hyperlink"/>
            <w:rFonts w:hint="cs"/>
            <w:rtl/>
          </w:rPr>
          <w:t>تکملة</w:t>
        </w:r>
        <w:r w:rsidRPr="00411C81">
          <w:rPr>
            <w:rStyle w:val="Hyperlink"/>
            <w:rtl/>
          </w:rPr>
          <w:t xml:space="preserve"> </w:t>
        </w:r>
        <w:r w:rsidRPr="00411C81">
          <w:rPr>
            <w:rStyle w:val="Hyperlink"/>
            <w:rFonts w:hint="cs"/>
            <w:rtl/>
          </w:rPr>
          <w:t>العروة</w:t>
        </w:r>
        <w:r w:rsidRPr="00411C81">
          <w:rPr>
            <w:rStyle w:val="Hyperlink"/>
            <w:rtl/>
          </w:rPr>
          <w:t xml:space="preserve"> </w:t>
        </w:r>
        <w:r w:rsidRPr="00411C81">
          <w:rPr>
            <w:rStyle w:val="Hyperlink"/>
            <w:rFonts w:hint="cs"/>
            <w:rtl/>
          </w:rPr>
          <w:t>الوثقی،</w:t>
        </w:r>
        <w:r w:rsidRPr="00411C81">
          <w:rPr>
            <w:rStyle w:val="Hyperlink"/>
            <w:rtl/>
          </w:rPr>
          <w:t xml:space="preserve"> </w:t>
        </w:r>
        <w:r w:rsidRPr="00411C81">
          <w:rPr>
            <w:rStyle w:val="Hyperlink"/>
            <w:rFonts w:hint="cs"/>
            <w:rtl/>
          </w:rPr>
          <w:t>السید</w:t>
        </w:r>
        <w:r w:rsidRPr="00411C81">
          <w:rPr>
            <w:rStyle w:val="Hyperlink"/>
            <w:rtl/>
          </w:rPr>
          <w:t xml:space="preserve"> </w:t>
        </w:r>
        <w:r w:rsidRPr="00411C81">
          <w:rPr>
            <w:rStyle w:val="Hyperlink"/>
            <w:rFonts w:hint="cs"/>
            <w:rtl/>
          </w:rPr>
          <w:t>محمد</w:t>
        </w:r>
        <w:r w:rsidRPr="00411C81">
          <w:rPr>
            <w:rStyle w:val="Hyperlink"/>
            <w:rtl/>
          </w:rPr>
          <w:t xml:space="preserve"> </w:t>
        </w:r>
        <w:r w:rsidRPr="00411C81">
          <w:rPr>
            <w:rStyle w:val="Hyperlink"/>
            <w:rFonts w:hint="cs"/>
            <w:rtl/>
          </w:rPr>
          <w:t>کاظم</w:t>
        </w:r>
        <w:r w:rsidRPr="00411C81">
          <w:rPr>
            <w:rStyle w:val="Hyperlink"/>
            <w:rtl/>
          </w:rPr>
          <w:t xml:space="preserve"> </w:t>
        </w:r>
        <w:r w:rsidRPr="00411C81">
          <w:rPr>
            <w:rStyle w:val="Hyperlink"/>
            <w:rFonts w:hint="cs"/>
            <w:rtl/>
          </w:rPr>
          <w:t>الطباطبائی</w:t>
        </w:r>
        <w:r w:rsidRPr="00411C81">
          <w:rPr>
            <w:rStyle w:val="Hyperlink"/>
            <w:rtl/>
          </w:rPr>
          <w:t xml:space="preserve"> </w:t>
        </w:r>
        <w:r w:rsidRPr="00411C81">
          <w:rPr>
            <w:rStyle w:val="Hyperlink"/>
            <w:rFonts w:hint="cs"/>
            <w:rtl/>
          </w:rPr>
          <w:t>الیزدی،</w:t>
        </w:r>
        <w:r w:rsidRPr="00411C81">
          <w:rPr>
            <w:rStyle w:val="Hyperlink"/>
            <w:rtl/>
          </w:rPr>
          <w:t xml:space="preserve"> </w:t>
        </w:r>
        <w:r w:rsidRPr="00411C81">
          <w:rPr>
            <w:rStyle w:val="Hyperlink"/>
            <w:rFonts w:hint="cs"/>
            <w:rtl/>
          </w:rPr>
          <w:t>ج</w:t>
        </w:r>
        <w:r w:rsidRPr="00411C81">
          <w:rPr>
            <w:rStyle w:val="Hyperlink"/>
            <w:rtl/>
          </w:rPr>
          <w:t>1</w:t>
        </w:r>
        <w:r w:rsidRPr="00411C81">
          <w:rPr>
            <w:rStyle w:val="Hyperlink"/>
            <w:rFonts w:hint="cs"/>
            <w:rtl/>
          </w:rPr>
          <w:t>،</w:t>
        </w:r>
        <w:r w:rsidRPr="00411C81">
          <w:rPr>
            <w:rStyle w:val="Hyperlink"/>
            <w:rtl/>
          </w:rPr>
          <w:t xml:space="preserve"> </w:t>
        </w:r>
        <w:r w:rsidRPr="00411C81">
          <w:rPr>
            <w:rStyle w:val="Hyperlink"/>
            <w:rFonts w:hint="cs"/>
            <w:rtl/>
          </w:rPr>
          <w:t>ص</w:t>
        </w:r>
        <w:r w:rsidRPr="00411C81">
          <w:rPr>
            <w:rStyle w:val="Hyperlink"/>
            <w:rtl/>
          </w:rPr>
          <w:t>92</w:t>
        </w:r>
        <w:r w:rsidRPr="00411C81">
          <w:rPr>
            <w:rStyle w:val="Hyperlink"/>
          </w:rPr>
          <w:t>.</w:t>
        </w:r>
      </w:hyperlink>
    </w:p>
  </w:footnote>
  <w:footnote w:id="9">
    <w:p w:rsidR="000821B4" w:rsidRDefault="000821B4">
      <w:pPr>
        <w:pStyle w:val="FootnoteText"/>
      </w:pPr>
      <w:r>
        <w:rPr>
          <w:rStyle w:val="FootnoteReference"/>
        </w:rPr>
        <w:footnoteRef/>
      </w:r>
      <w:r>
        <w:rPr>
          <w:rtl/>
        </w:rPr>
        <w:t xml:space="preserve"> </w:t>
      </w:r>
      <w:r>
        <w:rPr>
          <w:rFonts w:hint="cs"/>
          <w:rtl/>
        </w:rPr>
        <w:t>به نظر می رسد کلام مرحوم سید صحیح باشد؛ گر چه مثال عینی هم برای این مورد بعید است.</w:t>
      </w:r>
    </w:p>
  </w:footnote>
  <w:footnote w:id="10">
    <w:p w:rsidR="000821B4" w:rsidRPr="00411C81" w:rsidRDefault="000821B4" w:rsidP="00E84F8B">
      <w:pPr>
        <w:pStyle w:val="FootnoteText"/>
      </w:pPr>
      <w:r w:rsidRPr="00411C81">
        <w:footnoteRef/>
      </w:r>
      <w:r w:rsidRPr="00411C81">
        <w:rPr>
          <w:rtl/>
        </w:rPr>
        <w:t xml:space="preserve"> </w:t>
      </w:r>
      <w:hyperlink r:id="rId7" w:history="1">
        <w:r w:rsidRPr="00411C81">
          <w:rPr>
            <w:rStyle w:val="Hyperlink"/>
            <w:rFonts w:hint="cs"/>
            <w:rtl/>
          </w:rPr>
          <w:t>تکملة</w:t>
        </w:r>
        <w:r w:rsidRPr="00411C81">
          <w:rPr>
            <w:rStyle w:val="Hyperlink"/>
            <w:rtl/>
          </w:rPr>
          <w:t xml:space="preserve"> </w:t>
        </w:r>
        <w:r w:rsidRPr="00411C81">
          <w:rPr>
            <w:rStyle w:val="Hyperlink"/>
            <w:rFonts w:hint="cs"/>
            <w:rtl/>
          </w:rPr>
          <w:t>العروة</w:t>
        </w:r>
        <w:r w:rsidRPr="00411C81">
          <w:rPr>
            <w:rStyle w:val="Hyperlink"/>
            <w:rtl/>
          </w:rPr>
          <w:t xml:space="preserve"> </w:t>
        </w:r>
        <w:r w:rsidRPr="00411C81">
          <w:rPr>
            <w:rStyle w:val="Hyperlink"/>
            <w:rFonts w:hint="cs"/>
            <w:rtl/>
          </w:rPr>
          <w:t>الوثقی،</w:t>
        </w:r>
        <w:r w:rsidRPr="00411C81">
          <w:rPr>
            <w:rStyle w:val="Hyperlink"/>
            <w:rtl/>
          </w:rPr>
          <w:t xml:space="preserve"> </w:t>
        </w:r>
        <w:r w:rsidRPr="00411C81">
          <w:rPr>
            <w:rStyle w:val="Hyperlink"/>
            <w:rFonts w:hint="cs"/>
            <w:rtl/>
          </w:rPr>
          <w:t>السید</w:t>
        </w:r>
        <w:r w:rsidRPr="00411C81">
          <w:rPr>
            <w:rStyle w:val="Hyperlink"/>
            <w:rtl/>
          </w:rPr>
          <w:t xml:space="preserve"> </w:t>
        </w:r>
        <w:r w:rsidRPr="00411C81">
          <w:rPr>
            <w:rStyle w:val="Hyperlink"/>
            <w:rFonts w:hint="cs"/>
            <w:rtl/>
          </w:rPr>
          <w:t>محمد</w:t>
        </w:r>
        <w:r w:rsidRPr="00411C81">
          <w:rPr>
            <w:rStyle w:val="Hyperlink"/>
            <w:rtl/>
          </w:rPr>
          <w:t xml:space="preserve"> </w:t>
        </w:r>
        <w:r w:rsidRPr="00411C81">
          <w:rPr>
            <w:rStyle w:val="Hyperlink"/>
            <w:rFonts w:hint="cs"/>
            <w:rtl/>
          </w:rPr>
          <w:t>کاظم</w:t>
        </w:r>
        <w:r w:rsidRPr="00411C81">
          <w:rPr>
            <w:rStyle w:val="Hyperlink"/>
            <w:rtl/>
          </w:rPr>
          <w:t xml:space="preserve"> </w:t>
        </w:r>
        <w:r w:rsidRPr="00411C81">
          <w:rPr>
            <w:rStyle w:val="Hyperlink"/>
            <w:rFonts w:hint="cs"/>
            <w:rtl/>
          </w:rPr>
          <w:t>الطباطبائی</w:t>
        </w:r>
        <w:r w:rsidRPr="00411C81">
          <w:rPr>
            <w:rStyle w:val="Hyperlink"/>
            <w:rtl/>
          </w:rPr>
          <w:t xml:space="preserve"> </w:t>
        </w:r>
        <w:r w:rsidRPr="00411C81">
          <w:rPr>
            <w:rStyle w:val="Hyperlink"/>
            <w:rFonts w:hint="cs"/>
            <w:rtl/>
          </w:rPr>
          <w:t>الیزدی،</w:t>
        </w:r>
        <w:r w:rsidRPr="00411C81">
          <w:rPr>
            <w:rStyle w:val="Hyperlink"/>
            <w:rtl/>
          </w:rPr>
          <w:t xml:space="preserve"> </w:t>
        </w:r>
        <w:r w:rsidRPr="00411C81">
          <w:rPr>
            <w:rStyle w:val="Hyperlink"/>
            <w:rFonts w:hint="cs"/>
            <w:rtl/>
          </w:rPr>
          <w:t>ج</w:t>
        </w:r>
        <w:r w:rsidRPr="00411C81">
          <w:rPr>
            <w:rStyle w:val="Hyperlink"/>
            <w:rtl/>
          </w:rPr>
          <w:t>1</w:t>
        </w:r>
        <w:r w:rsidRPr="00411C81">
          <w:rPr>
            <w:rStyle w:val="Hyperlink"/>
            <w:rFonts w:hint="cs"/>
            <w:rtl/>
          </w:rPr>
          <w:t>،</w:t>
        </w:r>
        <w:r w:rsidRPr="00411C81">
          <w:rPr>
            <w:rStyle w:val="Hyperlink"/>
            <w:rtl/>
          </w:rPr>
          <w:t xml:space="preserve"> </w:t>
        </w:r>
        <w:r w:rsidRPr="00411C81">
          <w:rPr>
            <w:rStyle w:val="Hyperlink"/>
            <w:rFonts w:hint="cs"/>
            <w:rtl/>
          </w:rPr>
          <w:t>ص</w:t>
        </w:r>
        <w:r w:rsidRPr="00411C81">
          <w:rPr>
            <w:rStyle w:val="Hyperlink"/>
            <w:rtl/>
          </w:rPr>
          <w:t>92</w:t>
        </w:r>
        <w:r w:rsidRPr="00411C81">
          <w:rPr>
            <w:rStyle w:val="Hyperlink"/>
          </w:rPr>
          <w:t>.</w:t>
        </w:r>
      </w:hyperlink>
    </w:p>
  </w:footnote>
  <w:footnote w:id="11">
    <w:p w:rsidR="005C5439" w:rsidRDefault="005C5439">
      <w:pPr>
        <w:pStyle w:val="FootnoteText"/>
      </w:pPr>
      <w:r>
        <w:rPr>
          <w:rStyle w:val="FootnoteReference"/>
        </w:rPr>
        <w:footnoteRef/>
      </w:r>
      <w:r>
        <w:rPr>
          <w:rtl/>
        </w:rPr>
        <w:t xml:space="preserve"> </w:t>
      </w:r>
      <w:r>
        <w:rPr>
          <w:rFonts w:hint="cs"/>
          <w:rtl/>
        </w:rPr>
        <w:t>اگر در عده‌ی رجعیه، مرد بمیرد، عده‌ی زن به عده‌ی وفات منقلب می شود.</w:t>
      </w:r>
    </w:p>
  </w:footnote>
  <w:footnote w:id="12">
    <w:p w:rsidR="000821B4" w:rsidRDefault="000821B4">
      <w:pPr>
        <w:pStyle w:val="FootnoteText"/>
      </w:pPr>
      <w:r>
        <w:rPr>
          <w:rStyle w:val="FootnoteReference"/>
        </w:rPr>
        <w:footnoteRef/>
      </w:r>
      <w:r>
        <w:rPr>
          <w:rtl/>
        </w:rPr>
        <w:t xml:space="preserve"> </w:t>
      </w:r>
      <w:r>
        <w:rPr>
          <w:rFonts w:hint="cs"/>
          <w:rtl/>
        </w:rPr>
        <w:t>یزعم به معنای یقول می باشد.</w:t>
      </w:r>
    </w:p>
  </w:footnote>
  <w:footnote w:id="13">
    <w:p w:rsidR="000821B4" w:rsidRPr="0008569B" w:rsidRDefault="000821B4" w:rsidP="00E84F8B">
      <w:pPr>
        <w:pStyle w:val="FootnoteText"/>
      </w:pPr>
      <w:r w:rsidRPr="0008569B">
        <w:footnoteRef/>
      </w:r>
      <w:r w:rsidRPr="0008569B">
        <w:rPr>
          <w:rtl/>
        </w:rPr>
        <w:t xml:space="preserve"> </w:t>
      </w:r>
      <w:hyperlink r:id="rId8" w:history="1">
        <w:r w:rsidRPr="0008569B">
          <w:rPr>
            <w:rStyle w:val="Hyperlink"/>
            <w:rFonts w:hint="cs"/>
            <w:rtl/>
          </w:rPr>
          <w:t>تکملة</w:t>
        </w:r>
        <w:r w:rsidRPr="0008569B">
          <w:rPr>
            <w:rStyle w:val="Hyperlink"/>
            <w:rtl/>
          </w:rPr>
          <w:t xml:space="preserve"> </w:t>
        </w:r>
        <w:r w:rsidRPr="0008569B">
          <w:rPr>
            <w:rStyle w:val="Hyperlink"/>
            <w:rFonts w:hint="cs"/>
            <w:rtl/>
          </w:rPr>
          <w:t>العروة</w:t>
        </w:r>
        <w:r w:rsidRPr="0008569B">
          <w:rPr>
            <w:rStyle w:val="Hyperlink"/>
            <w:rtl/>
          </w:rPr>
          <w:t xml:space="preserve"> </w:t>
        </w:r>
        <w:r w:rsidRPr="0008569B">
          <w:rPr>
            <w:rStyle w:val="Hyperlink"/>
            <w:rFonts w:hint="cs"/>
            <w:rtl/>
          </w:rPr>
          <w:t>الوثقی،</w:t>
        </w:r>
        <w:r w:rsidRPr="0008569B">
          <w:rPr>
            <w:rStyle w:val="Hyperlink"/>
            <w:rtl/>
          </w:rPr>
          <w:t xml:space="preserve"> </w:t>
        </w:r>
        <w:r w:rsidRPr="0008569B">
          <w:rPr>
            <w:rStyle w:val="Hyperlink"/>
            <w:rFonts w:hint="cs"/>
            <w:rtl/>
          </w:rPr>
          <w:t>السید</w:t>
        </w:r>
        <w:r w:rsidRPr="0008569B">
          <w:rPr>
            <w:rStyle w:val="Hyperlink"/>
            <w:rtl/>
          </w:rPr>
          <w:t xml:space="preserve"> </w:t>
        </w:r>
        <w:r w:rsidRPr="0008569B">
          <w:rPr>
            <w:rStyle w:val="Hyperlink"/>
            <w:rFonts w:hint="cs"/>
            <w:rtl/>
          </w:rPr>
          <w:t>محمد</w:t>
        </w:r>
        <w:r w:rsidRPr="0008569B">
          <w:rPr>
            <w:rStyle w:val="Hyperlink"/>
            <w:rtl/>
          </w:rPr>
          <w:t xml:space="preserve"> </w:t>
        </w:r>
        <w:r w:rsidRPr="0008569B">
          <w:rPr>
            <w:rStyle w:val="Hyperlink"/>
            <w:rFonts w:hint="cs"/>
            <w:rtl/>
          </w:rPr>
          <w:t>کاظم</w:t>
        </w:r>
        <w:r w:rsidRPr="0008569B">
          <w:rPr>
            <w:rStyle w:val="Hyperlink"/>
            <w:rtl/>
          </w:rPr>
          <w:t xml:space="preserve"> </w:t>
        </w:r>
        <w:r w:rsidRPr="0008569B">
          <w:rPr>
            <w:rStyle w:val="Hyperlink"/>
            <w:rFonts w:hint="cs"/>
            <w:rtl/>
          </w:rPr>
          <w:t>الطباطبائی</w:t>
        </w:r>
        <w:r w:rsidRPr="0008569B">
          <w:rPr>
            <w:rStyle w:val="Hyperlink"/>
            <w:rtl/>
          </w:rPr>
          <w:t xml:space="preserve"> </w:t>
        </w:r>
        <w:r w:rsidRPr="0008569B">
          <w:rPr>
            <w:rStyle w:val="Hyperlink"/>
            <w:rFonts w:hint="cs"/>
            <w:rtl/>
          </w:rPr>
          <w:t>الیزدی،</w:t>
        </w:r>
        <w:r w:rsidRPr="0008569B">
          <w:rPr>
            <w:rStyle w:val="Hyperlink"/>
            <w:rtl/>
          </w:rPr>
          <w:t xml:space="preserve"> </w:t>
        </w:r>
        <w:r w:rsidRPr="0008569B">
          <w:rPr>
            <w:rStyle w:val="Hyperlink"/>
            <w:rFonts w:hint="cs"/>
            <w:rtl/>
          </w:rPr>
          <w:t>ج</w:t>
        </w:r>
        <w:r w:rsidRPr="0008569B">
          <w:rPr>
            <w:rStyle w:val="Hyperlink"/>
            <w:rtl/>
          </w:rPr>
          <w:t>1</w:t>
        </w:r>
        <w:r w:rsidRPr="0008569B">
          <w:rPr>
            <w:rStyle w:val="Hyperlink"/>
            <w:rFonts w:hint="cs"/>
            <w:rtl/>
          </w:rPr>
          <w:t>،</w:t>
        </w:r>
        <w:r w:rsidRPr="0008569B">
          <w:rPr>
            <w:rStyle w:val="Hyperlink"/>
            <w:rtl/>
          </w:rPr>
          <w:t xml:space="preserve"> </w:t>
        </w:r>
        <w:r w:rsidRPr="0008569B">
          <w:rPr>
            <w:rStyle w:val="Hyperlink"/>
            <w:rFonts w:hint="cs"/>
            <w:rtl/>
          </w:rPr>
          <w:t>ص</w:t>
        </w:r>
        <w:r w:rsidRPr="0008569B">
          <w:rPr>
            <w:rStyle w:val="Hyperlink"/>
            <w:rtl/>
          </w:rPr>
          <w:t>94.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B4" w:rsidRDefault="00082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B4" w:rsidRPr="001D2E9A" w:rsidRDefault="000821B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1" w:name="BokNum"/>
    <w:bookmarkEnd w:id="21"/>
    <w:r>
      <w:rPr>
        <w:b/>
        <w:bCs/>
        <w:sz w:val="20"/>
        <w:szCs w:val="24"/>
        <w:rtl/>
      </w:rPr>
      <w:t>068</w:t>
    </w:r>
    <w:r>
      <w:rPr>
        <w:rFonts w:hint="cs"/>
        <w:b/>
        <w:bCs/>
        <w:sz w:val="20"/>
        <w:szCs w:val="24"/>
        <w:rtl/>
      </w:rPr>
      <w:tab/>
    </w:r>
    <w:r w:rsidRPr="00C32A7E">
      <w:rPr>
        <w:rFonts w:hint="cs"/>
        <w:b/>
        <w:bCs/>
        <w:color w:val="632423" w:themeColor="accent2" w:themeShade="80"/>
        <w:sz w:val="20"/>
        <w:szCs w:val="24"/>
        <w:rtl/>
      </w:rPr>
      <w:t xml:space="preserve">درس خارج </w:t>
    </w:r>
    <w:bookmarkStart w:id="22" w:name="Bokdars"/>
    <w:bookmarkEnd w:id="22"/>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3" w:name="Bokostad"/>
    <w:bookmarkEnd w:id="2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4" w:name="BokTarikh"/>
    <w:bookmarkEnd w:id="24"/>
    <w:r>
      <w:rPr>
        <w:sz w:val="24"/>
        <w:szCs w:val="24"/>
        <w:rtl/>
      </w:rPr>
      <w:t>19 /11 /1399</w:t>
    </w:r>
  </w:p>
  <w:p w:rsidR="000821B4" w:rsidRPr="00F16B53" w:rsidRDefault="000821B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5" w:name="BokSabj"/>
    <w:bookmarkEnd w:id="25"/>
    <w:r>
      <w:rPr>
        <w:rFonts w:hint="cs"/>
        <w:color w:val="000000" w:themeColor="text1"/>
        <w:sz w:val="24"/>
        <w:szCs w:val="24"/>
        <w:rtl/>
      </w:rPr>
      <w:t>تکمله</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6" w:name="Bokmoqarer"/>
    <w:bookmarkEnd w:id="26"/>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7" w:name="BokSabj2"/>
    <w:bookmarkEnd w:id="27"/>
    <w:r>
      <w:rPr>
        <w:rFonts w:hint="cs"/>
        <w:sz w:val="24"/>
        <w:szCs w:val="24"/>
        <w:rtl/>
      </w:rPr>
      <w:t>عده</w:t>
    </w:r>
    <w:r>
      <w:rPr>
        <w:sz w:val="24"/>
        <w:szCs w:val="24"/>
        <w:rtl/>
      </w:rPr>
      <w:t xml:space="preserve"> </w:t>
    </w:r>
    <w:r>
      <w:rPr>
        <w:rFonts w:hint="cs"/>
        <w:sz w:val="24"/>
        <w:szCs w:val="24"/>
        <w:rtl/>
      </w:rPr>
      <w:t>متعه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B4" w:rsidRDefault="00082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E36"/>
    <w:rsid w:val="000072A3"/>
    <w:rsid w:val="00007B43"/>
    <w:rsid w:val="00025777"/>
    <w:rsid w:val="00025B70"/>
    <w:rsid w:val="000353D7"/>
    <w:rsid w:val="00044120"/>
    <w:rsid w:val="00055496"/>
    <w:rsid w:val="000555C9"/>
    <w:rsid w:val="00062760"/>
    <w:rsid w:val="00072E33"/>
    <w:rsid w:val="00080A41"/>
    <w:rsid w:val="000821B4"/>
    <w:rsid w:val="0008299B"/>
    <w:rsid w:val="000844E9"/>
    <w:rsid w:val="00084C92"/>
    <w:rsid w:val="000913AA"/>
    <w:rsid w:val="00094847"/>
    <w:rsid w:val="00096C63"/>
    <w:rsid w:val="000B137E"/>
    <w:rsid w:val="000B5DB5"/>
    <w:rsid w:val="000C2BA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0BEA"/>
    <w:rsid w:val="0014470A"/>
    <w:rsid w:val="00151937"/>
    <w:rsid w:val="00164268"/>
    <w:rsid w:val="00166722"/>
    <w:rsid w:val="00172954"/>
    <w:rsid w:val="00180194"/>
    <w:rsid w:val="00181844"/>
    <w:rsid w:val="001837E9"/>
    <w:rsid w:val="00187DFA"/>
    <w:rsid w:val="00192F4D"/>
    <w:rsid w:val="001A1BC1"/>
    <w:rsid w:val="001A1EA5"/>
    <w:rsid w:val="001A2574"/>
    <w:rsid w:val="001A27D7"/>
    <w:rsid w:val="001A294E"/>
    <w:rsid w:val="001A4ED8"/>
    <w:rsid w:val="001B2488"/>
    <w:rsid w:val="001B24DB"/>
    <w:rsid w:val="001B6799"/>
    <w:rsid w:val="001C1362"/>
    <w:rsid w:val="001D0367"/>
    <w:rsid w:val="001D2E9A"/>
    <w:rsid w:val="001D597F"/>
    <w:rsid w:val="001E3FD4"/>
    <w:rsid w:val="0020241A"/>
    <w:rsid w:val="002035C8"/>
    <w:rsid w:val="00203821"/>
    <w:rsid w:val="00211632"/>
    <w:rsid w:val="0021630D"/>
    <w:rsid w:val="0024121B"/>
    <w:rsid w:val="00247D2F"/>
    <w:rsid w:val="00251D53"/>
    <w:rsid w:val="00256560"/>
    <w:rsid w:val="0027202F"/>
    <w:rsid w:val="002731F4"/>
    <w:rsid w:val="0027605E"/>
    <w:rsid w:val="00281E00"/>
    <w:rsid w:val="00294A52"/>
    <w:rsid w:val="002B575F"/>
    <w:rsid w:val="002B729B"/>
    <w:rsid w:val="002C23B5"/>
    <w:rsid w:val="002C53A2"/>
    <w:rsid w:val="002D0040"/>
    <w:rsid w:val="002D2FA8"/>
    <w:rsid w:val="002D5510"/>
    <w:rsid w:val="002E220F"/>
    <w:rsid w:val="00307311"/>
    <w:rsid w:val="0032100F"/>
    <w:rsid w:val="0033402C"/>
    <w:rsid w:val="00340521"/>
    <w:rsid w:val="00340B95"/>
    <w:rsid w:val="00345C73"/>
    <w:rsid w:val="0034601C"/>
    <w:rsid w:val="00354A99"/>
    <w:rsid w:val="00360311"/>
    <w:rsid w:val="00361922"/>
    <w:rsid w:val="0037339B"/>
    <w:rsid w:val="003825BA"/>
    <w:rsid w:val="0038533D"/>
    <w:rsid w:val="00386C11"/>
    <w:rsid w:val="00397466"/>
    <w:rsid w:val="003A6148"/>
    <w:rsid w:val="003C33F6"/>
    <w:rsid w:val="003C3D2E"/>
    <w:rsid w:val="003C43A5"/>
    <w:rsid w:val="003C57CE"/>
    <w:rsid w:val="003E1C5C"/>
    <w:rsid w:val="003E492B"/>
    <w:rsid w:val="003E6650"/>
    <w:rsid w:val="003F5B46"/>
    <w:rsid w:val="00401363"/>
    <w:rsid w:val="00402E47"/>
    <w:rsid w:val="00406939"/>
    <w:rsid w:val="00406AA8"/>
    <w:rsid w:val="00425015"/>
    <w:rsid w:val="00430994"/>
    <w:rsid w:val="00440CA4"/>
    <w:rsid w:val="00441B6D"/>
    <w:rsid w:val="00442A5F"/>
    <w:rsid w:val="004447B4"/>
    <w:rsid w:val="004556EF"/>
    <w:rsid w:val="0045598E"/>
    <w:rsid w:val="00455BA5"/>
    <w:rsid w:val="00462B07"/>
    <w:rsid w:val="00465BD2"/>
    <w:rsid w:val="004715C8"/>
    <w:rsid w:val="00475273"/>
    <w:rsid w:val="00481C31"/>
    <w:rsid w:val="00482FC1"/>
    <w:rsid w:val="00483027"/>
    <w:rsid w:val="004871AA"/>
    <w:rsid w:val="00487B6E"/>
    <w:rsid w:val="004918D7"/>
    <w:rsid w:val="004926E1"/>
    <w:rsid w:val="004A2D1F"/>
    <w:rsid w:val="004A2FEA"/>
    <w:rsid w:val="004D2DD7"/>
    <w:rsid w:val="004D75C5"/>
    <w:rsid w:val="004E2186"/>
    <w:rsid w:val="004E66FB"/>
    <w:rsid w:val="004F470A"/>
    <w:rsid w:val="004F4C59"/>
    <w:rsid w:val="00500C8F"/>
    <w:rsid w:val="00500EED"/>
    <w:rsid w:val="00501909"/>
    <w:rsid w:val="00507BBB"/>
    <w:rsid w:val="005128DF"/>
    <w:rsid w:val="0051592A"/>
    <w:rsid w:val="005206FE"/>
    <w:rsid w:val="005257ED"/>
    <w:rsid w:val="005306F8"/>
    <w:rsid w:val="0054023D"/>
    <w:rsid w:val="005426BF"/>
    <w:rsid w:val="0056213C"/>
    <w:rsid w:val="00580C24"/>
    <w:rsid w:val="005842F2"/>
    <w:rsid w:val="005968EF"/>
    <w:rsid w:val="00596C1E"/>
    <w:rsid w:val="005A2E26"/>
    <w:rsid w:val="005A43BA"/>
    <w:rsid w:val="005B7BCA"/>
    <w:rsid w:val="005C0C74"/>
    <w:rsid w:val="005C0DAE"/>
    <w:rsid w:val="005C188E"/>
    <w:rsid w:val="005C5439"/>
    <w:rsid w:val="005C6DFC"/>
    <w:rsid w:val="005D0350"/>
    <w:rsid w:val="005D2349"/>
    <w:rsid w:val="005D3866"/>
    <w:rsid w:val="005D596B"/>
    <w:rsid w:val="005E1B60"/>
    <w:rsid w:val="005E5507"/>
    <w:rsid w:val="005E607B"/>
    <w:rsid w:val="005F0A8D"/>
    <w:rsid w:val="005F5156"/>
    <w:rsid w:val="00601229"/>
    <w:rsid w:val="00603B67"/>
    <w:rsid w:val="006162A2"/>
    <w:rsid w:val="006240DA"/>
    <w:rsid w:val="0063256E"/>
    <w:rsid w:val="00633F04"/>
    <w:rsid w:val="00635219"/>
    <w:rsid w:val="00635EC0"/>
    <w:rsid w:val="00640B58"/>
    <w:rsid w:val="00651B02"/>
    <w:rsid w:val="00651B19"/>
    <w:rsid w:val="00660A29"/>
    <w:rsid w:val="006653A6"/>
    <w:rsid w:val="00671B5A"/>
    <w:rsid w:val="00695519"/>
    <w:rsid w:val="006A4134"/>
    <w:rsid w:val="006A5DDA"/>
    <w:rsid w:val="006A6701"/>
    <w:rsid w:val="006B21F4"/>
    <w:rsid w:val="006B3753"/>
    <w:rsid w:val="006B3FC2"/>
    <w:rsid w:val="006B7AD6"/>
    <w:rsid w:val="006C50FD"/>
    <w:rsid w:val="006D1DD4"/>
    <w:rsid w:val="006D208B"/>
    <w:rsid w:val="006D4014"/>
    <w:rsid w:val="006D44C1"/>
    <w:rsid w:val="006D7573"/>
    <w:rsid w:val="006E5651"/>
    <w:rsid w:val="006E5B85"/>
    <w:rsid w:val="006F026A"/>
    <w:rsid w:val="0070265B"/>
    <w:rsid w:val="00704813"/>
    <w:rsid w:val="0072290D"/>
    <w:rsid w:val="00723D6D"/>
    <w:rsid w:val="00724537"/>
    <w:rsid w:val="00731724"/>
    <w:rsid w:val="0073474B"/>
    <w:rsid w:val="00735511"/>
    <w:rsid w:val="00737208"/>
    <w:rsid w:val="00744DE6"/>
    <w:rsid w:val="00752D47"/>
    <w:rsid w:val="00762452"/>
    <w:rsid w:val="007639E0"/>
    <w:rsid w:val="00770B4A"/>
    <w:rsid w:val="00772575"/>
    <w:rsid w:val="00775507"/>
    <w:rsid w:val="00776A8B"/>
    <w:rsid w:val="007809F7"/>
    <w:rsid w:val="00783473"/>
    <w:rsid w:val="0078594B"/>
    <w:rsid w:val="00795E02"/>
    <w:rsid w:val="007979D0"/>
    <w:rsid w:val="007A4E18"/>
    <w:rsid w:val="007A7B8C"/>
    <w:rsid w:val="007C3274"/>
    <w:rsid w:val="007C6D9E"/>
    <w:rsid w:val="007D0B92"/>
    <w:rsid w:val="007D1C43"/>
    <w:rsid w:val="007D6C53"/>
    <w:rsid w:val="007E1564"/>
    <w:rsid w:val="007E1E87"/>
    <w:rsid w:val="007E5B3F"/>
    <w:rsid w:val="007E64BC"/>
    <w:rsid w:val="007F2257"/>
    <w:rsid w:val="0080091D"/>
    <w:rsid w:val="00804108"/>
    <w:rsid w:val="00804FC4"/>
    <w:rsid w:val="0080628B"/>
    <w:rsid w:val="00806FC9"/>
    <w:rsid w:val="00816367"/>
    <w:rsid w:val="00816A0B"/>
    <w:rsid w:val="00824B22"/>
    <w:rsid w:val="00830C53"/>
    <w:rsid w:val="00837FAA"/>
    <w:rsid w:val="00841F77"/>
    <w:rsid w:val="0085276D"/>
    <w:rsid w:val="008541DD"/>
    <w:rsid w:val="00863031"/>
    <w:rsid w:val="00863390"/>
    <w:rsid w:val="0086385C"/>
    <w:rsid w:val="00871916"/>
    <w:rsid w:val="00876A12"/>
    <w:rsid w:val="008956DD"/>
    <w:rsid w:val="008A510E"/>
    <w:rsid w:val="008A522A"/>
    <w:rsid w:val="008B4464"/>
    <w:rsid w:val="008B750B"/>
    <w:rsid w:val="008C148D"/>
    <w:rsid w:val="008C3162"/>
    <w:rsid w:val="008D1F14"/>
    <w:rsid w:val="008E3640"/>
    <w:rsid w:val="008E3924"/>
    <w:rsid w:val="008F13F7"/>
    <w:rsid w:val="008F5B4D"/>
    <w:rsid w:val="008F71BD"/>
    <w:rsid w:val="00907425"/>
    <w:rsid w:val="00923C34"/>
    <w:rsid w:val="00924152"/>
    <w:rsid w:val="0092513D"/>
    <w:rsid w:val="00927A9F"/>
    <w:rsid w:val="00931BB5"/>
    <w:rsid w:val="009335CC"/>
    <w:rsid w:val="00935A55"/>
    <w:rsid w:val="00941CEB"/>
    <w:rsid w:val="0094720F"/>
    <w:rsid w:val="00953B28"/>
    <w:rsid w:val="00954322"/>
    <w:rsid w:val="00957CAA"/>
    <w:rsid w:val="0096778A"/>
    <w:rsid w:val="00973434"/>
    <w:rsid w:val="009737E9"/>
    <w:rsid w:val="00977656"/>
    <w:rsid w:val="009846A7"/>
    <w:rsid w:val="0098794D"/>
    <w:rsid w:val="0099497B"/>
    <w:rsid w:val="009A0445"/>
    <w:rsid w:val="009A20E4"/>
    <w:rsid w:val="009A43BA"/>
    <w:rsid w:val="009B0D05"/>
    <w:rsid w:val="009B4CA6"/>
    <w:rsid w:val="009B79F8"/>
    <w:rsid w:val="009C3DAE"/>
    <w:rsid w:val="009C66D5"/>
    <w:rsid w:val="009D13FD"/>
    <w:rsid w:val="009D266A"/>
    <w:rsid w:val="009D6721"/>
    <w:rsid w:val="009E4626"/>
    <w:rsid w:val="009F7E07"/>
    <w:rsid w:val="00A01522"/>
    <w:rsid w:val="00A0472F"/>
    <w:rsid w:val="00A10A11"/>
    <w:rsid w:val="00A13C6A"/>
    <w:rsid w:val="00A17B09"/>
    <w:rsid w:val="00A32053"/>
    <w:rsid w:val="00A457C6"/>
    <w:rsid w:val="00A46AD0"/>
    <w:rsid w:val="00A47063"/>
    <w:rsid w:val="00A473A8"/>
    <w:rsid w:val="00A513F0"/>
    <w:rsid w:val="00A61AC8"/>
    <w:rsid w:val="00A6366F"/>
    <w:rsid w:val="00A65D4C"/>
    <w:rsid w:val="00A70512"/>
    <w:rsid w:val="00A9140F"/>
    <w:rsid w:val="00AA1F60"/>
    <w:rsid w:val="00AA31E4"/>
    <w:rsid w:val="00AA322C"/>
    <w:rsid w:val="00AA40D7"/>
    <w:rsid w:val="00AB5F7D"/>
    <w:rsid w:val="00AC0C50"/>
    <w:rsid w:val="00AC6FE2"/>
    <w:rsid w:val="00AF3925"/>
    <w:rsid w:val="00B1296B"/>
    <w:rsid w:val="00B1345A"/>
    <w:rsid w:val="00B20416"/>
    <w:rsid w:val="00B2292F"/>
    <w:rsid w:val="00B35C38"/>
    <w:rsid w:val="00B43169"/>
    <w:rsid w:val="00B501A8"/>
    <w:rsid w:val="00B55AE4"/>
    <w:rsid w:val="00B70B46"/>
    <w:rsid w:val="00B739B0"/>
    <w:rsid w:val="00B814A3"/>
    <w:rsid w:val="00B8754C"/>
    <w:rsid w:val="00B96F38"/>
    <w:rsid w:val="00BA6532"/>
    <w:rsid w:val="00BC716B"/>
    <w:rsid w:val="00BD0E74"/>
    <w:rsid w:val="00BD5F8C"/>
    <w:rsid w:val="00BE29DD"/>
    <w:rsid w:val="00C066AF"/>
    <w:rsid w:val="00C10E06"/>
    <w:rsid w:val="00C145B8"/>
    <w:rsid w:val="00C23089"/>
    <w:rsid w:val="00C2438F"/>
    <w:rsid w:val="00C31AF0"/>
    <w:rsid w:val="00C32A7E"/>
    <w:rsid w:val="00C34F28"/>
    <w:rsid w:val="00C368DF"/>
    <w:rsid w:val="00C442C5"/>
    <w:rsid w:val="00C57040"/>
    <w:rsid w:val="00C57B5C"/>
    <w:rsid w:val="00C57C7C"/>
    <w:rsid w:val="00C61049"/>
    <w:rsid w:val="00C6234D"/>
    <w:rsid w:val="00C63FFE"/>
    <w:rsid w:val="00C91EB6"/>
    <w:rsid w:val="00CA10B0"/>
    <w:rsid w:val="00CA2F8E"/>
    <w:rsid w:val="00CA3EE2"/>
    <w:rsid w:val="00CA7FD5"/>
    <w:rsid w:val="00CB3287"/>
    <w:rsid w:val="00CB33E2"/>
    <w:rsid w:val="00CB4E68"/>
    <w:rsid w:val="00CC2733"/>
    <w:rsid w:val="00CD0050"/>
    <w:rsid w:val="00CD4AFA"/>
    <w:rsid w:val="00CE7481"/>
    <w:rsid w:val="00CF0A8F"/>
    <w:rsid w:val="00D048CE"/>
    <w:rsid w:val="00D06F5F"/>
    <w:rsid w:val="00D10998"/>
    <w:rsid w:val="00D15CBD"/>
    <w:rsid w:val="00D221CB"/>
    <w:rsid w:val="00D23391"/>
    <w:rsid w:val="00D31805"/>
    <w:rsid w:val="00D35B37"/>
    <w:rsid w:val="00D552B9"/>
    <w:rsid w:val="00D735B2"/>
    <w:rsid w:val="00D74021"/>
    <w:rsid w:val="00D76D01"/>
    <w:rsid w:val="00D801E7"/>
    <w:rsid w:val="00D9155D"/>
    <w:rsid w:val="00D922A9"/>
    <w:rsid w:val="00D92FE7"/>
    <w:rsid w:val="00D9394A"/>
    <w:rsid w:val="00D975C7"/>
    <w:rsid w:val="00DA1DDC"/>
    <w:rsid w:val="00DB0CBB"/>
    <w:rsid w:val="00DB0F2A"/>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4F8B"/>
    <w:rsid w:val="00E871FA"/>
    <w:rsid w:val="00E936A4"/>
    <w:rsid w:val="00E954BB"/>
    <w:rsid w:val="00EA45E7"/>
    <w:rsid w:val="00EB0EB9"/>
    <w:rsid w:val="00EB78E3"/>
    <w:rsid w:val="00EB7BE3"/>
    <w:rsid w:val="00EC1C4B"/>
    <w:rsid w:val="00EC735A"/>
    <w:rsid w:val="00ED5F38"/>
    <w:rsid w:val="00ED5F67"/>
    <w:rsid w:val="00EF27FE"/>
    <w:rsid w:val="00F07FB6"/>
    <w:rsid w:val="00F149D0"/>
    <w:rsid w:val="00F16B53"/>
    <w:rsid w:val="00F25ECD"/>
    <w:rsid w:val="00F275A9"/>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2E6"/>
    <w:rsid w:val="00FA5439"/>
    <w:rsid w:val="00FA5E8D"/>
    <w:rsid w:val="00FA5F3D"/>
    <w:rsid w:val="00FB14C3"/>
    <w:rsid w:val="00FB399E"/>
    <w:rsid w:val="00FB651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5791307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035525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768620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94/&#1575;&#1581;&#1583;&#1607;&#1575;" TargetMode="External"/><Relationship Id="rId3" Type="http://schemas.openxmlformats.org/officeDocument/2006/relationships/hyperlink" Target="http://lib.eshia.ir/10081/1/105/3" TargetMode="External"/><Relationship Id="rId7" Type="http://schemas.openxmlformats.org/officeDocument/2006/relationships/hyperlink" Target="http://lib.eshia.ir/10081/1/92/13" TargetMode="External"/><Relationship Id="rId2" Type="http://schemas.openxmlformats.org/officeDocument/2006/relationships/hyperlink" Target="http://lib.eshia.ir/10081/1/91/9" TargetMode="External"/><Relationship Id="rId1" Type="http://schemas.openxmlformats.org/officeDocument/2006/relationships/hyperlink" Target="http://lib.eshia.ir/10083/8/158/&#1588;&#1593;&#1576;&#1577;" TargetMode="External"/><Relationship Id="rId6" Type="http://schemas.openxmlformats.org/officeDocument/2006/relationships/hyperlink" Target="http://lib.eshia.ir/10081/1/92/12" TargetMode="External"/><Relationship Id="rId5" Type="http://schemas.openxmlformats.org/officeDocument/2006/relationships/hyperlink" Target="http://lib.eshia.ir/10081/1/92/11" TargetMode="External"/><Relationship Id="rId4" Type="http://schemas.openxmlformats.org/officeDocument/2006/relationships/hyperlink" Target="http://lib.eshia.ir/10081/1/9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DB2D-ECA6-44A5-8865-64F67CDC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2439</TotalTime>
  <Pages>8</Pages>
  <Words>1941</Words>
  <Characters>11067</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100</cp:revision>
  <cp:lastPrinted>2021-02-11T10:14:00Z</cp:lastPrinted>
  <dcterms:created xsi:type="dcterms:W3CDTF">2021-02-08T13:46:00Z</dcterms:created>
  <dcterms:modified xsi:type="dcterms:W3CDTF">2021-02-14T15:36:00Z</dcterms:modified>
  <cp:contentStatus>ویرایش 2.5</cp:contentStatus>
  <cp:version>2.7</cp:version>
</cp:coreProperties>
</file>