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B5C" w:rsidRDefault="00D03B5C" w:rsidP="00D03B5C">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hint="cs"/>
          <w:b/>
          <w:bCs/>
          <w:color w:val="632423"/>
          <w:sz w:val="24"/>
          <w:szCs w:val="24"/>
          <w:shd w:val="clear" w:color="auto" w:fill="FFFFFF"/>
          <w:rtl/>
        </w:rPr>
        <w:t>درس خارج فقه استاد سید محمد جواد شبیری</w:t>
      </w:r>
    </w:p>
    <w:p w:rsidR="00D03B5C" w:rsidRDefault="00D03B5C" w:rsidP="002B3A03">
      <w:pPr>
        <w:widowControl w:val="0"/>
        <w:autoSpaceDE w:val="0"/>
        <w:autoSpaceDN w:val="0"/>
        <w:adjustRightInd w:val="0"/>
        <w:spacing w:line="456" w:lineRule="auto"/>
        <w:jc w:val="both"/>
        <w:rPr>
          <w:rFonts w:ascii="IRANSans" w:hAnsi="IRANSans" w:cs="IRANSans" w:hint="cs"/>
          <w:b/>
          <w:bCs/>
          <w:color w:val="0101FF"/>
          <w:sz w:val="24"/>
          <w:szCs w:val="24"/>
          <w:shd w:val="clear" w:color="auto" w:fill="FFFFFF"/>
        </w:rPr>
      </w:pPr>
      <w:r>
        <w:rPr>
          <w:rFonts w:ascii="IRANSans" w:hAnsi="IRANSans" w:cs="IRANSans" w:hint="cs"/>
          <w:b/>
          <w:bCs/>
          <w:color w:val="0101FF"/>
          <w:sz w:val="24"/>
          <w:szCs w:val="24"/>
          <w:shd w:val="clear" w:color="auto" w:fill="FFFFFF"/>
          <w:rtl/>
        </w:rPr>
        <w:t>جلسه34</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 1</w:t>
      </w:r>
      <w:r>
        <w:rPr>
          <w:rFonts w:ascii="IRANSans" w:hAnsi="IRANSans" w:cs="IRANSans" w:hint="cs"/>
          <w:b/>
          <w:bCs/>
          <w:color w:val="0101FF"/>
          <w:sz w:val="24"/>
          <w:szCs w:val="24"/>
          <w:shd w:val="clear" w:color="auto" w:fill="FFFFFF"/>
          <w:rtl/>
        </w:rPr>
        <w:t>8</w:t>
      </w:r>
      <w:r>
        <w:rPr>
          <w:rFonts w:ascii="IRANSans" w:hAnsi="IRANSans" w:cs="IRANSans" w:hint="cs"/>
          <w:b/>
          <w:bCs/>
          <w:color w:val="0101FF"/>
          <w:sz w:val="24"/>
          <w:szCs w:val="24"/>
          <w:shd w:val="clear" w:color="auto" w:fill="FFFFFF"/>
          <w:rtl/>
        </w:rPr>
        <w:t xml:space="preserve"> /11/ 1399 </w:t>
      </w:r>
      <w:bookmarkStart w:id="0" w:name="_GoBack"/>
      <w:bookmarkEnd w:id="0"/>
      <w:r>
        <w:rPr>
          <w:rFonts w:ascii="IRANSans" w:hAnsi="IRANSans" w:cs="IRANSans" w:hint="cs"/>
          <w:b/>
          <w:bCs/>
          <w:color w:val="0101FF"/>
          <w:sz w:val="24"/>
          <w:szCs w:val="24"/>
          <w:shd w:val="clear" w:color="auto" w:fill="FFFFFF"/>
          <w:rtl/>
        </w:rPr>
        <w:t>عده متعه /فصل سوم تکمله عروه /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8F5B4D" w:rsidP="00AA2070">
      <w:pPr>
        <w:pBdr>
          <w:bottom w:val="double" w:sz="6" w:space="1" w:color="auto"/>
        </w:pBdr>
        <w:jc w:val="both"/>
        <w:rPr>
          <w:rtl/>
        </w:rPr>
      </w:pPr>
      <w:r>
        <w:rPr>
          <w:rFonts w:hint="cs"/>
          <w:rtl/>
        </w:rPr>
        <w:t>متن خلاصه ...</w:t>
      </w:r>
    </w:p>
    <w:p w:rsidR="00247D2F" w:rsidRPr="003A6148" w:rsidRDefault="00247D2F" w:rsidP="00AA2070">
      <w:pPr>
        <w:pBdr>
          <w:bottom w:val="double" w:sz="6" w:space="1" w:color="auto"/>
        </w:pBdr>
        <w:jc w:val="both"/>
      </w:pPr>
    </w:p>
    <w:p w:rsidR="008F5B4D" w:rsidRDefault="008F5B4D" w:rsidP="00AA2070">
      <w:pPr>
        <w:jc w:val="both"/>
        <w:rPr>
          <w:rtl/>
        </w:rPr>
      </w:pPr>
    </w:p>
    <w:p w:rsidR="00073DE8" w:rsidRDefault="00073DE8" w:rsidP="00795671">
      <w:pPr>
        <w:jc w:val="both"/>
        <w:rPr>
          <w:rtl/>
        </w:rPr>
      </w:pPr>
      <w:r>
        <w:rPr>
          <w:rFonts w:hint="cs"/>
          <w:rtl/>
        </w:rPr>
        <w:t xml:space="preserve">در دو قول از اقوال عده‌ی متعه ( حیضتان و طهران) به مماثلت بین متعه و امه تمسک شده </w:t>
      </w:r>
      <w:r w:rsidR="00795671">
        <w:rPr>
          <w:rFonts w:hint="cs"/>
          <w:rtl/>
        </w:rPr>
        <w:t>است</w:t>
      </w:r>
      <w:r>
        <w:rPr>
          <w:rFonts w:hint="cs"/>
          <w:rtl/>
        </w:rPr>
        <w:t>.</w:t>
      </w:r>
    </w:p>
    <w:p w:rsidR="00BE69B5" w:rsidRDefault="00BE69B5" w:rsidP="00CA63C6">
      <w:pPr>
        <w:jc w:val="both"/>
        <w:rPr>
          <w:rtl/>
        </w:rPr>
      </w:pPr>
      <w:r>
        <w:rPr>
          <w:rFonts w:hint="cs"/>
          <w:rtl/>
        </w:rPr>
        <w:t>مرحوم صاحب جواهر و به تبع او مرحوم سید یزدی فرموده اند: آن</w:t>
      </w:r>
      <w:r w:rsidR="00CA63C6">
        <w:rPr>
          <w:rFonts w:hint="cs"/>
          <w:rtl/>
        </w:rPr>
        <w:t xml:space="preserve"> چه در صحیحه‌ی زراره آمده است (</w:t>
      </w:r>
      <w:r w:rsidR="00CA63C6" w:rsidRPr="00CA63C6">
        <w:rPr>
          <w:rFonts w:hint="cs"/>
          <w:rtl/>
        </w:rPr>
        <w:t xml:space="preserve"> </w:t>
      </w:r>
      <w:r w:rsidR="00CA63C6" w:rsidRPr="00C34CB2">
        <w:rPr>
          <w:rFonts w:hint="cs"/>
          <w:color w:val="008000"/>
          <w:rtl/>
        </w:rPr>
        <w:t>وَ كَذَلِكَ‏ الْمُتْعَةُ عَلَيْهَا مِثْلُ‏ مَا عَلَى الْأَمَةِ</w:t>
      </w:r>
      <w:r w:rsidR="00C34CB2">
        <w:rPr>
          <w:rStyle w:val="FootnoteReference"/>
          <w:color w:val="008000"/>
          <w:rtl/>
        </w:rPr>
        <w:footnoteReference w:id="1"/>
      </w:r>
      <w:r w:rsidR="00C34CB2">
        <w:rPr>
          <w:rFonts w:hint="cs"/>
          <w:rtl/>
        </w:rPr>
        <w:t>)، مربوط به زن ذ</w:t>
      </w:r>
      <w:r>
        <w:rPr>
          <w:rFonts w:hint="cs"/>
          <w:rtl/>
        </w:rPr>
        <w:t>ات الشهور است نه مطلقا.</w:t>
      </w:r>
    </w:p>
    <w:p w:rsidR="00F73C4A" w:rsidRDefault="00926968" w:rsidP="00926968">
      <w:pPr>
        <w:jc w:val="both"/>
        <w:rPr>
          <w:rtl/>
        </w:rPr>
      </w:pPr>
      <w:r>
        <w:rPr>
          <w:rFonts w:hint="cs"/>
          <w:rtl/>
        </w:rPr>
        <w:t>مرحوم صاحب جواهر استدلال دیگری را ضمیمه کرده است که در عروه نیامده است. صاحب جواهر می فرماید: مگر آن که بگوییم عموماتی وجود دارد که متعه را به منزله‌ی امه قرار داده است و با عموم تعلیل حکم مساله را از آن ها استفاده کنیم. سپس به این بیان اشکال می کند.</w:t>
      </w:r>
    </w:p>
    <w:p w:rsidR="00BE69B5" w:rsidRDefault="00CE3C24" w:rsidP="00CE3C24">
      <w:pPr>
        <w:jc w:val="both"/>
        <w:rPr>
          <w:rtl/>
        </w:rPr>
      </w:pPr>
      <w:r>
        <w:rPr>
          <w:rFonts w:hint="cs"/>
          <w:rtl/>
        </w:rPr>
        <w:t>باید بررسی کرد که آیا روایتی که عموم تعلیل داشته باشد، وجود دارد</w:t>
      </w:r>
      <w:r w:rsidR="007A344E">
        <w:rPr>
          <w:rFonts w:hint="cs"/>
          <w:rtl/>
        </w:rPr>
        <w:t xml:space="preserve"> که متعه را به منزله‌ی امه دانسته باشد</w:t>
      </w:r>
      <w:r>
        <w:rPr>
          <w:rFonts w:hint="cs"/>
          <w:rtl/>
        </w:rPr>
        <w:t>؟</w:t>
      </w:r>
      <w:r w:rsidR="007A344E">
        <w:rPr>
          <w:rFonts w:hint="cs"/>
          <w:rtl/>
        </w:rPr>
        <w:t xml:space="preserve"> این بحث هم در ارزیابی این دو قول ( حیضتان و طهران) موثر است و هم در عده‌ی وفات متعه.</w:t>
      </w:r>
      <w:r w:rsidR="00F86E65">
        <w:rPr>
          <w:rFonts w:hint="cs"/>
          <w:rtl/>
        </w:rPr>
        <w:t xml:space="preserve"> در جامع احادیث الشیعه در باب سوم از ابواب متعه روایاتی وجود دارد که متعه را به منزله‌ی اماء دانسته است.</w:t>
      </w:r>
      <w:r w:rsidR="005D3F13">
        <w:rPr>
          <w:rFonts w:hint="cs"/>
          <w:rtl/>
        </w:rPr>
        <w:t xml:space="preserve"> روایتی که بیش از سایر روایات ممکن است توهم شود که عموم منزلت از آن استفاده می شود، روایت فضیل بن یسار است:</w:t>
      </w:r>
    </w:p>
    <w:p w:rsidR="005D3F13" w:rsidRPr="005D3F13" w:rsidRDefault="005D3F13" w:rsidP="005D3F13">
      <w:pPr>
        <w:jc w:val="both"/>
        <w:rPr>
          <w:color w:val="008000"/>
        </w:rPr>
      </w:pPr>
      <w:r w:rsidRPr="005D3F13">
        <w:rPr>
          <w:rFonts w:hint="cs"/>
          <w:rtl/>
        </w:rPr>
        <w:t xml:space="preserve">82- 38364- (11) فقيه‏ 3/ 294: </w:t>
      </w:r>
      <w:r w:rsidRPr="005D3F13">
        <w:rPr>
          <w:rFonts w:hint="cs"/>
          <w:color w:val="008000"/>
          <w:rtl/>
        </w:rPr>
        <w:t>سأل (أبا عبداللَّه عليه السلام) الفضيل‏ بن يسار عن المتعة فقال هى كبعض إمائك.</w:t>
      </w:r>
      <w:r>
        <w:rPr>
          <w:rStyle w:val="FootnoteReference"/>
          <w:color w:val="008000"/>
          <w:rtl/>
        </w:rPr>
        <w:footnoteReference w:id="2"/>
      </w:r>
    </w:p>
    <w:p w:rsidR="004A6127" w:rsidRDefault="00D921F9" w:rsidP="00593945">
      <w:pPr>
        <w:jc w:val="both"/>
        <w:rPr>
          <w:rtl/>
        </w:rPr>
      </w:pPr>
      <w:r>
        <w:rPr>
          <w:rFonts w:hint="cs"/>
          <w:rtl/>
        </w:rPr>
        <w:t>یک خلطی واقع شده است. یک بحث در امه‌ی مزوجه است که طلاق داده می شود و عده دارد. بحث دیگر در مورد امه‌ی عادی ( غیر مزوجه، ملک یمین) است که عده ندارد. این روایت ناظر بر امه‌ی ملک یمین است. این روایت ناظر به نکته‌ی دیگری است که در سایر روایات به آن تصریح شده است. بحث در این است که آیا در متعه تعداد معتبر است؟ و ثانیا آیا متعه جزء چهار همسر حساب می شود یا نه؟</w:t>
      </w:r>
      <w:r w:rsidR="00B75B01">
        <w:rPr>
          <w:rFonts w:hint="cs"/>
          <w:rtl/>
        </w:rPr>
        <w:t xml:space="preserve"> در روایات می فرماید: متعه جزء چهار همسر به حساب نمی آید و به هر تعداد جائز است.</w:t>
      </w:r>
      <w:r w:rsidR="00593945">
        <w:rPr>
          <w:rFonts w:hint="cs"/>
          <w:rtl/>
        </w:rPr>
        <w:t xml:space="preserve"> مثلا در روایت اسماعیل بن فضل هاشمی می فرماید:</w:t>
      </w:r>
    </w:p>
    <w:p w:rsidR="004A6127" w:rsidRDefault="004A6127" w:rsidP="004A6127">
      <w:pPr>
        <w:jc w:val="both"/>
        <w:rPr>
          <w:rtl/>
        </w:rPr>
      </w:pPr>
      <w:r w:rsidRPr="00BE09F7">
        <w:rPr>
          <w:rFonts w:hint="cs"/>
          <w:rtl/>
        </w:rPr>
        <w:lastRenderedPageBreak/>
        <w:t xml:space="preserve">عَلِيُّ بْنُ إِبْرَاهِيمَ عَنْ أَبِيهِ عَنِ ابْنِ أَبِي عُمَيْرٍ عَنْ عُمَرَ بْنِ أُذَيْنَةَ عَنْ إِسْمَاعِيلَ بْنِ الْفَضْلِ الْهَاشِمِيِّ قَالَ: </w:t>
      </w:r>
      <w:r w:rsidRPr="00E41CE9">
        <w:rPr>
          <w:rFonts w:hint="cs"/>
          <w:color w:val="008000"/>
          <w:rtl/>
        </w:rPr>
        <w:t>سَأَلْتُ أَبَا عَبْدِ اللَّهِ ع عَنِ الْمُتْعَةِ فَقَالَ الْقَ عَبْدَ الْمَلِكِ بْنَ جُرَيْجٍ‏ فَسَلْهُ عَنْهَا فَإِنَّ عِنْدَهُ مِنْهَا عِلْماً فَلَقِيتُهُ فَأَمْلَى عَلَيَّ مِنْهَا شَيْئاً كَثِيراً فِي اسْتِحْلَالِهَا فَكَانَ فِيمَا رَوَى لِيَ ابْنُ جُرَيْجٍ قَالَ لَيْسَ فِيهَا وَقْتٌ وَ لَا عَدَدٌ إِنَّمَا هِيَ بِمَنْزِلَةِ الْإِمَاءِ يَتَزَوَّجُ مِنْهُنَّ كَمْ شَاءَ</w:t>
      </w:r>
      <w:r>
        <w:rPr>
          <w:rFonts w:hint="cs"/>
          <w:color w:val="008000"/>
          <w:rtl/>
        </w:rPr>
        <w:t>...</w:t>
      </w:r>
      <w:r>
        <w:rPr>
          <w:rStyle w:val="FootnoteReference"/>
          <w:color w:val="008000"/>
          <w:rtl/>
        </w:rPr>
        <w:footnoteReference w:id="3"/>
      </w:r>
    </w:p>
    <w:p w:rsidR="004A6127" w:rsidRDefault="00AC1521" w:rsidP="004A6127">
      <w:pPr>
        <w:jc w:val="both"/>
        <w:rPr>
          <w:rtl/>
        </w:rPr>
      </w:pPr>
      <w:r w:rsidRPr="00E41CE9">
        <w:rPr>
          <w:rFonts w:hint="cs"/>
          <w:color w:val="008000"/>
          <w:rtl/>
        </w:rPr>
        <w:t>يَتَزَوَّجُ مِنْهُنَّ كَمْ شَاءَ</w:t>
      </w:r>
      <w:r>
        <w:rPr>
          <w:rFonts w:hint="cs"/>
          <w:rtl/>
        </w:rPr>
        <w:t xml:space="preserve"> توضیحی برای </w:t>
      </w:r>
      <w:r w:rsidRPr="00E41CE9">
        <w:rPr>
          <w:rFonts w:hint="cs"/>
          <w:color w:val="008000"/>
          <w:rtl/>
        </w:rPr>
        <w:t>إِنَّمَا هِيَ بِمَنْزِلَةِ الْإِمَاءِ</w:t>
      </w:r>
      <w:r>
        <w:rPr>
          <w:rFonts w:hint="cs"/>
          <w:rtl/>
        </w:rPr>
        <w:t xml:space="preserve"> می باشد؛ یعنی عددی در آن معتبر نمی باشد.</w:t>
      </w:r>
    </w:p>
    <w:p w:rsidR="00AC1521" w:rsidRDefault="00AC1521" w:rsidP="004A6127">
      <w:pPr>
        <w:jc w:val="both"/>
        <w:rPr>
          <w:rtl/>
        </w:rPr>
      </w:pPr>
      <w:r>
        <w:rPr>
          <w:rFonts w:hint="cs"/>
          <w:rtl/>
        </w:rPr>
        <w:t>در روایت دیگری چنین آمده است:</w:t>
      </w:r>
    </w:p>
    <w:p w:rsidR="004A6127" w:rsidRPr="00163E55" w:rsidRDefault="004A6127" w:rsidP="004A6127">
      <w:pPr>
        <w:jc w:val="both"/>
      </w:pPr>
      <w:r w:rsidRPr="00163E55">
        <w:rPr>
          <w:rFonts w:hint="cs"/>
          <w:rtl/>
        </w:rPr>
        <w:t xml:space="preserve">80- 38362- (9) كافى‏ 5/ 451: علىّ بن إبراهيم عن أبيه عن ابن أبى عمير عن‏ عمر بن أذينة عن أبى عبداللَّه عليه السلام قال </w:t>
      </w:r>
      <w:r w:rsidRPr="00163E55">
        <w:rPr>
          <w:rFonts w:hint="cs"/>
          <w:color w:val="008000"/>
          <w:rtl/>
        </w:rPr>
        <w:t>قلت كم تحلّ من المتعة قال فقال هنّ بمنزلة الإماء.</w:t>
      </w:r>
      <w:r>
        <w:rPr>
          <w:rStyle w:val="FootnoteReference"/>
          <w:color w:val="008000"/>
          <w:rtl/>
        </w:rPr>
        <w:footnoteReference w:id="4"/>
      </w:r>
    </w:p>
    <w:p w:rsidR="004A6127" w:rsidRDefault="00AC1521" w:rsidP="004A6127">
      <w:pPr>
        <w:jc w:val="both"/>
        <w:rPr>
          <w:rtl/>
        </w:rPr>
      </w:pPr>
      <w:r>
        <w:rPr>
          <w:rFonts w:hint="cs"/>
          <w:rtl/>
        </w:rPr>
        <w:t>در روایت بزنطی می فرماید:</w:t>
      </w:r>
    </w:p>
    <w:p w:rsidR="004A6127" w:rsidRPr="00CC6C89" w:rsidRDefault="004A6127" w:rsidP="004A6127">
      <w:pPr>
        <w:jc w:val="both"/>
        <w:rPr>
          <w:color w:val="008000"/>
        </w:rPr>
      </w:pPr>
      <w:r w:rsidRPr="00CC6C89">
        <w:rPr>
          <w:rFonts w:hint="cs"/>
          <w:rtl/>
        </w:rPr>
        <w:t xml:space="preserve">83- 38365- (12) تهذيب‏ 7/ 259: استبصار 3/ 148: أحمد بن محمّد بن أبى نصر عن أبى الحسن عليه السلام قال </w:t>
      </w:r>
      <w:r w:rsidRPr="00CC6C89">
        <w:rPr>
          <w:rFonts w:hint="cs"/>
          <w:color w:val="008000"/>
          <w:rtl/>
        </w:rPr>
        <w:t xml:space="preserve">سألته عن الرّجل تكون عنده المرأة أيحلّ له أن يتزوّج باختها متعة قال لا قلت حكى </w:t>
      </w:r>
      <w:r w:rsidR="006461E8">
        <w:rPr>
          <w:rFonts w:hint="cs"/>
          <w:color w:val="008000"/>
          <w:rtl/>
        </w:rPr>
        <w:t>زرارة عن أبى جعفر عليه السلام أ</w:t>
      </w:r>
      <w:r w:rsidRPr="00CC6C89">
        <w:rPr>
          <w:rFonts w:hint="cs"/>
          <w:color w:val="008000"/>
          <w:rtl/>
        </w:rPr>
        <w:t>نّما هى مثل الإماء يتزوّج ما شاء قال لا هى من الأربع‏</w:t>
      </w:r>
      <w:r>
        <w:rPr>
          <w:rStyle w:val="FootnoteReference"/>
          <w:color w:val="008000"/>
          <w:rtl/>
        </w:rPr>
        <w:footnoteReference w:id="5"/>
      </w:r>
    </w:p>
    <w:p w:rsidR="004A6127" w:rsidRDefault="006461E8" w:rsidP="004A6127">
      <w:pPr>
        <w:jc w:val="both"/>
        <w:rPr>
          <w:rtl/>
        </w:rPr>
      </w:pPr>
      <w:r>
        <w:rPr>
          <w:rFonts w:hint="cs"/>
          <w:rtl/>
        </w:rPr>
        <w:t xml:space="preserve">در این روایت در قبال </w:t>
      </w:r>
      <w:r>
        <w:rPr>
          <w:rFonts w:hint="cs"/>
          <w:color w:val="008000"/>
          <w:rtl/>
        </w:rPr>
        <w:t>أ</w:t>
      </w:r>
      <w:r w:rsidRPr="00CC6C89">
        <w:rPr>
          <w:rFonts w:hint="cs"/>
          <w:color w:val="008000"/>
          <w:rtl/>
        </w:rPr>
        <w:t>نّما هى مثل الإماء</w:t>
      </w:r>
      <w:r>
        <w:rPr>
          <w:rFonts w:hint="cs"/>
          <w:rtl/>
        </w:rPr>
        <w:t xml:space="preserve"> عبارت </w:t>
      </w:r>
      <w:r w:rsidRPr="00CC6C89">
        <w:rPr>
          <w:rFonts w:hint="cs"/>
          <w:color w:val="008000"/>
          <w:rtl/>
        </w:rPr>
        <w:t>هى من الأربع</w:t>
      </w:r>
      <w:r>
        <w:rPr>
          <w:rFonts w:hint="cs"/>
          <w:rtl/>
        </w:rPr>
        <w:t xml:space="preserve"> قرار داده شده است.</w:t>
      </w:r>
    </w:p>
    <w:p w:rsidR="00506C3E" w:rsidRDefault="00506C3E" w:rsidP="00B32D16">
      <w:pPr>
        <w:jc w:val="both"/>
        <w:rPr>
          <w:rtl/>
        </w:rPr>
      </w:pPr>
      <w:r>
        <w:rPr>
          <w:rFonts w:hint="cs"/>
          <w:rtl/>
        </w:rPr>
        <w:t>روایت فضیل بن یسار نیز به همین اعتبار می باشد؛ نه این که عده‌ی متعه مانند عده‌ی اماء است.</w:t>
      </w:r>
      <w:r w:rsidR="00BC251B">
        <w:rPr>
          <w:rFonts w:hint="cs"/>
          <w:rtl/>
        </w:rPr>
        <w:t xml:space="preserve"> </w:t>
      </w:r>
      <w:r w:rsidR="00B32D16">
        <w:rPr>
          <w:rFonts w:hint="cs"/>
          <w:rtl/>
        </w:rPr>
        <w:t>امه</w:t>
      </w:r>
      <w:r w:rsidR="00B32D16">
        <w:rPr>
          <w:rStyle w:val="FootnoteReference"/>
          <w:rtl/>
        </w:rPr>
        <w:footnoteReference w:id="6"/>
      </w:r>
      <w:r w:rsidR="00BC251B">
        <w:rPr>
          <w:rFonts w:hint="cs"/>
          <w:rtl/>
        </w:rPr>
        <w:t xml:space="preserve"> اصلا عده ندارد و فقط بحث استبراء</w:t>
      </w:r>
      <w:r w:rsidR="00317F33">
        <w:rPr>
          <w:rFonts w:hint="cs"/>
          <w:rtl/>
        </w:rPr>
        <w:t xml:space="preserve"> در مورد او</w:t>
      </w:r>
      <w:r w:rsidR="00BC251B">
        <w:rPr>
          <w:rFonts w:hint="cs"/>
          <w:rtl/>
        </w:rPr>
        <w:t xml:space="preserve"> مطرح است ( وقتی از شخصی به شخص دیگر منتقل می شود).</w:t>
      </w:r>
    </w:p>
    <w:p w:rsidR="00506C3E" w:rsidRDefault="00386888" w:rsidP="00B16987">
      <w:pPr>
        <w:jc w:val="both"/>
        <w:rPr>
          <w:rtl/>
        </w:rPr>
      </w:pPr>
      <w:r>
        <w:rPr>
          <w:rFonts w:hint="cs"/>
          <w:rtl/>
        </w:rPr>
        <w:t xml:space="preserve">مرحوم صاحب جواهر </w:t>
      </w:r>
      <w:r w:rsidR="00B16987">
        <w:rPr>
          <w:rFonts w:hint="cs"/>
          <w:rtl/>
        </w:rPr>
        <w:t>نیز</w:t>
      </w:r>
      <w:r>
        <w:rPr>
          <w:rFonts w:hint="cs"/>
          <w:rtl/>
        </w:rPr>
        <w:t xml:space="preserve"> می فرماید: </w:t>
      </w:r>
      <w:r w:rsidRPr="00386888">
        <w:rPr>
          <w:rFonts w:hint="cs"/>
          <w:color w:val="000080"/>
          <w:rtl/>
        </w:rPr>
        <w:t>فیه ما لا یخفی</w:t>
      </w:r>
      <w:r>
        <w:rPr>
          <w:rFonts w:hint="cs"/>
          <w:rtl/>
        </w:rPr>
        <w:t xml:space="preserve"> و به این استدلال اشکال کرده است</w:t>
      </w:r>
      <w:r w:rsidR="00702CAC">
        <w:rPr>
          <w:rFonts w:hint="cs"/>
          <w:rtl/>
        </w:rPr>
        <w:t>.</w:t>
      </w:r>
      <w:r>
        <w:rPr>
          <w:rFonts w:hint="cs"/>
          <w:rtl/>
        </w:rPr>
        <w:t xml:space="preserve"> ممکن است</w:t>
      </w:r>
      <w:r w:rsidR="00702CAC">
        <w:rPr>
          <w:rFonts w:hint="cs"/>
          <w:rtl/>
        </w:rPr>
        <w:t xml:space="preserve"> صاحب جواهر نیز به همین اشکال ناظر</w:t>
      </w:r>
      <w:r>
        <w:rPr>
          <w:rFonts w:hint="cs"/>
          <w:rtl/>
        </w:rPr>
        <w:t xml:space="preserve"> باشد.</w:t>
      </w:r>
    </w:p>
    <w:p w:rsidR="006D207C" w:rsidRDefault="00386888" w:rsidP="006D207C">
      <w:pPr>
        <w:jc w:val="both"/>
        <w:rPr>
          <w:rtl/>
        </w:rPr>
      </w:pPr>
      <w:r>
        <w:rPr>
          <w:rFonts w:hint="cs"/>
          <w:rtl/>
        </w:rPr>
        <w:t xml:space="preserve">در هر صورت روایتی وجود ندارد که عده‌ی متعه را به منزله‌ی عده‌ی امه قرار </w:t>
      </w:r>
      <w:r w:rsidR="00CE5EDD">
        <w:rPr>
          <w:rFonts w:hint="cs"/>
          <w:rtl/>
        </w:rPr>
        <w:t>داده باشد</w:t>
      </w:r>
      <w:r w:rsidR="00506FC2">
        <w:rPr>
          <w:rFonts w:hint="cs"/>
          <w:rtl/>
        </w:rPr>
        <w:t>؛ همچنین عموم تنزیلی وجود ندارد که متعه را به منزله‌ی امه‌ی مطلقه</w:t>
      </w:r>
      <w:r w:rsidR="002B5653">
        <w:rPr>
          <w:rFonts w:hint="cs"/>
          <w:rtl/>
        </w:rPr>
        <w:t xml:space="preserve"> یا امه‌ی متوفی</w:t>
      </w:r>
      <w:r w:rsidR="00506FC2">
        <w:rPr>
          <w:rFonts w:hint="cs"/>
          <w:rtl/>
        </w:rPr>
        <w:t xml:space="preserve"> عنها زوجها قرار داده باشد.</w:t>
      </w:r>
    </w:p>
    <w:p w:rsidR="006D207C" w:rsidRDefault="006D207C" w:rsidP="006D207C">
      <w:pPr>
        <w:pStyle w:val="Heading1"/>
        <w:rPr>
          <w:rtl/>
        </w:rPr>
      </w:pPr>
      <w:bookmarkStart w:id="1" w:name="_Toc63794422"/>
      <w:bookmarkStart w:id="2" w:name="_Toc63797305"/>
      <w:r>
        <w:rPr>
          <w:rFonts w:hint="cs"/>
          <w:rtl/>
        </w:rPr>
        <w:lastRenderedPageBreak/>
        <w:t>مساله‌ی پنجم تکمله‌ی عروه</w:t>
      </w:r>
      <w:bookmarkEnd w:id="1"/>
      <w:bookmarkEnd w:id="2"/>
    </w:p>
    <w:p w:rsidR="004A6127" w:rsidRPr="002D6C47" w:rsidRDefault="004A6127" w:rsidP="004A6127">
      <w:pPr>
        <w:jc w:val="both"/>
        <w:rPr>
          <w:color w:val="0000FF"/>
          <w:rtl/>
        </w:rPr>
      </w:pPr>
      <w:r w:rsidRPr="002D6C47">
        <w:rPr>
          <w:rFonts w:hint="cs"/>
          <w:color w:val="0000FF"/>
          <w:rtl/>
        </w:rPr>
        <w:t>مسألة 5: إذا كانت ممن لا تحيض فعدتها خمسة و أربعون يوما</w:t>
      </w:r>
      <w:r w:rsidRPr="002D6C47">
        <w:rPr>
          <w:rFonts w:hint="cs"/>
          <w:color w:val="0000FF"/>
        </w:rPr>
        <w:t>‌</w:t>
      </w:r>
      <w:r w:rsidRPr="002D6C47">
        <w:rPr>
          <w:rFonts w:hint="cs"/>
          <w:color w:val="0000FF"/>
          <w:rtl/>
        </w:rPr>
        <w:t xml:space="preserve"> كما في بعض الأخبار، أو شهر و نصف كما في بعضها الآخر، و الأحوط خمسة و أربعون يوما بلياليها كما انّ الأحوط عدم كفاية التلفيق، و إذا كان انقضاء المدة في أول ليلة من الشهر يمكن أن يقال بكفاية ذلك الشهر، و إن كان ناقصا و ضم نصف الشهر الثاني لما مر مكررا من انّ الشهر منصرف إلى الهلالي، لكن الأحوط عدم الاكتفاء به، ثمّ إذا كانت تحيض لكن لم تكن مستقيمة الحيض فالظاهر انّ عدتها أسبق الأمرين من الحيضتين و خمسة و أربعين يوما كما في الطلاق، و كذا إذا كان حيضها مستقيما لكن كان الطهر بين الحيضتين خمسة و أربعين أو أزيد، لكن لا يخلو عن إشكال لأنّ الحكم بالأشهر معلق في الأخبار على عدم الحيض، و لذا لم يتعرض العلماء لهذا الفرع في المقام و الإلحاق بالطلاق قياس فالمسألة محل تأمل.</w:t>
      </w:r>
      <w:r>
        <w:rPr>
          <w:rStyle w:val="FootnoteReference"/>
          <w:color w:val="0000FF"/>
          <w:rtl/>
        </w:rPr>
        <w:footnoteReference w:id="7"/>
      </w:r>
    </w:p>
    <w:p w:rsidR="004A6127" w:rsidRDefault="006D207C" w:rsidP="00834D95">
      <w:pPr>
        <w:jc w:val="both"/>
        <w:rPr>
          <w:rtl/>
        </w:rPr>
      </w:pPr>
      <w:r>
        <w:rPr>
          <w:rFonts w:hint="cs"/>
          <w:rtl/>
        </w:rPr>
        <w:t>مرحوم سید عده‌ی زنی را که حیض نمی بیند، چهل و پنج روز ذکر کرده است.</w:t>
      </w:r>
    </w:p>
    <w:p w:rsidR="006D207C" w:rsidRDefault="006D207C" w:rsidP="008E70CD">
      <w:pPr>
        <w:jc w:val="both"/>
        <w:rPr>
          <w:rtl/>
        </w:rPr>
      </w:pPr>
      <w:r>
        <w:rPr>
          <w:rFonts w:hint="cs"/>
          <w:rtl/>
        </w:rPr>
        <w:t>گفتیم روایات چهل و پنج روز اختصاصی به زنانی که حیض نمی بینند، ندارد و زنانی که حیض می بینند نیز مشمول روایات چهل و پنج روز می شوند؛ زیرا نمی توان فرد ظاهر</w:t>
      </w:r>
      <w:r w:rsidR="002F4BB3">
        <w:rPr>
          <w:rFonts w:hint="cs"/>
          <w:rtl/>
        </w:rPr>
        <w:t xml:space="preserve"> و متعارف</w:t>
      </w:r>
      <w:r>
        <w:rPr>
          <w:rFonts w:hint="cs"/>
          <w:rtl/>
        </w:rPr>
        <w:t xml:space="preserve"> روایت را از آن خارج کرد.</w:t>
      </w:r>
    </w:p>
    <w:p w:rsidR="008E70CD" w:rsidRDefault="008E70CD" w:rsidP="008E70CD">
      <w:pPr>
        <w:jc w:val="both"/>
        <w:rPr>
          <w:rtl/>
        </w:rPr>
      </w:pPr>
      <w:r>
        <w:rPr>
          <w:rFonts w:hint="cs"/>
          <w:rtl/>
        </w:rPr>
        <w:t xml:space="preserve">مرحوم سید می فرماید: </w:t>
      </w:r>
      <w:r w:rsidRPr="002D6C47">
        <w:rPr>
          <w:rFonts w:hint="cs"/>
          <w:color w:val="0000FF"/>
          <w:rtl/>
        </w:rPr>
        <w:t>و الأحوط خمسة و أربعون يوما بلياليها</w:t>
      </w:r>
    </w:p>
    <w:p w:rsidR="008E70CD" w:rsidRDefault="008E70CD" w:rsidP="00AF7D2C">
      <w:pPr>
        <w:jc w:val="both"/>
        <w:rPr>
          <w:rtl/>
        </w:rPr>
      </w:pPr>
      <w:r>
        <w:rPr>
          <w:rFonts w:hint="cs"/>
          <w:rtl/>
        </w:rPr>
        <w:t xml:space="preserve">روایت بزنطی عده را چهل و پنج روز و احتیاطا چهل و پنج شب بیان کرده </w:t>
      </w:r>
      <w:r w:rsidR="00AF7D2C">
        <w:rPr>
          <w:rFonts w:hint="cs"/>
          <w:rtl/>
        </w:rPr>
        <w:t>است</w:t>
      </w:r>
      <w:r>
        <w:rPr>
          <w:rFonts w:hint="cs"/>
          <w:rtl/>
        </w:rPr>
        <w:t>.</w:t>
      </w:r>
      <w:r w:rsidR="00B83093">
        <w:rPr>
          <w:rFonts w:hint="cs"/>
          <w:rtl/>
        </w:rPr>
        <w:t xml:space="preserve"> گفتیم چهل و پنج شب به معنای چهل و پنج شبانه روز می باشد و احوط هم از این باب نیست که نمی دانیم حکم شرعی چیست. شارع مقدس یک حکم استحبابی جعل کرده است تا مصالح واقعی بیش تر تامین شود. چهل و پنج شبانه روز بیش تر مصالح واقعی را حفظ می کند.</w:t>
      </w:r>
      <w:r w:rsidR="00266EDE">
        <w:rPr>
          <w:rFonts w:hint="cs"/>
          <w:rtl/>
        </w:rPr>
        <w:t xml:space="preserve"> احوط در روایت بزنطی با احوط در کلام سید فرق دارند.</w:t>
      </w:r>
    </w:p>
    <w:p w:rsidR="00266EDE" w:rsidRDefault="00020CD5" w:rsidP="008E70CD">
      <w:pPr>
        <w:jc w:val="both"/>
        <w:rPr>
          <w:rtl/>
        </w:rPr>
      </w:pPr>
      <w:r>
        <w:rPr>
          <w:rFonts w:hint="cs"/>
          <w:rtl/>
        </w:rPr>
        <w:t xml:space="preserve">سپس مرحوم سید می فرماید: </w:t>
      </w:r>
      <w:r w:rsidRPr="002D6C47">
        <w:rPr>
          <w:rFonts w:hint="cs"/>
          <w:color w:val="0000FF"/>
          <w:rtl/>
        </w:rPr>
        <w:t>كما انّ الأحوط عدم كفاية التلفيق</w:t>
      </w:r>
    </w:p>
    <w:p w:rsidR="00D23BA1" w:rsidRDefault="00020CD5" w:rsidP="008E70CD">
      <w:pPr>
        <w:jc w:val="both"/>
        <w:rPr>
          <w:rtl/>
        </w:rPr>
      </w:pPr>
      <w:r>
        <w:rPr>
          <w:rFonts w:hint="cs"/>
          <w:rtl/>
        </w:rPr>
        <w:t xml:space="preserve">گاهی انقضاء اجل در ازدواج موقت در روز می باشد. اگر چهل و پنج روز را بدون تلفیق </w:t>
      </w:r>
      <w:r w:rsidR="009535AB">
        <w:rPr>
          <w:rFonts w:hint="cs"/>
          <w:rtl/>
        </w:rPr>
        <w:t xml:space="preserve">و کامل </w:t>
      </w:r>
      <w:r>
        <w:rPr>
          <w:rFonts w:hint="cs"/>
          <w:rtl/>
        </w:rPr>
        <w:t>در نظر بگیریم، نباید</w:t>
      </w:r>
      <w:r w:rsidR="009535AB">
        <w:rPr>
          <w:rFonts w:hint="cs"/>
          <w:rtl/>
        </w:rPr>
        <w:t xml:space="preserve"> روز اول که انقضاء اجل وس</w:t>
      </w:r>
      <w:r w:rsidR="0048702F">
        <w:rPr>
          <w:rFonts w:hint="cs"/>
          <w:rtl/>
        </w:rPr>
        <w:t>ط آن روز بوده است در نظر بگیریم</w:t>
      </w:r>
      <w:r w:rsidR="00465A83">
        <w:rPr>
          <w:rStyle w:val="FootnoteReference"/>
          <w:rtl/>
        </w:rPr>
        <w:footnoteReference w:id="8"/>
      </w:r>
      <w:r w:rsidR="0048702F">
        <w:rPr>
          <w:rFonts w:hint="cs"/>
          <w:rtl/>
        </w:rPr>
        <w:t>؛ بلکه</w:t>
      </w:r>
      <w:r w:rsidR="00457CE5">
        <w:rPr>
          <w:rFonts w:hint="cs"/>
          <w:rtl/>
        </w:rPr>
        <w:t xml:space="preserve"> باید</w:t>
      </w:r>
      <w:r w:rsidR="0048702F">
        <w:rPr>
          <w:rFonts w:hint="cs"/>
          <w:rtl/>
        </w:rPr>
        <w:t xml:space="preserve"> از طلوع آفتاب یا طلوع فجر روز بعدی، چهل و پنج روز را در نظر بگیریم.</w:t>
      </w:r>
      <w:r w:rsidR="00465A83">
        <w:rPr>
          <w:rFonts w:hint="cs"/>
          <w:rtl/>
        </w:rPr>
        <w:t xml:space="preserve"> </w:t>
      </w:r>
      <w:r w:rsidR="004C3E1D">
        <w:rPr>
          <w:rFonts w:hint="cs"/>
          <w:rtl/>
        </w:rPr>
        <w:t>در این صورت چهل و پنج روز از چهل و پنج شبانه روز بیش تر می شود.</w:t>
      </w:r>
    </w:p>
    <w:p w:rsidR="008E70CD" w:rsidRDefault="00D23BA1" w:rsidP="008E70CD">
      <w:pPr>
        <w:jc w:val="both"/>
        <w:rPr>
          <w:rtl/>
        </w:rPr>
      </w:pPr>
      <w:r>
        <w:rPr>
          <w:rFonts w:hint="cs"/>
          <w:rtl/>
        </w:rPr>
        <w:t>اما اگر تلفیق را در نظر بگیریم و انقضاء اجل در روز باشد، چهل و پنج روز با چهل و پنج شبانه روز برابر می شود.</w:t>
      </w:r>
    </w:p>
    <w:p w:rsidR="00020CD5" w:rsidRDefault="00943088" w:rsidP="008E70CD">
      <w:pPr>
        <w:jc w:val="both"/>
        <w:rPr>
          <w:rtl/>
        </w:rPr>
      </w:pPr>
      <w:r>
        <w:rPr>
          <w:rFonts w:hint="cs"/>
          <w:rtl/>
        </w:rPr>
        <w:lastRenderedPageBreak/>
        <w:t>البته احتیاط بیش از چهل و پنج شبانه روز، احتیاط قوی نمی باشد. اگر بین روایات چهل و پنج روز و چهل و پنج شب جمع کنیم، حداکثر چهل و پنج شبانه روز را باید در نظر بگیریم.</w:t>
      </w:r>
    </w:p>
    <w:p w:rsidR="006D4A04" w:rsidRDefault="006D4A04" w:rsidP="008E70CD">
      <w:pPr>
        <w:jc w:val="both"/>
        <w:rPr>
          <w:rtl/>
        </w:rPr>
      </w:pPr>
      <w:r>
        <w:rPr>
          <w:rFonts w:hint="cs"/>
          <w:rtl/>
        </w:rPr>
        <w:t xml:space="preserve">البته آیت الله والد احد الامرین را معتبر دانسته است؛ در این صورت نیز احد الامرین همواره زودتر از </w:t>
      </w:r>
      <w:r w:rsidR="00C52145">
        <w:rPr>
          <w:rFonts w:hint="cs"/>
          <w:rtl/>
        </w:rPr>
        <w:t>چهل و پنج شبانه روز محقق می شود؛ زیرا اگر انقضاء اجل وسط روز باشد، چهل و پنج شب زودتر سپری می شود و اگر انقضاء اجل وسط شب باشد، چهل و پنج روز زودتر سپری می شود.</w:t>
      </w:r>
    </w:p>
    <w:p w:rsidR="001A43BB" w:rsidRDefault="001A43BB" w:rsidP="008E70CD">
      <w:pPr>
        <w:jc w:val="both"/>
        <w:rPr>
          <w:rtl/>
        </w:rPr>
      </w:pPr>
      <w:r>
        <w:rPr>
          <w:rFonts w:hint="cs"/>
          <w:rtl/>
        </w:rPr>
        <w:t>استفاده‌ی چهل و پنج روز بدون تلفیق از روایات دشوار است.</w:t>
      </w:r>
      <w:r w:rsidR="00F830C6">
        <w:rPr>
          <w:rFonts w:hint="cs"/>
          <w:rtl/>
        </w:rPr>
        <w:t xml:space="preserve"> البته از عبارت مرحوم سید استفاده می شود که احتیاط را چهل و پنج شبانه روز کامل در نظر گرفته است.</w:t>
      </w:r>
    </w:p>
    <w:p w:rsidR="006642EA" w:rsidRDefault="00F830C6" w:rsidP="003E78F0">
      <w:pPr>
        <w:jc w:val="both"/>
        <w:rPr>
          <w:rtl/>
        </w:rPr>
      </w:pPr>
      <w:r>
        <w:rPr>
          <w:rFonts w:hint="cs"/>
          <w:rtl/>
        </w:rPr>
        <w:t xml:space="preserve">مرحوم سید اولا شب را به روز ضمیمه کرده است و ثانیا تلفیق را </w:t>
      </w:r>
      <w:r w:rsidR="00BA2295">
        <w:rPr>
          <w:rFonts w:hint="cs"/>
          <w:rtl/>
        </w:rPr>
        <w:t>کافی ندانسته است.</w:t>
      </w:r>
      <w:r w:rsidR="00742FC7">
        <w:rPr>
          <w:rFonts w:hint="cs"/>
          <w:rtl/>
        </w:rPr>
        <w:t xml:space="preserve"> در عرب، روز ادامه‌ی شب بوده است؛ یعنی </w:t>
      </w:r>
      <w:r w:rsidR="006642EA">
        <w:rPr>
          <w:rFonts w:hint="cs"/>
          <w:rtl/>
        </w:rPr>
        <w:t>آغاز شبانه روز از شب بوده است؛ در نتیجه چهل و پنج روز به ضمیمه‌ی چهل و پنج شب، از شب آغاز می شود. در نتیجه انقضاء اجل در هر زمان از شبانه روز باشد، چهل و پنج روز به ضمیمه‌ی چهل و پنج شب از ابتدای شب بعد محاسبه می شود.</w:t>
      </w:r>
      <w:r w:rsidR="004908EF">
        <w:rPr>
          <w:rFonts w:hint="cs"/>
          <w:rtl/>
        </w:rPr>
        <w:t xml:space="preserve"> یعنی اگر انقضاء اجل در روز باشد، آن روز محاسبه نشده و از ابتدای شب عده محاسبه می شود و اگر انقضاء اجل در شب باشد، آن شب و روز بعدش محاسبه نشده و از شب بعد عده محاسبه می شود.</w:t>
      </w:r>
    </w:p>
    <w:p w:rsidR="005638AA" w:rsidRDefault="005638AA" w:rsidP="003E78F0">
      <w:pPr>
        <w:jc w:val="both"/>
        <w:rPr>
          <w:rtl/>
        </w:rPr>
      </w:pPr>
      <w:r w:rsidRPr="00936596">
        <w:rPr>
          <w:rFonts w:hint="cs"/>
          <w:highlight w:val="yellow"/>
          <w:rtl/>
        </w:rPr>
        <w:t xml:space="preserve">به </w:t>
      </w:r>
      <w:r>
        <w:rPr>
          <w:rFonts w:hint="cs"/>
          <w:rtl/>
        </w:rPr>
        <w:t>نظر می رسد کفایت تلفیق در شبانه روز روشن تر است.</w:t>
      </w:r>
    </w:p>
    <w:p w:rsidR="00936596" w:rsidRDefault="00936596" w:rsidP="003E78F0">
      <w:pPr>
        <w:jc w:val="both"/>
        <w:rPr>
          <w:rtl/>
        </w:rPr>
      </w:pPr>
      <w:r>
        <w:rPr>
          <w:rFonts w:hint="cs"/>
          <w:rtl/>
        </w:rPr>
        <w:t>ظاهرا هر دو احتیاطی که مرحوم سید بیان کرده است، احتیاط استحبابی است.</w:t>
      </w:r>
    </w:p>
    <w:p w:rsidR="00F546B1" w:rsidRDefault="00F546B1" w:rsidP="003E78F0">
      <w:pPr>
        <w:jc w:val="both"/>
        <w:rPr>
          <w:rtl/>
        </w:rPr>
      </w:pPr>
      <w:r>
        <w:rPr>
          <w:rFonts w:hint="cs"/>
          <w:rtl/>
        </w:rPr>
        <w:t xml:space="preserve">سپس مرحوم سید می فرماید: </w:t>
      </w:r>
      <w:r w:rsidRPr="002D6C47">
        <w:rPr>
          <w:rFonts w:hint="cs"/>
          <w:color w:val="0000FF"/>
          <w:rtl/>
        </w:rPr>
        <w:t>و إذا كان انقضاء المدة في أول ليلة من الشهر يمكن أن يقال بكفاية ذلك الشهر، و إن كان ناقصا و ضم نصف الشهر الثاني لما مر مكررا من انّ الشهر منصرف إلى الهلالي</w:t>
      </w:r>
    </w:p>
    <w:p w:rsidR="00F546B1" w:rsidRDefault="00F546B1" w:rsidP="004D6E21">
      <w:pPr>
        <w:jc w:val="both"/>
        <w:rPr>
          <w:rtl/>
        </w:rPr>
      </w:pPr>
      <w:r>
        <w:rPr>
          <w:rFonts w:hint="cs"/>
          <w:rtl/>
        </w:rPr>
        <w:t>ممکن است انقضاء مدت مثلا یک ساعت قبل از شب اول ماه باشد و لزومی ندارد دقیقا اول شب باشد. مرحوم سید در این صورت سپری شدن این ماه هلالی و نصف ماه بعدی را در انقضای عده کافی می داند.</w:t>
      </w:r>
      <w:r w:rsidR="00106B71">
        <w:rPr>
          <w:rFonts w:hint="cs"/>
          <w:rtl/>
        </w:rPr>
        <w:t xml:space="preserve"> البته بستگی دارد که روایات یک ماه و نیم و روایات چهل و پنج روز را چگونه با هم جمع کنیم.</w:t>
      </w:r>
      <w:r w:rsidR="004D6E21">
        <w:rPr>
          <w:rFonts w:hint="cs"/>
          <w:rtl/>
        </w:rPr>
        <w:t xml:space="preserve"> اگر احد الامرین را کافی بدانیم، این بیان مرحوم سید اشکال ندارد؛ اما ممکن است مراد از «شهر»، ماه عددی ( سی روز) باشد. گر چه «شهر» به ماه هلالی انصراف دارد؛ ا</w:t>
      </w:r>
      <w:r w:rsidR="00FF2018">
        <w:rPr>
          <w:rFonts w:hint="cs"/>
          <w:rtl/>
        </w:rPr>
        <w:t xml:space="preserve">ما در سی روز نیز استعمال می شود و روایات متعددی که چهل و پنج روز را </w:t>
      </w:r>
      <w:r w:rsidR="00B66C57">
        <w:rPr>
          <w:rFonts w:hint="cs"/>
          <w:rtl/>
        </w:rPr>
        <w:t xml:space="preserve">در عده‌ی متعه </w:t>
      </w:r>
      <w:r w:rsidR="00FF2018">
        <w:rPr>
          <w:rFonts w:hint="cs"/>
          <w:rtl/>
        </w:rPr>
        <w:t>ملاک قرار داده است قرینه می شود بر این که مراد از یک ماه و نیم، چهل و پنج روز است و مراد از «شهر»،</w:t>
      </w:r>
      <w:r w:rsidR="00E21594">
        <w:rPr>
          <w:rFonts w:hint="cs"/>
          <w:rtl/>
        </w:rPr>
        <w:t xml:space="preserve"> ماه عددی است؛ به خصوص در مورد ماه دوم که نم</w:t>
      </w:r>
      <w:r w:rsidR="009D2711">
        <w:rPr>
          <w:rFonts w:hint="cs"/>
          <w:rtl/>
        </w:rPr>
        <w:t xml:space="preserve">ی دانیم، ناقص </w:t>
      </w:r>
      <w:r w:rsidR="009D2711">
        <w:rPr>
          <w:rFonts w:hint="cs"/>
          <w:rtl/>
        </w:rPr>
        <w:lastRenderedPageBreak/>
        <w:t>خواهد بود یا کامل و نصف آن چه مقدار خواهد بود. در نظر گرفتن نصف ماه به لحاظ ماه کامل، موید عددی در نظر گرفتن ماه می باشد.</w:t>
      </w:r>
    </w:p>
    <w:p w:rsidR="009D2711" w:rsidRDefault="009D2711" w:rsidP="004D6E21">
      <w:pPr>
        <w:jc w:val="both"/>
        <w:rPr>
          <w:rtl/>
        </w:rPr>
      </w:pPr>
      <w:r>
        <w:rPr>
          <w:rFonts w:hint="cs"/>
          <w:rtl/>
        </w:rPr>
        <w:t>در نتیجه ملاک چهل و پنج روز است و یک ماه و نیم به آن باز می گردد.</w:t>
      </w:r>
    </w:p>
    <w:p w:rsidR="00F546B1" w:rsidRDefault="00EA0BD3" w:rsidP="003E78F0">
      <w:pPr>
        <w:jc w:val="both"/>
        <w:rPr>
          <w:rtl/>
        </w:rPr>
      </w:pPr>
      <w:r>
        <w:rPr>
          <w:rFonts w:hint="cs"/>
          <w:rtl/>
        </w:rPr>
        <w:t xml:space="preserve">سپس مرحوم سید می فرماید: </w:t>
      </w:r>
      <w:r w:rsidRPr="002D6C47">
        <w:rPr>
          <w:rFonts w:hint="cs"/>
          <w:color w:val="0000FF"/>
          <w:rtl/>
        </w:rPr>
        <w:t>لكن الأحوط عدم الاكتفاء به</w:t>
      </w:r>
    </w:p>
    <w:p w:rsidR="00EA0BD3" w:rsidRDefault="00EA0BD3" w:rsidP="003E78F0">
      <w:pPr>
        <w:jc w:val="both"/>
        <w:rPr>
          <w:rtl/>
        </w:rPr>
      </w:pPr>
      <w:r>
        <w:rPr>
          <w:rFonts w:hint="cs"/>
          <w:rtl/>
        </w:rPr>
        <w:t>گفتیم اقوی عدم اکتفا به ماه هلالی است و باید ماه عددی ملاحظه شود.</w:t>
      </w:r>
    </w:p>
    <w:p w:rsidR="00EA0BD3" w:rsidRDefault="00E916A8" w:rsidP="003E78F0">
      <w:pPr>
        <w:jc w:val="both"/>
        <w:rPr>
          <w:rtl/>
        </w:rPr>
      </w:pPr>
      <w:r>
        <w:rPr>
          <w:rFonts w:hint="cs"/>
          <w:rtl/>
        </w:rPr>
        <w:t>سپس مرحوم سید می فرماید:</w:t>
      </w:r>
    </w:p>
    <w:p w:rsidR="00102E27" w:rsidRPr="00102E27" w:rsidRDefault="00E916A8" w:rsidP="00102E27">
      <w:pPr>
        <w:jc w:val="both"/>
        <w:rPr>
          <w:color w:val="0000FF"/>
          <w:rtl/>
        </w:rPr>
      </w:pPr>
      <w:r w:rsidRPr="002D6C47">
        <w:rPr>
          <w:rFonts w:hint="cs"/>
          <w:color w:val="0000FF"/>
          <w:rtl/>
        </w:rPr>
        <w:t>ثمّ إذا كانت تحيض لكن لم تكن مستقيمة الحيض فالظاهر انّ عدتها أسبق الأمرين من الحيضتين و خمسة و أربعين يوما كما في الطلاق، و كذا إذا كان حيضها مستقيما لكن كان الطهر بين الحيضتين خمسة و أربعين أو أزيد</w:t>
      </w:r>
      <w:r w:rsidR="00102E27">
        <w:rPr>
          <w:rFonts w:hint="cs"/>
          <w:color w:val="0000FF"/>
          <w:rtl/>
        </w:rPr>
        <w:t xml:space="preserve"> ...</w:t>
      </w:r>
    </w:p>
    <w:p w:rsidR="00E916A8" w:rsidRDefault="00102E27" w:rsidP="006F1433">
      <w:pPr>
        <w:jc w:val="both"/>
        <w:rPr>
          <w:rtl/>
        </w:rPr>
      </w:pPr>
      <w:r>
        <w:rPr>
          <w:rFonts w:hint="cs"/>
          <w:rtl/>
        </w:rPr>
        <w:t>در طلاق</w:t>
      </w:r>
      <w:r w:rsidR="00F57EB0">
        <w:rPr>
          <w:rFonts w:hint="cs"/>
          <w:rtl/>
        </w:rPr>
        <w:t xml:space="preserve"> به واسطه‌ی</w:t>
      </w:r>
      <w:r>
        <w:rPr>
          <w:rFonts w:hint="cs"/>
          <w:rtl/>
        </w:rPr>
        <w:t xml:space="preserve"> احد الامرین </w:t>
      </w:r>
      <w:r w:rsidR="006F1433">
        <w:rPr>
          <w:rFonts w:hint="cs"/>
          <w:rtl/>
        </w:rPr>
        <w:t>( سه ماه یا</w:t>
      </w:r>
      <w:r>
        <w:rPr>
          <w:rFonts w:hint="cs"/>
          <w:rtl/>
        </w:rPr>
        <w:t xml:space="preserve"> سه قرء که </w:t>
      </w:r>
      <w:r w:rsidR="00F57EB0">
        <w:rPr>
          <w:rFonts w:hint="cs"/>
          <w:rtl/>
        </w:rPr>
        <w:t>زودتر سپری شود</w:t>
      </w:r>
      <w:r w:rsidR="006F1433">
        <w:rPr>
          <w:rFonts w:hint="cs"/>
          <w:rtl/>
        </w:rPr>
        <w:t>)</w:t>
      </w:r>
      <w:r w:rsidR="00F57EB0">
        <w:rPr>
          <w:rFonts w:hint="cs"/>
          <w:rtl/>
        </w:rPr>
        <w:t>، عده‌</w:t>
      </w:r>
      <w:r>
        <w:rPr>
          <w:rFonts w:hint="cs"/>
          <w:rtl/>
        </w:rPr>
        <w:t xml:space="preserve"> منقضی می شود. آیا در انقضاء اجل متعه نیز اسبق الامرین ملاک است؟</w:t>
      </w:r>
    </w:p>
    <w:p w:rsidR="00102E27" w:rsidRDefault="00102E27" w:rsidP="003E78F0">
      <w:pPr>
        <w:jc w:val="both"/>
        <w:rPr>
          <w:rtl/>
        </w:rPr>
      </w:pPr>
      <w:r>
        <w:rPr>
          <w:rFonts w:hint="cs"/>
          <w:rtl/>
        </w:rPr>
        <w:t xml:space="preserve">صاحب جواهر اسبق الامرین را ملاک قرار داده است </w:t>
      </w:r>
      <w:r w:rsidR="00FD33A7">
        <w:rPr>
          <w:rFonts w:hint="cs"/>
          <w:rtl/>
        </w:rPr>
        <w:t>و گفته است که خیلی بعید است عده‌ی متعه از عده‌ی طلاق بیش تر شود؛ ممکن است دو حیض ماه ها طول بکشد. در طلاق اگر فاصله‌ی دو حیض از سه ماه بیش تر شود، عده با گذشت سه ماه سپری می شود؛ اما عدم کفایت چهل و پنج روز در متعه خیلی بعید است.</w:t>
      </w:r>
      <w:r w:rsidR="0063698C">
        <w:rPr>
          <w:rFonts w:hint="cs"/>
          <w:rtl/>
        </w:rPr>
        <w:t xml:space="preserve"> همین قرینه است بر این که احد الامرین کفایت می کند.</w:t>
      </w:r>
    </w:p>
    <w:p w:rsidR="0063698C" w:rsidRDefault="0063698C" w:rsidP="003E78F0">
      <w:pPr>
        <w:jc w:val="both"/>
        <w:rPr>
          <w:rtl/>
        </w:rPr>
      </w:pPr>
      <w:r>
        <w:rPr>
          <w:rFonts w:hint="cs"/>
          <w:rtl/>
        </w:rPr>
        <w:t xml:space="preserve">مرحوم سید نیز همین </w:t>
      </w:r>
      <w:r w:rsidR="0012671C">
        <w:rPr>
          <w:rFonts w:hint="cs"/>
          <w:rtl/>
        </w:rPr>
        <w:t xml:space="preserve">مطلب را ظاهرا پذیرفته است؛ اما چنین تعبیر کرده است: </w:t>
      </w:r>
      <w:r w:rsidR="0012671C" w:rsidRPr="002D6C47">
        <w:rPr>
          <w:rFonts w:hint="cs"/>
          <w:color w:val="0000FF"/>
          <w:rtl/>
        </w:rPr>
        <w:t>لكن لا يخلو عن إشكال لأنّ الحكم بالأشهر معلق في الأخبار على عدم الحيض</w:t>
      </w:r>
    </w:p>
    <w:p w:rsidR="0063698C" w:rsidRDefault="0012671C" w:rsidP="003E78F0">
      <w:pPr>
        <w:jc w:val="both"/>
        <w:rPr>
          <w:rtl/>
        </w:rPr>
      </w:pPr>
      <w:r>
        <w:rPr>
          <w:rFonts w:hint="cs"/>
          <w:rtl/>
        </w:rPr>
        <w:t>بنابراین زنی که حیض می بیند، باید دو حیض را ملاحظه کند گر چه بیش از چهل و پنج روز طول بکشد.</w:t>
      </w:r>
    </w:p>
    <w:p w:rsidR="00102E27" w:rsidRDefault="0012671C" w:rsidP="003E78F0">
      <w:pPr>
        <w:jc w:val="both"/>
        <w:rPr>
          <w:rtl/>
        </w:rPr>
      </w:pPr>
      <w:r w:rsidRPr="002D6C47">
        <w:rPr>
          <w:rFonts w:hint="cs"/>
          <w:color w:val="0000FF"/>
          <w:rtl/>
        </w:rPr>
        <w:t>و لذا لم يتعرض العلماء لهذا الفرع في المقام و الإلحاق بالطلاق قياس فالمسألة محل تأمل</w:t>
      </w:r>
    </w:p>
    <w:p w:rsidR="00E916A8" w:rsidRDefault="0012671C" w:rsidP="003E78F0">
      <w:pPr>
        <w:jc w:val="both"/>
        <w:rPr>
          <w:rtl/>
        </w:rPr>
      </w:pPr>
      <w:r>
        <w:rPr>
          <w:rFonts w:hint="cs"/>
          <w:rtl/>
        </w:rPr>
        <w:t>البته نحوه‌ی بحث ما با بحث صاحب جواهر و سید یزدی متفاوت بود. ما چهل و پنج روز را در زنان ذات الشهور منحصر نکردیم؛ بلکه گفتیم شامل زنان ذات الاقراء نیز می شود و در نتیجه احد الامرین ( چهل و پنج روز و یک حیض) را کافی دانستیم.</w:t>
      </w:r>
    </w:p>
    <w:p w:rsidR="004B0649" w:rsidRDefault="004B0649" w:rsidP="003E78F0">
      <w:pPr>
        <w:jc w:val="both"/>
        <w:rPr>
          <w:rtl/>
        </w:rPr>
      </w:pPr>
      <w:r>
        <w:rPr>
          <w:rFonts w:hint="cs"/>
          <w:rtl/>
        </w:rPr>
        <w:t>طبق قول سید یزدی که دو حیض را پذیرفت، عده‌ی متعه احد الامرین از چهل و پنج روز و دو حیض است. در متعارف زنان دو حیض مستحب خواهد بود؛ زیرا در متعارف موارد چهل و پنج روز قبل از دو حیض سپری می شود.</w:t>
      </w:r>
    </w:p>
    <w:p w:rsidR="00020CD5" w:rsidRDefault="00210EFF" w:rsidP="00210EFF">
      <w:pPr>
        <w:pStyle w:val="Heading1"/>
        <w:rPr>
          <w:rtl/>
        </w:rPr>
      </w:pPr>
      <w:bookmarkStart w:id="3" w:name="_Toc63794423"/>
      <w:bookmarkStart w:id="4" w:name="_Toc63797306"/>
      <w:r>
        <w:rPr>
          <w:rFonts w:hint="cs"/>
          <w:rtl/>
        </w:rPr>
        <w:lastRenderedPageBreak/>
        <w:t>مساله‌ی ششم تکمله‌ی عروه</w:t>
      </w:r>
      <w:bookmarkEnd w:id="3"/>
      <w:bookmarkEnd w:id="4"/>
    </w:p>
    <w:p w:rsidR="004A6127" w:rsidRPr="002D6C47" w:rsidRDefault="004A6127" w:rsidP="004A6127">
      <w:pPr>
        <w:jc w:val="both"/>
        <w:rPr>
          <w:color w:val="0000FF"/>
          <w:rtl/>
        </w:rPr>
      </w:pPr>
      <w:r w:rsidRPr="002D6C47">
        <w:rPr>
          <w:rFonts w:hint="cs"/>
          <w:color w:val="0000FF"/>
          <w:rtl/>
        </w:rPr>
        <w:t>مسألة 6: تعتد المتمتع بها إذا كانت حرّة من الوفاة بأربعة أشهر و عشرة أيام</w:t>
      </w:r>
      <w:r w:rsidRPr="002D6C47">
        <w:rPr>
          <w:rFonts w:hint="cs"/>
          <w:color w:val="0000FF"/>
        </w:rPr>
        <w:t>‌</w:t>
      </w:r>
      <w:r w:rsidRPr="002D6C47">
        <w:rPr>
          <w:rFonts w:hint="cs"/>
          <w:color w:val="0000FF"/>
          <w:rtl/>
        </w:rPr>
        <w:t xml:space="preserve"> إذا كانت حائلا و لو مع عدم الدخول بها أو كانت يائسة على المشهور للآية وَ الَّذِينَ يُتَوَفَّوْنَ إلى آخره و صحيح ابن الحجاج سألته «عن المرأة يتزوجها الرجل متعة ثمّ يتوفى عنها هل عليها عدة قال: تعتد بأربعة أشهر و عشرا». و صحيحة زرارة السابقة «يا زرارة‌ كلّ النكاح إذا مات الزوج فعلى المرأة حرّة كانت أو أمة و على أىّ وجه كان النكاح متعة أو تزويجا أو ملك يمين فالعدة أربعة أشهر و عشر». هذا و لكن عن المفيد و المرتضى و بعض آخر انّها تعتد شهرين و خمسة أيام لأنّها كالأمة حال الحياة فكذلك بعد الموت.</w:t>
      </w:r>
    </w:p>
    <w:p w:rsidR="004A6127" w:rsidRPr="002D6C47" w:rsidRDefault="004A6127" w:rsidP="004A6127">
      <w:pPr>
        <w:jc w:val="both"/>
        <w:rPr>
          <w:color w:val="0000FF"/>
          <w:rtl/>
        </w:rPr>
      </w:pPr>
      <w:r w:rsidRPr="002D6C47">
        <w:rPr>
          <w:rFonts w:hint="cs"/>
          <w:color w:val="0000FF"/>
          <w:rtl/>
        </w:rPr>
        <w:t>و فيه: انّه قياس فاسد و لمرسل الحلبي عن أبى عبد اللّه (ع) «سألته عن رجل تزوج امرأة متعة ثمّ مات عنها ما عدتها قال: خمسة و ستون يوما».</w:t>
      </w:r>
    </w:p>
    <w:p w:rsidR="004A6127" w:rsidRPr="002D6C47" w:rsidRDefault="004A6127" w:rsidP="004A6127">
      <w:pPr>
        <w:jc w:val="both"/>
        <w:rPr>
          <w:color w:val="0000FF"/>
          <w:rtl/>
        </w:rPr>
      </w:pPr>
      <w:r w:rsidRPr="002D6C47">
        <w:rPr>
          <w:rFonts w:hint="cs"/>
          <w:color w:val="0000FF"/>
          <w:rtl/>
        </w:rPr>
        <w:t>و فيه: انّه لا يقاوم الصحيحين خصوصا مع ضعفه لأنّ في سنده الطاطري الواقفي الذي كان شديد العناد في مذهبه، فلا يبقى الإشكال فيما ذكره المشهور مع انّه موافق للاستصحاب، هذا و لو كانت حاملا فعدتها أبعد الأجلين بلا إشكال.</w:t>
      </w:r>
      <w:r>
        <w:rPr>
          <w:rStyle w:val="FootnoteReference"/>
          <w:color w:val="0000FF"/>
          <w:rtl/>
        </w:rPr>
        <w:footnoteReference w:id="9"/>
      </w:r>
    </w:p>
    <w:p w:rsidR="004A6127" w:rsidRDefault="00102201" w:rsidP="00102201">
      <w:pPr>
        <w:jc w:val="both"/>
        <w:rPr>
          <w:rtl/>
        </w:rPr>
      </w:pPr>
      <w:r>
        <w:rPr>
          <w:rFonts w:hint="cs"/>
          <w:rtl/>
        </w:rPr>
        <w:t xml:space="preserve">صاحب جواهر در مورد آیه </w:t>
      </w:r>
      <w:r w:rsidRPr="002D6C47">
        <w:rPr>
          <w:rFonts w:hint="cs"/>
          <w:color w:val="0000FF"/>
          <w:rtl/>
        </w:rPr>
        <w:t xml:space="preserve">وَ </w:t>
      </w:r>
      <w:r>
        <w:rPr>
          <w:rFonts w:hint="cs"/>
          <w:color w:val="0000FF"/>
          <w:rtl/>
        </w:rPr>
        <w:t>الَّذِينَ يُتَوَفَّوْنَ</w:t>
      </w:r>
      <w:r>
        <w:rPr>
          <w:rFonts w:hint="cs"/>
          <w:rtl/>
        </w:rPr>
        <w:t xml:space="preserve"> تعبیر</w:t>
      </w:r>
      <w:r w:rsidR="00486133">
        <w:rPr>
          <w:rFonts w:hint="cs"/>
          <w:rtl/>
        </w:rPr>
        <w:t xml:space="preserve"> «علی وجه» دارد؛ زیرا بحث</w:t>
      </w:r>
      <w:r w:rsidR="006F2325">
        <w:rPr>
          <w:rFonts w:hint="cs"/>
          <w:rtl/>
        </w:rPr>
        <w:t>ی</w:t>
      </w:r>
      <w:r w:rsidR="00486133">
        <w:rPr>
          <w:rFonts w:hint="cs"/>
          <w:rtl/>
        </w:rPr>
        <w:t xml:space="preserve"> وجود دارد که آیا ازواج شامل ازدواج موقت نیز می شود؟ به نظر ما اگر دلیل خاصی بر شمول نداشته باشیم، این اطلاقات شامل ازدواج موقت نمی شود.</w:t>
      </w:r>
      <w:r w:rsidR="000B5F98">
        <w:rPr>
          <w:rFonts w:hint="cs"/>
          <w:rtl/>
        </w:rPr>
        <w:t xml:space="preserve"> ممکن است به قرینه‌ی روایات گفته شود این آیه اطلاق دارد؛ اما صرف نظر از روایات شامل ازدواج موقت نمی شود.</w:t>
      </w:r>
    </w:p>
    <w:p w:rsidR="00406A57" w:rsidRPr="002D6C47" w:rsidRDefault="00406A57" w:rsidP="00406A57">
      <w:pPr>
        <w:jc w:val="both"/>
        <w:rPr>
          <w:color w:val="0000FF"/>
          <w:rtl/>
        </w:rPr>
      </w:pPr>
      <w:r w:rsidRPr="002D6C47">
        <w:rPr>
          <w:rFonts w:hint="cs"/>
          <w:color w:val="0000FF"/>
          <w:rtl/>
        </w:rPr>
        <w:t>و لكن عن المفيد و المرتضى و بعض آخر انّها تعتد شهرين و خمسة أيام لأنّها كالأمة حال الحياة فكذلك بعد الموت.</w:t>
      </w:r>
    </w:p>
    <w:p w:rsidR="00102201" w:rsidRDefault="00406A57" w:rsidP="00C123E3">
      <w:pPr>
        <w:jc w:val="both"/>
        <w:rPr>
          <w:rtl/>
        </w:rPr>
      </w:pPr>
      <w:r>
        <w:rPr>
          <w:rFonts w:hint="cs"/>
          <w:rtl/>
        </w:rPr>
        <w:t>به نظر می رسد این فقها به استصحاب تمسک کرده اند. عده‌ی متعه در زمان حیات زوج مانند امه بوده است، پس از موت نیز  با استصحاب حکم امه را بر</w:t>
      </w:r>
      <w:r w:rsidR="00C123E3">
        <w:rPr>
          <w:rFonts w:hint="cs"/>
          <w:rtl/>
        </w:rPr>
        <w:t>ای</w:t>
      </w:r>
      <w:r>
        <w:rPr>
          <w:rFonts w:hint="cs"/>
          <w:rtl/>
        </w:rPr>
        <w:t xml:space="preserve"> </w:t>
      </w:r>
      <w:r w:rsidR="00C123E3">
        <w:rPr>
          <w:rFonts w:hint="cs"/>
          <w:rtl/>
        </w:rPr>
        <w:t>زن</w:t>
      </w:r>
      <w:r>
        <w:rPr>
          <w:rFonts w:hint="cs"/>
          <w:rtl/>
        </w:rPr>
        <w:t xml:space="preserve"> ثابت می کنیم.</w:t>
      </w:r>
    </w:p>
    <w:p w:rsidR="00406A57" w:rsidRDefault="008C0B11" w:rsidP="004A6127">
      <w:pPr>
        <w:jc w:val="both"/>
        <w:rPr>
          <w:rtl/>
        </w:rPr>
      </w:pPr>
      <w:r>
        <w:rPr>
          <w:rFonts w:hint="cs"/>
          <w:rtl/>
        </w:rPr>
        <w:t>گفتیم دلیلی بر عموم تنزیل وجود ندارد و متعه فقط در عدم اعتبار عدد مانند امه می باشد و بیش از آن دلیل نداریم.</w:t>
      </w:r>
    </w:p>
    <w:p w:rsidR="00406A57" w:rsidRPr="00C309EF" w:rsidRDefault="0044100C" w:rsidP="00C309EF">
      <w:pPr>
        <w:jc w:val="both"/>
        <w:rPr>
          <w:color w:val="0000FF"/>
          <w:rtl/>
        </w:rPr>
      </w:pPr>
      <w:r>
        <w:rPr>
          <w:rFonts w:hint="cs"/>
          <w:rtl/>
        </w:rPr>
        <w:t xml:space="preserve">ممکن است </w:t>
      </w:r>
      <w:r w:rsidRPr="002D6C47">
        <w:rPr>
          <w:rFonts w:hint="cs"/>
          <w:color w:val="0000FF"/>
          <w:rtl/>
        </w:rPr>
        <w:t>لأنّها كالأمة حال الحياة فكذلك بعد الموت.</w:t>
      </w:r>
      <w:r>
        <w:rPr>
          <w:rFonts w:hint="cs"/>
          <w:color w:val="0000FF"/>
          <w:rtl/>
        </w:rPr>
        <w:t xml:space="preserve"> </w:t>
      </w:r>
      <w:r w:rsidR="00760F78">
        <w:rPr>
          <w:rFonts w:hint="cs"/>
          <w:color w:val="0000FF"/>
          <w:rtl/>
        </w:rPr>
        <w:t xml:space="preserve">را </w:t>
      </w:r>
      <w:r>
        <w:rPr>
          <w:rFonts w:hint="cs"/>
          <w:rtl/>
        </w:rPr>
        <w:t xml:space="preserve">این طور معنا کنیم که </w:t>
      </w:r>
      <w:r w:rsidR="006068B8">
        <w:rPr>
          <w:rFonts w:hint="cs"/>
          <w:rtl/>
        </w:rPr>
        <w:t>دلیل عموم تنزیلی که متعه را در حال حیات مانند امه قرار داده است، آن دلیل در زمان موت نیز جاری است. به این معنا هم اشکال می شود که چنین عموم تنزیلی نداریم.</w:t>
      </w:r>
    </w:p>
    <w:p w:rsidR="00102201" w:rsidRDefault="00C309EF" w:rsidP="00C309EF">
      <w:pPr>
        <w:pStyle w:val="Heading2"/>
        <w:rPr>
          <w:rtl/>
        </w:rPr>
      </w:pPr>
      <w:bookmarkStart w:id="5" w:name="_Toc63794424"/>
      <w:bookmarkStart w:id="6" w:name="_Toc63797307"/>
      <w:r>
        <w:rPr>
          <w:rFonts w:hint="cs"/>
          <w:rtl/>
        </w:rPr>
        <w:lastRenderedPageBreak/>
        <w:t>مرسله‌ی حلبی</w:t>
      </w:r>
      <w:bookmarkEnd w:id="5"/>
      <w:bookmarkEnd w:id="6"/>
    </w:p>
    <w:p w:rsidR="004A6127" w:rsidRPr="00413F2D" w:rsidRDefault="004A6127" w:rsidP="004A6127">
      <w:pPr>
        <w:jc w:val="both"/>
        <w:rPr>
          <w:color w:val="008000"/>
        </w:rPr>
      </w:pPr>
      <w:r w:rsidRPr="00413F2D">
        <w:rPr>
          <w:rFonts w:hint="cs"/>
          <w:rtl/>
        </w:rPr>
        <w:t xml:space="preserve">عَلِيُّ بْنُ الْحَسَنِ الطَّاطَرِيُّ قَالَ حَدَّثَنِي عُبَيْدُ اللَّهِ بْنُ عَلِيِّ بْنِ أَبِي شُعْبَةَ الْحَلَبِيُّ عَنْ أَبِيهِ عَنْ رَجُلٍ عَنْ أَبِي عَبْدِ اللَّهِ ع قَالَ: </w:t>
      </w:r>
      <w:r w:rsidRPr="00413F2D">
        <w:rPr>
          <w:rFonts w:hint="cs"/>
          <w:color w:val="008000"/>
          <w:rtl/>
        </w:rPr>
        <w:t>سَأَلْتُهُ عَنْ رَجُلٍ تَزَوَّجَ امْرَأَةً مُتْعَةً ثُمَ‏ مَاتَ‏ عَنْهَا مَا عِدَّتُهَا قَالَ خَمْسَةٌ وَ سِتُّونَ يَوْماً.</w:t>
      </w:r>
      <w:r>
        <w:rPr>
          <w:rStyle w:val="FootnoteReference"/>
          <w:color w:val="008000"/>
          <w:rtl/>
        </w:rPr>
        <w:footnoteReference w:id="10"/>
      </w:r>
    </w:p>
    <w:p w:rsidR="007C7B12" w:rsidRDefault="007C7B12" w:rsidP="004A6127">
      <w:pPr>
        <w:jc w:val="both"/>
        <w:rPr>
          <w:rtl/>
        </w:rPr>
      </w:pPr>
      <w:r>
        <w:rPr>
          <w:rFonts w:hint="cs"/>
          <w:rtl/>
        </w:rPr>
        <w:t xml:space="preserve">مرحوم سید می فرماید: </w:t>
      </w:r>
      <w:r w:rsidRPr="002D6C47">
        <w:rPr>
          <w:rFonts w:hint="cs"/>
          <w:color w:val="0000FF"/>
          <w:rtl/>
        </w:rPr>
        <w:t>و فيه: انّه لا يقاوم الصحيحين خصوصا مع ضعفه لأنّ في سنده الطاطري الواقفي الذي كان شديد العناد في مذهبه</w:t>
      </w:r>
    </w:p>
    <w:p w:rsidR="004A6127" w:rsidRDefault="00AB39DA" w:rsidP="004A6127">
      <w:pPr>
        <w:jc w:val="both"/>
        <w:rPr>
          <w:rtl/>
        </w:rPr>
      </w:pPr>
      <w:r>
        <w:rPr>
          <w:rFonts w:hint="cs"/>
          <w:rtl/>
        </w:rPr>
        <w:t>ضعف سند از جهت مرسل بودن واضح تر از تضعیف طاطری واقفی است. طاطری گر چه واقفی است؛ اما توثیق شده است و اگر ارسال سند مطرح نبود، روایت موثقه بود.</w:t>
      </w:r>
    </w:p>
    <w:p w:rsidR="004A6127" w:rsidRDefault="007D16DB" w:rsidP="004A6127">
      <w:pPr>
        <w:jc w:val="both"/>
        <w:rPr>
          <w:rtl/>
        </w:rPr>
      </w:pPr>
      <w:r w:rsidRPr="002D6C47">
        <w:rPr>
          <w:rFonts w:hint="cs"/>
          <w:color w:val="0000FF"/>
          <w:rtl/>
        </w:rPr>
        <w:t>مع انّه موافق للاستصحاب</w:t>
      </w:r>
    </w:p>
    <w:p w:rsidR="007D16DB" w:rsidRDefault="007D16DB" w:rsidP="004A6127">
      <w:pPr>
        <w:jc w:val="both"/>
        <w:rPr>
          <w:rtl/>
        </w:rPr>
      </w:pPr>
      <w:r>
        <w:rPr>
          <w:rFonts w:hint="cs"/>
          <w:rtl/>
        </w:rPr>
        <w:t>پس از دو ماه</w:t>
      </w:r>
      <w:r w:rsidR="00FC7DBA">
        <w:rPr>
          <w:rFonts w:hint="cs"/>
          <w:rtl/>
        </w:rPr>
        <w:t xml:space="preserve"> و</w:t>
      </w:r>
      <w:r>
        <w:rPr>
          <w:rFonts w:hint="cs"/>
          <w:rtl/>
        </w:rPr>
        <w:t xml:space="preserve"> پنج روز شک داریم زن معتده است یا عده منقضی شده است، تا چهار ماه و ده روز اعتداد زن را استصحاب می کنیم.</w:t>
      </w:r>
    </w:p>
    <w:p w:rsidR="007D16DB" w:rsidRPr="00926CBD" w:rsidRDefault="0081236E" w:rsidP="0081236E">
      <w:pPr>
        <w:pStyle w:val="Heading1"/>
        <w:rPr>
          <w:rtl/>
        </w:rPr>
      </w:pPr>
      <w:bookmarkStart w:id="7" w:name="_Toc63794425"/>
      <w:bookmarkStart w:id="8" w:name="_Toc63797308"/>
      <w:r>
        <w:rPr>
          <w:rFonts w:hint="cs"/>
          <w:rtl/>
        </w:rPr>
        <w:t>مساله‌ی هفتم تکمله‌ی عروه</w:t>
      </w:r>
      <w:bookmarkEnd w:id="7"/>
      <w:bookmarkEnd w:id="8"/>
    </w:p>
    <w:p w:rsidR="004A6127" w:rsidRPr="0081236E" w:rsidRDefault="004A6127" w:rsidP="0081236E">
      <w:pPr>
        <w:jc w:val="both"/>
        <w:rPr>
          <w:color w:val="0000FF"/>
          <w:rtl/>
        </w:rPr>
      </w:pPr>
      <w:r w:rsidRPr="00413F2D">
        <w:rPr>
          <w:rFonts w:hint="cs"/>
          <w:color w:val="0000FF"/>
          <w:rtl/>
        </w:rPr>
        <w:t>مسألة 7: إذا كانت المتمتع بها أمة فالمشهور انّ عدتها من الوفاة شهران و خمسة أيام</w:t>
      </w:r>
      <w:r w:rsidRPr="00413F2D">
        <w:rPr>
          <w:rFonts w:hint="cs"/>
          <w:color w:val="0000FF"/>
        </w:rPr>
        <w:t>‌</w:t>
      </w:r>
      <w:r w:rsidRPr="00413F2D">
        <w:rPr>
          <w:rFonts w:hint="cs"/>
          <w:color w:val="0000FF"/>
          <w:rtl/>
        </w:rPr>
        <w:t xml:space="preserve"> كما انّ المشهور في العقد الدائم كذلك لجملة من الأخبار الدالة على ذلك الشاملة بإطلاقها للمتعة أيضا، و قد مرت في المسائل السابقة، و الأقوى أنّها كالحرة عدتها أربعة أشهر و عشرا للأخبار المذكورة في عدة الأمة من الوفاة في العقد الدائم الشاملة بإطلاقها للمتعة، مع انّ صحيحة زرارة منها صريحة فيها من غير فرق بين كونها أم ولد لسيدها أولا، كما انّها كانت كذلك هناك، و إذا كانت حاملا فعدتها أبعد الأجلين، كل على مذهبه فعلى المختار أبعد الأجلين من الوضع و أربعة أشهر و عشرة أيام.</w:t>
      </w:r>
      <w:r>
        <w:rPr>
          <w:rStyle w:val="FootnoteReference"/>
          <w:color w:val="0000FF"/>
          <w:rtl/>
        </w:rPr>
        <w:footnoteReference w:id="11"/>
      </w:r>
    </w:p>
    <w:p w:rsidR="004A6127" w:rsidRDefault="0081236E" w:rsidP="0081236E">
      <w:pPr>
        <w:pStyle w:val="Heading1"/>
        <w:rPr>
          <w:rtl/>
        </w:rPr>
      </w:pPr>
      <w:bookmarkStart w:id="9" w:name="_Toc63794426"/>
      <w:bookmarkStart w:id="10" w:name="_Toc63797309"/>
      <w:r>
        <w:rPr>
          <w:rFonts w:hint="cs"/>
          <w:rtl/>
        </w:rPr>
        <w:t>مساله‌ی هشتم تکمله‌ی عروه</w:t>
      </w:r>
      <w:bookmarkEnd w:id="9"/>
      <w:bookmarkEnd w:id="10"/>
    </w:p>
    <w:p w:rsidR="004A6127" w:rsidRPr="00413F2D" w:rsidRDefault="004A6127" w:rsidP="004A6127">
      <w:pPr>
        <w:jc w:val="both"/>
        <w:rPr>
          <w:color w:val="0000FF"/>
          <w:rtl/>
        </w:rPr>
      </w:pPr>
      <w:r w:rsidRPr="00413F2D">
        <w:rPr>
          <w:rFonts w:hint="cs"/>
          <w:color w:val="0000FF"/>
          <w:rtl/>
        </w:rPr>
        <w:t>مسألة 8: تحصّل من جميع ما ذكرنا انّ عدة المتعة إذا كانت تحيض و كانت مدخولا بها غير يائس حيضتان</w:t>
      </w:r>
      <w:r w:rsidRPr="00413F2D">
        <w:rPr>
          <w:rFonts w:hint="cs"/>
          <w:color w:val="0000FF"/>
        </w:rPr>
        <w:t>‌</w:t>
      </w:r>
      <w:r w:rsidRPr="00413F2D">
        <w:rPr>
          <w:rFonts w:hint="cs"/>
          <w:color w:val="0000FF"/>
          <w:rtl/>
        </w:rPr>
        <w:t xml:space="preserve"> من غير فرق بين الحرة و الأمة، و إذا كانت لا تحيض فخمسة و أربعون يوما بلياليها من غير فرق أيضا بين الحرّة و الأمة و إذا كانت حاملا فعدتها </w:t>
      </w:r>
      <w:r w:rsidRPr="00413F2D">
        <w:rPr>
          <w:rFonts w:hint="cs"/>
          <w:color w:val="0000FF"/>
          <w:rtl/>
        </w:rPr>
        <w:lastRenderedPageBreak/>
        <w:t>وضع الحمل، و انّ عدتها في وفاة زوجها أربعة أشهر و عشرة أيام من غير فرق بين الحرة و الأمة، و إن كانت حاملا فأبعد الأجلين.</w:t>
      </w:r>
      <w:r>
        <w:rPr>
          <w:rStyle w:val="FootnoteReference"/>
          <w:color w:val="0000FF"/>
          <w:rtl/>
        </w:rPr>
        <w:footnoteReference w:id="12"/>
      </w:r>
    </w:p>
    <w:p w:rsidR="003E6650" w:rsidRDefault="00E52D07" w:rsidP="00AA2070">
      <w:pPr>
        <w:jc w:val="both"/>
        <w:rPr>
          <w:rtl/>
        </w:rPr>
      </w:pPr>
      <w:r>
        <w:rPr>
          <w:rFonts w:hint="cs"/>
          <w:rtl/>
        </w:rPr>
        <w:t xml:space="preserve"> </w:t>
      </w:r>
      <w:r w:rsidR="00BE3C2A">
        <w:rPr>
          <w:rFonts w:hint="cs"/>
          <w:rtl/>
        </w:rPr>
        <w:t>مرحوم سید در مساله‌ی پنجم عده‌ی زنی را که حیض نمی بیند، چهل و پنج روز بیان کرد و احتیاط</w:t>
      </w:r>
      <w:r w:rsidR="00561AB1">
        <w:rPr>
          <w:rFonts w:hint="cs"/>
          <w:rtl/>
        </w:rPr>
        <w:t xml:space="preserve"> مستحب</w:t>
      </w:r>
      <w:r w:rsidR="00BE3C2A">
        <w:rPr>
          <w:rFonts w:hint="cs"/>
          <w:rtl/>
        </w:rPr>
        <w:t xml:space="preserve"> را چهل و پ</w:t>
      </w:r>
      <w:r w:rsidR="00561AB1">
        <w:rPr>
          <w:rFonts w:hint="cs"/>
          <w:rtl/>
        </w:rPr>
        <w:t xml:space="preserve">نج روز به همراه شب های آن دانست؛ اما در این مساله عده‌ی چنین زنی را </w:t>
      </w:r>
      <w:r w:rsidR="00561AB1" w:rsidRPr="00413F2D">
        <w:rPr>
          <w:rFonts w:hint="cs"/>
          <w:color w:val="0000FF"/>
          <w:rtl/>
        </w:rPr>
        <w:t>خمسة و أربعون يوما بلياليها</w:t>
      </w:r>
      <w:r w:rsidR="00561AB1">
        <w:rPr>
          <w:rFonts w:hint="cs"/>
          <w:rtl/>
        </w:rPr>
        <w:t xml:space="preserve"> دانسته است.</w:t>
      </w:r>
    </w:p>
    <w:p w:rsidR="00561AB1" w:rsidRPr="001A27D7" w:rsidRDefault="00561AB1" w:rsidP="00624CA7">
      <w:pPr>
        <w:jc w:val="both"/>
        <w:rPr>
          <w:rtl/>
        </w:rPr>
      </w:pPr>
      <w:r>
        <w:rPr>
          <w:rFonts w:hint="cs"/>
          <w:rtl/>
        </w:rPr>
        <w:t>آن چه مرحوم سید در مساله‌ی پنجم گفته بود، روشن تر است.</w:t>
      </w:r>
      <w:r w:rsidR="00624CA7">
        <w:rPr>
          <w:rFonts w:hint="cs"/>
          <w:rtl/>
        </w:rPr>
        <w:t xml:space="preserve"> احتمال دارد در این مساله افتادگی باشد و در واقع به این صورت باشد: </w:t>
      </w:r>
      <w:r w:rsidR="00624CA7" w:rsidRPr="00413F2D">
        <w:rPr>
          <w:rFonts w:hint="cs"/>
          <w:color w:val="0000FF"/>
          <w:rtl/>
        </w:rPr>
        <w:t>فخمسة و أربعون يوما</w:t>
      </w:r>
      <w:r w:rsidR="00624CA7">
        <w:rPr>
          <w:rFonts w:hint="cs"/>
          <w:color w:val="0000FF"/>
          <w:rtl/>
        </w:rPr>
        <w:t xml:space="preserve"> </w:t>
      </w:r>
      <w:r w:rsidR="00624CA7" w:rsidRPr="00624CA7">
        <w:rPr>
          <w:rFonts w:hint="cs"/>
          <w:rtl/>
        </w:rPr>
        <w:t xml:space="preserve">و الاحوط ان یکون خمسة و اربعون یوما </w:t>
      </w:r>
      <w:r w:rsidR="00624CA7" w:rsidRPr="00413F2D">
        <w:rPr>
          <w:rFonts w:hint="cs"/>
          <w:color w:val="0000FF"/>
          <w:rtl/>
        </w:rPr>
        <w:t>بلياليها</w:t>
      </w:r>
    </w:p>
    <w:p w:rsidR="001A1EA5" w:rsidRDefault="00624CA7" w:rsidP="007C7B12">
      <w:pPr>
        <w:jc w:val="both"/>
        <w:rPr>
          <w:rtl/>
        </w:rPr>
      </w:pPr>
      <w:r>
        <w:rPr>
          <w:rFonts w:hint="cs"/>
          <w:rtl/>
        </w:rPr>
        <w:t xml:space="preserve">بعید است مرحوم سید مطلبی را که صفحه‌ی قبل </w:t>
      </w:r>
      <w:r w:rsidR="007C7B12">
        <w:rPr>
          <w:rFonts w:hint="cs"/>
          <w:rtl/>
        </w:rPr>
        <w:t>بیان کرده است، فراموش کرده باشد و مطلبی بر خلاف آن در این مساله گفته باشد.</w:t>
      </w:r>
    </w:p>
    <w:p w:rsidR="00425095" w:rsidRDefault="00425095" w:rsidP="007C7B12">
      <w:pPr>
        <w:jc w:val="both"/>
        <w:rPr>
          <w:rtl/>
        </w:rPr>
      </w:pPr>
    </w:p>
    <w:sectPr w:rsidR="00425095"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D7E" w:rsidRDefault="00C07D7E" w:rsidP="008B750B">
      <w:pPr>
        <w:spacing w:line="240" w:lineRule="auto"/>
      </w:pPr>
      <w:r>
        <w:separator/>
      </w:r>
    </w:p>
  </w:endnote>
  <w:endnote w:type="continuationSeparator" w:id="0">
    <w:p w:rsidR="00C07D7E" w:rsidRDefault="00C07D7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B3A03" w:rsidRPr="002B3A03">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6110CE" w:rsidP="001B6799">
          <w:pPr>
            <w:pStyle w:val="Footer"/>
            <w:bidi w:val="0"/>
            <w:rPr>
              <w:color w:val="808080" w:themeColor="background1" w:themeShade="80"/>
              <w:rtl/>
            </w:rPr>
          </w:pPr>
          <w:bookmarkStart w:id="18" w:name="BokAdres"/>
          <w:bookmarkEnd w:id="18"/>
          <w:r>
            <w:rPr>
              <w:color w:val="808080" w:themeColor="background1" w:themeShade="80"/>
            </w:rPr>
            <w:t>F1js1_13991118-067_mk3_mfeb.ir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D7E" w:rsidRDefault="00C07D7E" w:rsidP="008B750B">
      <w:pPr>
        <w:spacing w:line="240" w:lineRule="auto"/>
      </w:pPr>
      <w:r>
        <w:separator/>
      </w:r>
    </w:p>
  </w:footnote>
  <w:footnote w:type="continuationSeparator" w:id="0">
    <w:p w:rsidR="00C07D7E" w:rsidRDefault="00C07D7E" w:rsidP="008B750B">
      <w:pPr>
        <w:spacing w:line="240" w:lineRule="auto"/>
      </w:pPr>
      <w:r>
        <w:continuationSeparator/>
      </w:r>
    </w:p>
  </w:footnote>
  <w:footnote w:id="1">
    <w:p w:rsidR="00C34CB2" w:rsidRPr="00C34CB2" w:rsidRDefault="00C34CB2" w:rsidP="00C34CB2">
      <w:pPr>
        <w:pStyle w:val="FootnoteText"/>
      </w:pPr>
      <w:r w:rsidRPr="00C34CB2">
        <w:footnoteRef/>
      </w:r>
      <w:r w:rsidRPr="00C34CB2">
        <w:rPr>
          <w:rtl/>
        </w:rPr>
        <w:t xml:space="preserve"> </w:t>
      </w:r>
      <w:hyperlink r:id="rId1" w:history="1">
        <w:r w:rsidRPr="00C34CB2">
          <w:rPr>
            <w:rStyle w:val="Hyperlink"/>
            <w:rFonts w:hint="cs"/>
            <w:rtl/>
          </w:rPr>
          <w:t>تهذیب</w:t>
        </w:r>
        <w:r w:rsidRPr="00C34CB2">
          <w:rPr>
            <w:rStyle w:val="Hyperlink"/>
            <w:rtl/>
          </w:rPr>
          <w:t xml:space="preserve"> </w:t>
        </w:r>
        <w:r w:rsidRPr="00C34CB2">
          <w:rPr>
            <w:rStyle w:val="Hyperlink"/>
            <w:rFonts w:hint="cs"/>
            <w:rtl/>
          </w:rPr>
          <w:t>الاحکام،</w:t>
        </w:r>
        <w:r w:rsidRPr="00C34CB2">
          <w:rPr>
            <w:rStyle w:val="Hyperlink"/>
            <w:rtl/>
          </w:rPr>
          <w:t xml:space="preserve"> </w:t>
        </w:r>
        <w:r w:rsidRPr="00C34CB2">
          <w:rPr>
            <w:rStyle w:val="Hyperlink"/>
            <w:rFonts w:hint="cs"/>
            <w:rtl/>
          </w:rPr>
          <w:t>شیخ</w:t>
        </w:r>
        <w:r w:rsidRPr="00C34CB2">
          <w:rPr>
            <w:rStyle w:val="Hyperlink"/>
            <w:rtl/>
          </w:rPr>
          <w:t xml:space="preserve"> </w:t>
        </w:r>
        <w:r w:rsidRPr="00C34CB2">
          <w:rPr>
            <w:rStyle w:val="Hyperlink"/>
            <w:rFonts w:hint="cs"/>
            <w:rtl/>
          </w:rPr>
          <w:t>طوسی،</w:t>
        </w:r>
        <w:r w:rsidRPr="00C34CB2">
          <w:rPr>
            <w:rStyle w:val="Hyperlink"/>
            <w:rtl/>
          </w:rPr>
          <w:t xml:space="preserve"> </w:t>
        </w:r>
        <w:r w:rsidRPr="00C34CB2">
          <w:rPr>
            <w:rStyle w:val="Hyperlink"/>
            <w:rFonts w:hint="cs"/>
            <w:rtl/>
          </w:rPr>
          <w:t>ج</w:t>
        </w:r>
        <w:r w:rsidRPr="00C34CB2">
          <w:rPr>
            <w:rStyle w:val="Hyperlink"/>
            <w:rtl/>
          </w:rPr>
          <w:t>8</w:t>
        </w:r>
        <w:r w:rsidRPr="00C34CB2">
          <w:rPr>
            <w:rStyle w:val="Hyperlink"/>
            <w:rFonts w:hint="cs"/>
            <w:rtl/>
          </w:rPr>
          <w:t>،</w:t>
        </w:r>
        <w:r w:rsidRPr="00C34CB2">
          <w:rPr>
            <w:rStyle w:val="Hyperlink"/>
            <w:rtl/>
          </w:rPr>
          <w:t xml:space="preserve"> </w:t>
        </w:r>
        <w:r w:rsidRPr="00C34CB2">
          <w:rPr>
            <w:rStyle w:val="Hyperlink"/>
            <w:rFonts w:hint="cs"/>
            <w:rtl/>
          </w:rPr>
          <w:t>ص</w:t>
        </w:r>
        <w:r w:rsidRPr="00C34CB2">
          <w:rPr>
            <w:rStyle w:val="Hyperlink"/>
            <w:rtl/>
          </w:rPr>
          <w:t>157</w:t>
        </w:r>
        <w:r w:rsidRPr="00C34CB2">
          <w:rPr>
            <w:rStyle w:val="Hyperlink"/>
          </w:rPr>
          <w:t>.</w:t>
        </w:r>
      </w:hyperlink>
    </w:p>
  </w:footnote>
  <w:footnote w:id="2">
    <w:p w:rsidR="005D3F13" w:rsidRDefault="005D3F13" w:rsidP="005D3F13">
      <w:pPr>
        <w:pStyle w:val="FootnoteText"/>
      </w:pPr>
      <w:r>
        <w:rPr>
          <w:rStyle w:val="FootnoteReference"/>
        </w:rPr>
        <w:footnoteRef/>
      </w:r>
      <w:r>
        <w:rPr>
          <w:rtl/>
        </w:rPr>
        <w:t xml:space="preserve"> </w:t>
      </w:r>
      <w:r w:rsidRPr="005D3F13">
        <w:rPr>
          <w:rFonts w:hint="cs"/>
          <w:rtl/>
        </w:rPr>
        <w:t>جامع أحاديث الشيعة (للبروجردي)، ج‏26، ص: 106</w:t>
      </w:r>
    </w:p>
  </w:footnote>
  <w:footnote w:id="3">
    <w:p w:rsidR="004A6127" w:rsidRPr="002832FB" w:rsidRDefault="004A6127" w:rsidP="004A6127">
      <w:pPr>
        <w:pStyle w:val="FootnoteText"/>
      </w:pPr>
      <w:r w:rsidRPr="002832FB">
        <w:footnoteRef/>
      </w:r>
      <w:r w:rsidRPr="002832FB">
        <w:rPr>
          <w:rtl/>
        </w:rPr>
        <w:t xml:space="preserve"> </w:t>
      </w:r>
      <w:hyperlink r:id="rId2" w:history="1">
        <w:r w:rsidRPr="002832FB">
          <w:rPr>
            <w:rStyle w:val="Hyperlink"/>
            <w:rFonts w:hint="cs"/>
            <w:rtl/>
          </w:rPr>
          <w:t>الکافی،</w:t>
        </w:r>
        <w:r w:rsidRPr="002832FB">
          <w:rPr>
            <w:rStyle w:val="Hyperlink"/>
            <w:rtl/>
          </w:rPr>
          <w:t xml:space="preserve"> </w:t>
        </w:r>
        <w:r w:rsidRPr="002832FB">
          <w:rPr>
            <w:rStyle w:val="Hyperlink"/>
            <w:rFonts w:hint="cs"/>
            <w:rtl/>
          </w:rPr>
          <w:t>محمد</w:t>
        </w:r>
        <w:r w:rsidRPr="002832FB">
          <w:rPr>
            <w:rStyle w:val="Hyperlink"/>
            <w:rtl/>
          </w:rPr>
          <w:t xml:space="preserve"> </w:t>
        </w:r>
        <w:r w:rsidRPr="002832FB">
          <w:rPr>
            <w:rStyle w:val="Hyperlink"/>
            <w:rFonts w:hint="cs"/>
            <w:rtl/>
          </w:rPr>
          <w:t>بن</w:t>
        </w:r>
        <w:r w:rsidRPr="002832FB">
          <w:rPr>
            <w:rStyle w:val="Hyperlink"/>
            <w:rtl/>
          </w:rPr>
          <w:t xml:space="preserve"> </w:t>
        </w:r>
        <w:r w:rsidRPr="002832FB">
          <w:rPr>
            <w:rStyle w:val="Hyperlink"/>
            <w:rFonts w:hint="cs"/>
            <w:rtl/>
          </w:rPr>
          <w:t>یعقوب</w:t>
        </w:r>
        <w:r w:rsidRPr="002832FB">
          <w:rPr>
            <w:rStyle w:val="Hyperlink"/>
            <w:rtl/>
          </w:rPr>
          <w:t xml:space="preserve"> </w:t>
        </w:r>
        <w:r w:rsidRPr="002832FB">
          <w:rPr>
            <w:rStyle w:val="Hyperlink"/>
            <w:rFonts w:hint="cs"/>
            <w:rtl/>
          </w:rPr>
          <w:t>کلینی،</w:t>
        </w:r>
        <w:r w:rsidRPr="002832FB">
          <w:rPr>
            <w:rStyle w:val="Hyperlink"/>
            <w:rtl/>
          </w:rPr>
          <w:t xml:space="preserve"> </w:t>
        </w:r>
        <w:r w:rsidRPr="002832FB">
          <w:rPr>
            <w:rStyle w:val="Hyperlink"/>
            <w:rFonts w:hint="cs"/>
            <w:rtl/>
          </w:rPr>
          <w:t>ج</w:t>
        </w:r>
        <w:r w:rsidRPr="002832FB">
          <w:rPr>
            <w:rStyle w:val="Hyperlink"/>
            <w:rtl/>
          </w:rPr>
          <w:t>5</w:t>
        </w:r>
        <w:r w:rsidRPr="002832FB">
          <w:rPr>
            <w:rStyle w:val="Hyperlink"/>
            <w:rFonts w:hint="cs"/>
            <w:rtl/>
          </w:rPr>
          <w:t>،</w:t>
        </w:r>
        <w:r w:rsidRPr="002832FB">
          <w:rPr>
            <w:rStyle w:val="Hyperlink"/>
            <w:rtl/>
          </w:rPr>
          <w:t xml:space="preserve"> </w:t>
        </w:r>
        <w:r w:rsidRPr="002832FB">
          <w:rPr>
            <w:rStyle w:val="Hyperlink"/>
            <w:rFonts w:hint="cs"/>
            <w:rtl/>
          </w:rPr>
          <w:t>ص</w:t>
        </w:r>
        <w:r w:rsidRPr="002832FB">
          <w:rPr>
            <w:rStyle w:val="Hyperlink"/>
            <w:rtl/>
          </w:rPr>
          <w:t>451.</w:t>
        </w:r>
      </w:hyperlink>
    </w:p>
  </w:footnote>
  <w:footnote w:id="4">
    <w:p w:rsidR="004A6127" w:rsidRDefault="004A6127" w:rsidP="004A6127">
      <w:pPr>
        <w:pStyle w:val="FootnoteText"/>
      </w:pPr>
      <w:r>
        <w:rPr>
          <w:rStyle w:val="FootnoteReference"/>
        </w:rPr>
        <w:footnoteRef/>
      </w:r>
      <w:r>
        <w:rPr>
          <w:rtl/>
        </w:rPr>
        <w:t xml:space="preserve"> </w:t>
      </w:r>
      <w:r w:rsidRPr="00163E55">
        <w:rPr>
          <w:rFonts w:hint="cs"/>
          <w:rtl/>
        </w:rPr>
        <w:t>جامع أحاديث الشيعة (للبروجردي)، ج‏26، ص: 106</w:t>
      </w:r>
    </w:p>
  </w:footnote>
  <w:footnote w:id="5">
    <w:p w:rsidR="004A6127" w:rsidRDefault="004A6127" w:rsidP="004A6127">
      <w:pPr>
        <w:pStyle w:val="FootnoteText"/>
      </w:pPr>
      <w:r>
        <w:rPr>
          <w:rStyle w:val="FootnoteReference"/>
        </w:rPr>
        <w:footnoteRef/>
      </w:r>
      <w:r>
        <w:rPr>
          <w:rtl/>
        </w:rPr>
        <w:t xml:space="preserve"> </w:t>
      </w:r>
      <w:r w:rsidRPr="00163E55">
        <w:rPr>
          <w:rFonts w:hint="cs"/>
          <w:rtl/>
        </w:rPr>
        <w:t>جامع أحاديث الشيعة (للبروجردي)، ج‏26، ص: 106</w:t>
      </w:r>
    </w:p>
  </w:footnote>
  <w:footnote w:id="6">
    <w:p w:rsidR="00B32D16" w:rsidRDefault="00B32D16">
      <w:pPr>
        <w:pStyle w:val="FootnoteText"/>
      </w:pPr>
      <w:r>
        <w:rPr>
          <w:rStyle w:val="FootnoteReference"/>
        </w:rPr>
        <w:footnoteRef/>
      </w:r>
      <w:r>
        <w:rPr>
          <w:rtl/>
        </w:rPr>
        <w:t xml:space="preserve"> </w:t>
      </w:r>
      <w:r>
        <w:rPr>
          <w:rFonts w:hint="cs"/>
          <w:rtl/>
        </w:rPr>
        <w:t>غیر مزوجه</w:t>
      </w:r>
    </w:p>
  </w:footnote>
  <w:footnote w:id="7">
    <w:p w:rsidR="004A6127" w:rsidRPr="002D6C47" w:rsidRDefault="004A6127" w:rsidP="004A6127">
      <w:pPr>
        <w:pStyle w:val="FootnoteText"/>
      </w:pPr>
      <w:r w:rsidRPr="002D6C47">
        <w:footnoteRef/>
      </w:r>
      <w:r w:rsidRPr="002D6C47">
        <w:rPr>
          <w:rtl/>
        </w:rPr>
        <w:t xml:space="preserve"> </w:t>
      </w:r>
      <w:hyperlink r:id="rId3" w:history="1">
        <w:r w:rsidRPr="002D6C47">
          <w:rPr>
            <w:rStyle w:val="Hyperlink"/>
            <w:rFonts w:hint="cs"/>
            <w:rtl/>
          </w:rPr>
          <w:t>تکملة</w:t>
        </w:r>
        <w:r w:rsidRPr="002D6C47">
          <w:rPr>
            <w:rStyle w:val="Hyperlink"/>
            <w:rtl/>
          </w:rPr>
          <w:t xml:space="preserve"> </w:t>
        </w:r>
        <w:r w:rsidRPr="002D6C47">
          <w:rPr>
            <w:rStyle w:val="Hyperlink"/>
            <w:rFonts w:hint="cs"/>
            <w:rtl/>
          </w:rPr>
          <w:t>العروة</w:t>
        </w:r>
        <w:r w:rsidRPr="002D6C47">
          <w:rPr>
            <w:rStyle w:val="Hyperlink"/>
            <w:rtl/>
          </w:rPr>
          <w:t xml:space="preserve"> </w:t>
        </w:r>
        <w:r w:rsidRPr="002D6C47">
          <w:rPr>
            <w:rStyle w:val="Hyperlink"/>
            <w:rFonts w:hint="cs"/>
            <w:rtl/>
          </w:rPr>
          <w:t>الوثقی،</w:t>
        </w:r>
        <w:r w:rsidRPr="002D6C47">
          <w:rPr>
            <w:rStyle w:val="Hyperlink"/>
            <w:rtl/>
          </w:rPr>
          <w:t xml:space="preserve"> </w:t>
        </w:r>
        <w:r w:rsidRPr="002D6C47">
          <w:rPr>
            <w:rStyle w:val="Hyperlink"/>
            <w:rFonts w:hint="cs"/>
            <w:rtl/>
          </w:rPr>
          <w:t>السید</w:t>
        </w:r>
        <w:r w:rsidRPr="002D6C47">
          <w:rPr>
            <w:rStyle w:val="Hyperlink"/>
            <w:rtl/>
          </w:rPr>
          <w:t xml:space="preserve"> </w:t>
        </w:r>
        <w:r w:rsidRPr="002D6C47">
          <w:rPr>
            <w:rStyle w:val="Hyperlink"/>
            <w:rFonts w:hint="cs"/>
            <w:rtl/>
          </w:rPr>
          <w:t>محمد</w:t>
        </w:r>
        <w:r w:rsidRPr="002D6C47">
          <w:rPr>
            <w:rStyle w:val="Hyperlink"/>
            <w:rtl/>
          </w:rPr>
          <w:t xml:space="preserve"> </w:t>
        </w:r>
        <w:r w:rsidRPr="002D6C47">
          <w:rPr>
            <w:rStyle w:val="Hyperlink"/>
            <w:rFonts w:hint="cs"/>
            <w:rtl/>
          </w:rPr>
          <w:t>کاظم</w:t>
        </w:r>
        <w:r w:rsidRPr="002D6C47">
          <w:rPr>
            <w:rStyle w:val="Hyperlink"/>
            <w:rtl/>
          </w:rPr>
          <w:t xml:space="preserve"> </w:t>
        </w:r>
        <w:r w:rsidRPr="002D6C47">
          <w:rPr>
            <w:rStyle w:val="Hyperlink"/>
            <w:rFonts w:hint="cs"/>
            <w:rtl/>
          </w:rPr>
          <w:t>الطباطبائی</w:t>
        </w:r>
        <w:r w:rsidRPr="002D6C47">
          <w:rPr>
            <w:rStyle w:val="Hyperlink"/>
            <w:rtl/>
          </w:rPr>
          <w:t xml:space="preserve"> </w:t>
        </w:r>
        <w:r w:rsidRPr="002D6C47">
          <w:rPr>
            <w:rStyle w:val="Hyperlink"/>
            <w:rFonts w:hint="cs"/>
            <w:rtl/>
          </w:rPr>
          <w:t>الیزدی،</w:t>
        </w:r>
        <w:r w:rsidRPr="002D6C47">
          <w:rPr>
            <w:rStyle w:val="Hyperlink"/>
            <w:rtl/>
          </w:rPr>
          <w:t xml:space="preserve"> </w:t>
        </w:r>
        <w:r w:rsidRPr="002D6C47">
          <w:rPr>
            <w:rStyle w:val="Hyperlink"/>
            <w:rFonts w:hint="cs"/>
            <w:rtl/>
          </w:rPr>
          <w:t>ج</w:t>
        </w:r>
        <w:r w:rsidRPr="002D6C47">
          <w:rPr>
            <w:rStyle w:val="Hyperlink"/>
            <w:rtl/>
          </w:rPr>
          <w:t>1</w:t>
        </w:r>
        <w:r w:rsidRPr="002D6C47">
          <w:rPr>
            <w:rStyle w:val="Hyperlink"/>
            <w:rFonts w:hint="cs"/>
            <w:rtl/>
          </w:rPr>
          <w:t>،</w:t>
        </w:r>
        <w:r w:rsidRPr="002D6C47">
          <w:rPr>
            <w:rStyle w:val="Hyperlink"/>
            <w:rtl/>
          </w:rPr>
          <w:t xml:space="preserve"> </w:t>
        </w:r>
        <w:r w:rsidRPr="002D6C47">
          <w:rPr>
            <w:rStyle w:val="Hyperlink"/>
            <w:rFonts w:hint="cs"/>
            <w:rtl/>
          </w:rPr>
          <w:t>ص</w:t>
        </w:r>
        <w:r w:rsidRPr="002D6C47">
          <w:rPr>
            <w:rStyle w:val="Hyperlink"/>
            <w:rtl/>
          </w:rPr>
          <w:t>90</w:t>
        </w:r>
        <w:r w:rsidRPr="002D6C47">
          <w:rPr>
            <w:rStyle w:val="Hyperlink"/>
          </w:rPr>
          <w:t>.</w:t>
        </w:r>
      </w:hyperlink>
    </w:p>
  </w:footnote>
  <w:footnote w:id="8">
    <w:p w:rsidR="00465A83" w:rsidRDefault="00465A83">
      <w:pPr>
        <w:pStyle w:val="FootnoteText"/>
      </w:pPr>
      <w:r>
        <w:rPr>
          <w:rStyle w:val="FootnoteReference"/>
        </w:rPr>
        <w:footnoteRef/>
      </w:r>
      <w:r>
        <w:rPr>
          <w:rtl/>
        </w:rPr>
        <w:t xml:space="preserve"> </w:t>
      </w:r>
      <w:r>
        <w:rPr>
          <w:rFonts w:hint="cs"/>
          <w:rtl/>
        </w:rPr>
        <w:t>البته جزء عده‌ی زن می باشد؛ اما در محاسبه‌ی 45 روز لحاظ نمی شود.</w:t>
      </w:r>
    </w:p>
  </w:footnote>
  <w:footnote w:id="9">
    <w:p w:rsidR="004A6127" w:rsidRPr="0075430C" w:rsidRDefault="004A6127" w:rsidP="004A6127">
      <w:pPr>
        <w:pStyle w:val="FootnoteText"/>
      </w:pPr>
      <w:r w:rsidRPr="0075430C">
        <w:footnoteRef/>
      </w:r>
      <w:r w:rsidRPr="0075430C">
        <w:rPr>
          <w:rtl/>
        </w:rPr>
        <w:t xml:space="preserve"> </w:t>
      </w:r>
      <w:hyperlink r:id="rId4" w:history="1">
        <w:r w:rsidRPr="0075430C">
          <w:rPr>
            <w:rStyle w:val="Hyperlink"/>
            <w:rFonts w:hint="cs"/>
            <w:rtl/>
          </w:rPr>
          <w:t>تکملة</w:t>
        </w:r>
        <w:r w:rsidRPr="0075430C">
          <w:rPr>
            <w:rStyle w:val="Hyperlink"/>
            <w:rtl/>
          </w:rPr>
          <w:t xml:space="preserve"> </w:t>
        </w:r>
        <w:r w:rsidRPr="0075430C">
          <w:rPr>
            <w:rStyle w:val="Hyperlink"/>
            <w:rFonts w:hint="cs"/>
            <w:rtl/>
          </w:rPr>
          <w:t>العروة</w:t>
        </w:r>
        <w:r w:rsidRPr="0075430C">
          <w:rPr>
            <w:rStyle w:val="Hyperlink"/>
            <w:rtl/>
          </w:rPr>
          <w:t xml:space="preserve"> </w:t>
        </w:r>
        <w:r w:rsidRPr="0075430C">
          <w:rPr>
            <w:rStyle w:val="Hyperlink"/>
            <w:rFonts w:hint="cs"/>
            <w:rtl/>
          </w:rPr>
          <w:t>الوثقی،</w:t>
        </w:r>
        <w:r w:rsidRPr="0075430C">
          <w:rPr>
            <w:rStyle w:val="Hyperlink"/>
            <w:rtl/>
          </w:rPr>
          <w:t xml:space="preserve"> </w:t>
        </w:r>
        <w:r w:rsidRPr="0075430C">
          <w:rPr>
            <w:rStyle w:val="Hyperlink"/>
            <w:rFonts w:hint="cs"/>
            <w:rtl/>
          </w:rPr>
          <w:t>السید</w:t>
        </w:r>
        <w:r w:rsidRPr="0075430C">
          <w:rPr>
            <w:rStyle w:val="Hyperlink"/>
            <w:rtl/>
          </w:rPr>
          <w:t xml:space="preserve"> </w:t>
        </w:r>
        <w:r w:rsidRPr="0075430C">
          <w:rPr>
            <w:rStyle w:val="Hyperlink"/>
            <w:rFonts w:hint="cs"/>
            <w:rtl/>
          </w:rPr>
          <w:t>محمد</w:t>
        </w:r>
        <w:r w:rsidRPr="0075430C">
          <w:rPr>
            <w:rStyle w:val="Hyperlink"/>
            <w:rtl/>
          </w:rPr>
          <w:t xml:space="preserve"> </w:t>
        </w:r>
        <w:r w:rsidRPr="0075430C">
          <w:rPr>
            <w:rStyle w:val="Hyperlink"/>
            <w:rFonts w:hint="cs"/>
            <w:rtl/>
          </w:rPr>
          <w:t>کاظم</w:t>
        </w:r>
        <w:r w:rsidRPr="0075430C">
          <w:rPr>
            <w:rStyle w:val="Hyperlink"/>
            <w:rtl/>
          </w:rPr>
          <w:t xml:space="preserve"> </w:t>
        </w:r>
        <w:r w:rsidRPr="0075430C">
          <w:rPr>
            <w:rStyle w:val="Hyperlink"/>
            <w:rFonts w:hint="cs"/>
            <w:rtl/>
          </w:rPr>
          <w:t>الطباطبائی</w:t>
        </w:r>
        <w:r w:rsidRPr="0075430C">
          <w:rPr>
            <w:rStyle w:val="Hyperlink"/>
            <w:rtl/>
          </w:rPr>
          <w:t xml:space="preserve"> </w:t>
        </w:r>
        <w:r w:rsidRPr="0075430C">
          <w:rPr>
            <w:rStyle w:val="Hyperlink"/>
            <w:rFonts w:hint="cs"/>
            <w:rtl/>
          </w:rPr>
          <w:t>الیزدی،</w:t>
        </w:r>
        <w:r w:rsidRPr="0075430C">
          <w:rPr>
            <w:rStyle w:val="Hyperlink"/>
            <w:rtl/>
          </w:rPr>
          <w:t xml:space="preserve"> </w:t>
        </w:r>
        <w:r w:rsidRPr="0075430C">
          <w:rPr>
            <w:rStyle w:val="Hyperlink"/>
            <w:rFonts w:hint="cs"/>
            <w:rtl/>
          </w:rPr>
          <w:t>ج</w:t>
        </w:r>
        <w:r w:rsidRPr="0075430C">
          <w:rPr>
            <w:rStyle w:val="Hyperlink"/>
            <w:rtl/>
          </w:rPr>
          <w:t>1</w:t>
        </w:r>
        <w:r w:rsidRPr="0075430C">
          <w:rPr>
            <w:rStyle w:val="Hyperlink"/>
            <w:rFonts w:hint="cs"/>
            <w:rtl/>
          </w:rPr>
          <w:t>،</w:t>
        </w:r>
        <w:r w:rsidRPr="0075430C">
          <w:rPr>
            <w:rStyle w:val="Hyperlink"/>
            <w:rtl/>
          </w:rPr>
          <w:t xml:space="preserve"> </w:t>
        </w:r>
        <w:r w:rsidRPr="0075430C">
          <w:rPr>
            <w:rStyle w:val="Hyperlink"/>
            <w:rFonts w:hint="cs"/>
            <w:rtl/>
          </w:rPr>
          <w:t>ص</w:t>
        </w:r>
        <w:r w:rsidRPr="0075430C">
          <w:rPr>
            <w:rStyle w:val="Hyperlink"/>
            <w:rtl/>
          </w:rPr>
          <w:t>90</w:t>
        </w:r>
        <w:r w:rsidRPr="0075430C">
          <w:rPr>
            <w:rStyle w:val="Hyperlink"/>
          </w:rPr>
          <w:t>.</w:t>
        </w:r>
      </w:hyperlink>
    </w:p>
  </w:footnote>
  <w:footnote w:id="10">
    <w:p w:rsidR="004A6127" w:rsidRPr="00413F2D" w:rsidRDefault="004A6127" w:rsidP="004A6127">
      <w:pPr>
        <w:pStyle w:val="FootnoteText"/>
      </w:pPr>
      <w:r w:rsidRPr="00413F2D">
        <w:footnoteRef/>
      </w:r>
      <w:r w:rsidRPr="00413F2D">
        <w:rPr>
          <w:rtl/>
        </w:rPr>
        <w:t xml:space="preserve"> </w:t>
      </w:r>
      <w:hyperlink r:id="rId5" w:history="1">
        <w:r w:rsidRPr="00413F2D">
          <w:rPr>
            <w:rStyle w:val="Hyperlink"/>
            <w:rFonts w:hint="cs"/>
            <w:rtl/>
          </w:rPr>
          <w:t>تهذیب</w:t>
        </w:r>
        <w:r w:rsidRPr="00413F2D">
          <w:rPr>
            <w:rStyle w:val="Hyperlink"/>
            <w:rtl/>
          </w:rPr>
          <w:t xml:space="preserve"> </w:t>
        </w:r>
        <w:r w:rsidRPr="00413F2D">
          <w:rPr>
            <w:rStyle w:val="Hyperlink"/>
            <w:rFonts w:hint="cs"/>
            <w:rtl/>
          </w:rPr>
          <w:t>الاحکام،</w:t>
        </w:r>
        <w:r w:rsidRPr="00413F2D">
          <w:rPr>
            <w:rStyle w:val="Hyperlink"/>
            <w:rtl/>
          </w:rPr>
          <w:t xml:space="preserve"> </w:t>
        </w:r>
        <w:r w:rsidRPr="00413F2D">
          <w:rPr>
            <w:rStyle w:val="Hyperlink"/>
            <w:rFonts w:hint="cs"/>
            <w:rtl/>
          </w:rPr>
          <w:t>شیخ</w:t>
        </w:r>
        <w:r w:rsidRPr="00413F2D">
          <w:rPr>
            <w:rStyle w:val="Hyperlink"/>
            <w:rtl/>
          </w:rPr>
          <w:t xml:space="preserve"> </w:t>
        </w:r>
        <w:r w:rsidRPr="00413F2D">
          <w:rPr>
            <w:rStyle w:val="Hyperlink"/>
            <w:rFonts w:hint="cs"/>
            <w:rtl/>
          </w:rPr>
          <w:t>طوسی،</w:t>
        </w:r>
        <w:r w:rsidRPr="00413F2D">
          <w:rPr>
            <w:rStyle w:val="Hyperlink"/>
            <w:rtl/>
          </w:rPr>
          <w:t xml:space="preserve"> </w:t>
        </w:r>
        <w:r w:rsidRPr="00413F2D">
          <w:rPr>
            <w:rStyle w:val="Hyperlink"/>
            <w:rFonts w:hint="cs"/>
            <w:rtl/>
          </w:rPr>
          <w:t>ج</w:t>
        </w:r>
        <w:r w:rsidRPr="00413F2D">
          <w:rPr>
            <w:rStyle w:val="Hyperlink"/>
            <w:rtl/>
          </w:rPr>
          <w:t>8</w:t>
        </w:r>
        <w:r w:rsidRPr="00413F2D">
          <w:rPr>
            <w:rStyle w:val="Hyperlink"/>
            <w:rFonts w:hint="cs"/>
            <w:rtl/>
          </w:rPr>
          <w:t>،</w:t>
        </w:r>
        <w:r w:rsidRPr="00413F2D">
          <w:rPr>
            <w:rStyle w:val="Hyperlink"/>
            <w:rtl/>
          </w:rPr>
          <w:t xml:space="preserve"> </w:t>
        </w:r>
        <w:r w:rsidRPr="00413F2D">
          <w:rPr>
            <w:rStyle w:val="Hyperlink"/>
            <w:rFonts w:hint="cs"/>
            <w:rtl/>
          </w:rPr>
          <w:t>ص</w:t>
        </w:r>
        <w:r w:rsidRPr="00413F2D">
          <w:rPr>
            <w:rStyle w:val="Hyperlink"/>
            <w:rtl/>
          </w:rPr>
          <w:t>158.</w:t>
        </w:r>
      </w:hyperlink>
    </w:p>
  </w:footnote>
  <w:footnote w:id="11">
    <w:p w:rsidR="004A6127" w:rsidRPr="00413F2D" w:rsidRDefault="004A6127" w:rsidP="004A6127">
      <w:pPr>
        <w:pStyle w:val="FootnoteText"/>
      </w:pPr>
      <w:r w:rsidRPr="00413F2D">
        <w:footnoteRef/>
      </w:r>
      <w:r w:rsidRPr="00413F2D">
        <w:rPr>
          <w:rtl/>
        </w:rPr>
        <w:t xml:space="preserve"> </w:t>
      </w:r>
      <w:hyperlink r:id="rId6" w:history="1">
        <w:r w:rsidRPr="00413F2D">
          <w:rPr>
            <w:rStyle w:val="Hyperlink"/>
            <w:rFonts w:hint="cs"/>
            <w:rtl/>
          </w:rPr>
          <w:t>تکملة</w:t>
        </w:r>
        <w:r w:rsidRPr="00413F2D">
          <w:rPr>
            <w:rStyle w:val="Hyperlink"/>
            <w:rtl/>
          </w:rPr>
          <w:t xml:space="preserve"> </w:t>
        </w:r>
        <w:r w:rsidRPr="00413F2D">
          <w:rPr>
            <w:rStyle w:val="Hyperlink"/>
            <w:rFonts w:hint="cs"/>
            <w:rtl/>
          </w:rPr>
          <w:t>العروة</w:t>
        </w:r>
        <w:r w:rsidRPr="00413F2D">
          <w:rPr>
            <w:rStyle w:val="Hyperlink"/>
            <w:rtl/>
          </w:rPr>
          <w:t xml:space="preserve"> </w:t>
        </w:r>
        <w:r w:rsidRPr="00413F2D">
          <w:rPr>
            <w:rStyle w:val="Hyperlink"/>
            <w:rFonts w:hint="cs"/>
            <w:rtl/>
          </w:rPr>
          <w:t>الوثقی،</w:t>
        </w:r>
        <w:r w:rsidRPr="00413F2D">
          <w:rPr>
            <w:rStyle w:val="Hyperlink"/>
            <w:rtl/>
          </w:rPr>
          <w:t xml:space="preserve"> </w:t>
        </w:r>
        <w:r w:rsidRPr="00413F2D">
          <w:rPr>
            <w:rStyle w:val="Hyperlink"/>
            <w:rFonts w:hint="cs"/>
            <w:rtl/>
          </w:rPr>
          <w:t>السید</w:t>
        </w:r>
        <w:r w:rsidRPr="00413F2D">
          <w:rPr>
            <w:rStyle w:val="Hyperlink"/>
            <w:rtl/>
          </w:rPr>
          <w:t xml:space="preserve"> </w:t>
        </w:r>
        <w:r w:rsidRPr="00413F2D">
          <w:rPr>
            <w:rStyle w:val="Hyperlink"/>
            <w:rFonts w:hint="cs"/>
            <w:rtl/>
          </w:rPr>
          <w:t>محمد</w:t>
        </w:r>
        <w:r w:rsidRPr="00413F2D">
          <w:rPr>
            <w:rStyle w:val="Hyperlink"/>
            <w:rtl/>
          </w:rPr>
          <w:t xml:space="preserve"> </w:t>
        </w:r>
        <w:r w:rsidRPr="00413F2D">
          <w:rPr>
            <w:rStyle w:val="Hyperlink"/>
            <w:rFonts w:hint="cs"/>
            <w:rtl/>
          </w:rPr>
          <w:t>کاظم</w:t>
        </w:r>
        <w:r w:rsidRPr="00413F2D">
          <w:rPr>
            <w:rStyle w:val="Hyperlink"/>
            <w:rtl/>
          </w:rPr>
          <w:t xml:space="preserve"> </w:t>
        </w:r>
        <w:r w:rsidRPr="00413F2D">
          <w:rPr>
            <w:rStyle w:val="Hyperlink"/>
            <w:rFonts w:hint="cs"/>
            <w:rtl/>
          </w:rPr>
          <w:t>الطباطبائی</w:t>
        </w:r>
        <w:r w:rsidRPr="00413F2D">
          <w:rPr>
            <w:rStyle w:val="Hyperlink"/>
            <w:rtl/>
          </w:rPr>
          <w:t xml:space="preserve"> </w:t>
        </w:r>
        <w:r w:rsidRPr="00413F2D">
          <w:rPr>
            <w:rStyle w:val="Hyperlink"/>
            <w:rFonts w:hint="cs"/>
            <w:rtl/>
          </w:rPr>
          <w:t>الیزدی،</w:t>
        </w:r>
        <w:r w:rsidRPr="00413F2D">
          <w:rPr>
            <w:rStyle w:val="Hyperlink"/>
            <w:rtl/>
          </w:rPr>
          <w:t xml:space="preserve"> </w:t>
        </w:r>
        <w:r w:rsidRPr="00413F2D">
          <w:rPr>
            <w:rStyle w:val="Hyperlink"/>
            <w:rFonts w:hint="cs"/>
            <w:rtl/>
          </w:rPr>
          <w:t>ج</w:t>
        </w:r>
        <w:r w:rsidRPr="00413F2D">
          <w:rPr>
            <w:rStyle w:val="Hyperlink"/>
            <w:rtl/>
          </w:rPr>
          <w:t>1</w:t>
        </w:r>
        <w:r w:rsidRPr="00413F2D">
          <w:rPr>
            <w:rStyle w:val="Hyperlink"/>
            <w:rFonts w:hint="cs"/>
            <w:rtl/>
          </w:rPr>
          <w:t>،</w:t>
        </w:r>
        <w:r w:rsidRPr="00413F2D">
          <w:rPr>
            <w:rStyle w:val="Hyperlink"/>
            <w:rtl/>
          </w:rPr>
          <w:t xml:space="preserve"> </w:t>
        </w:r>
        <w:r w:rsidRPr="00413F2D">
          <w:rPr>
            <w:rStyle w:val="Hyperlink"/>
            <w:rFonts w:hint="cs"/>
            <w:rtl/>
          </w:rPr>
          <w:t>ص</w:t>
        </w:r>
        <w:r w:rsidRPr="00413F2D">
          <w:rPr>
            <w:rStyle w:val="Hyperlink"/>
            <w:rtl/>
          </w:rPr>
          <w:t>91</w:t>
        </w:r>
        <w:r w:rsidRPr="00413F2D">
          <w:rPr>
            <w:rStyle w:val="Hyperlink"/>
          </w:rPr>
          <w:t>.</w:t>
        </w:r>
      </w:hyperlink>
    </w:p>
  </w:footnote>
  <w:footnote w:id="12">
    <w:p w:rsidR="004A6127" w:rsidRPr="00413F2D" w:rsidRDefault="004A6127" w:rsidP="004A6127">
      <w:pPr>
        <w:pStyle w:val="FootnoteText"/>
      </w:pPr>
      <w:r w:rsidRPr="00413F2D">
        <w:footnoteRef/>
      </w:r>
      <w:r w:rsidRPr="00413F2D">
        <w:rPr>
          <w:rtl/>
        </w:rPr>
        <w:t xml:space="preserve"> </w:t>
      </w:r>
      <w:hyperlink r:id="rId7" w:history="1">
        <w:r w:rsidRPr="00413F2D">
          <w:rPr>
            <w:rStyle w:val="Hyperlink"/>
            <w:rFonts w:hint="cs"/>
            <w:rtl/>
          </w:rPr>
          <w:t>تکملة</w:t>
        </w:r>
        <w:r w:rsidRPr="00413F2D">
          <w:rPr>
            <w:rStyle w:val="Hyperlink"/>
            <w:rtl/>
          </w:rPr>
          <w:t xml:space="preserve"> </w:t>
        </w:r>
        <w:r w:rsidRPr="00413F2D">
          <w:rPr>
            <w:rStyle w:val="Hyperlink"/>
            <w:rFonts w:hint="cs"/>
            <w:rtl/>
          </w:rPr>
          <w:t>العروة</w:t>
        </w:r>
        <w:r w:rsidRPr="00413F2D">
          <w:rPr>
            <w:rStyle w:val="Hyperlink"/>
            <w:rtl/>
          </w:rPr>
          <w:t xml:space="preserve"> </w:t>
        </w:r>
        <w:r w:rsidRPr="00413F2D">
          <w:rPr>
            <w:rStyle w:val="Hyperlink"/>
            <w:rFonts w:hint="cs"/>
            <w:rtl/>
          </w:rPr>
          <w:t>الوثقی،</w:t>
        </w:r>
        <w:r w:rsidRPr="00413F2D">
          <w:rPr>
            <w:rStyle w:val="Hyperlink"/>
            <w:rtl/>
          </w:rPr>
          <w:t xml:space="preserve"> </w:t>
        </w:r>
        <w:r w:rsidRPr="00413F2D">
          <w:rPr>
            <w:rStyle w:val="Hyperlink"/>
            <w:rFonts w:hint="cs"/>
            <w:rtl/>
          </w:rPr>
          <w:t>السید</w:t>
        </w:r>
        <w:r w:rsidRPr="00413F2D">
          <w:rPr>
            <w:rStyle w:val="Hyperlink"/>
            <w:rtl/>
          </w:rPr>
          <w:t xml:space="preserve"> </w:t>
        </w:r>
        <w:r w:rsidRPr="00413F2D">
          <w:rPr>
            <w:rStyle w:val="Hyperlink"/>
            <w:rFonts w:hint="cs"/>
            <w:rtl/>
          </w:rPr>
          <w:t>محمد</w:t>
        </w:r>
        <w:r w:rsidRPr="00413F2D">
          <w:rPr>
            <w:rStyle w:val="Hyperlink"/>
            <w:rtl/>
          </w:rPr>
          <w:t xml:space="preserve"> </w:t>
        </w:r>
        <w:r w:rsidRPr="00413F2D">
          <w:rPr>
            <w:rStyle w:val="Hyperlink"/>
            <w:rFonts w:hint="cs"/>
            <w:rtl/>
          </w:rPr>
          <w:t>کاظم</w:t>
        </w:r>
        <w:r w:rsidRPr="00413F2D">
          <w:rPr>
            <w:rStyle w:val="Hyperlink"/>
            <w:rtl/>
          </w:rPr>
          <w:t xml:space="preserve"> </w:t>
        </w:r>
        <w:r w:rsidRPr="00413F2D">
          <w:rPr>
            <w:rStyle w:val="Hyperlink"/>
            <w:rFonts w:hint="cs"/>
            <w:rtl/>
          </w:rPr>
          <w:t>الطباطبائی</w:t>
        </w:r>
        <w:r w:rsidRPr="00413F2D">
          <w:rPr>
            <w:rStyle w:val="Hyperlink"/>
            <w:rtl/>
          </w:rPr>
          <w:t xml:space="preserve"> </w:t>
        </w:r>
        <w:r w:rsidRPr="00413F2D">
          <w:rPr>
            <w:rStyle w:val="Hyperlink"/>
            <w:rFonts w:hint="cs"/>
            <w:rtl/>
          </w:rPr>
          <w:t>الیزدی،</w:t>
        </w:r>
        <w:r w:rsidRPr="00413F2D">
          <w:rPr>
            <w:rStyle w:val="Hyperlink"/>
            <w:rtl/>
          </w:rPr>
          <w:t xml:space="preserve"> </w:t>
        </w:r>
        <w:r w:rsidRPr="00413F2D">
          <w:rPr>
            <w:rStyle w:val="Hyperlink"/>
            <w:rFonts w:hint="cs"/>
            <w:rtl/>
          </w:rPr>
          <w:t>ج</w:t>
        </w:r>
        <w:r w:rsidRPr="00413F2D">
          <w:rPr>
            <w:rStyle w:val="Hyperlink"/>
            <w:rtl/>
          </w:rPr>
          <w:t>1</w:t>
        </w:r>
        <w:r w:rsidRPr="00413F2D">
          <w:rPr>
            <w:rStyle w:val="Hyperlink"/>
            <w:rFonts w:hint="cs"/>
            <w:rtl/>
          </w:rPr>
          <w:t>،</w:t>
        </w:r>
        <w:r w:rsidRPr="00413F2D">
          <w:rPr>
            <w:rStyle w:val="Hyperlink"/>
            <w:rtl/>
          </w:rPr>
          <w:t xml:space="preserve"> </w:t>
        </w:r>
        <w:r w:rsidRPr="00413F2D">
          <w:rPr>
            <w:rStyle w:val="Hyperlink"/>
            <w:rFonts w:hint="cs"/>
            <w:rtl/>
          </w:rPr>
          <w:t>ص</w:t>
        </w:r>
        <w:r w:rsidRPr="00413F2D">
          <w:rPr>
            <w:rStyle w:val="Hyperlink"/>
            <w:rtl/>
          </w:rPr>
          <w:t>91</w:t>
        </w:r>
        <w:r w:rsidRPr="00413F2D">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6110CE">
      <w:rPr>
        <w:b/>
        <w:bCs/>
        <w:sz w:val="20"/>
        <w:szCs w:val="24"/>
        <w:rtl/>
      </w:rPr>
      <w:t>067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6110CE">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6110CE">
      <w:rPr>
        <w:rFonts w:hint="cs"/>
        <w:b/>
        <w:bCs/>
        <w:color w:val="632423" w:themeColor="accent2" w:themeShade="80"/>
        <w:sz w:val="20"/>
        <w:szCs w:val="24"/>
        <w:rtl/>
      </w:rPr>
      <w:t>سید</w:t>
    </w:r>
    <w:r w:rsidR="006110CE">
      <w:rPr>
        <w:b/>
        <w:bCs/>
        <w:color w:val="632423" w:themeColor="accent2" w:themeShade="80"/>
        <w:sz w:val="20"/>
        <w:szCs w:val="24"/>
        <w:rtl/>
      </w:rPr>
      <w:t xml:space="preserve"> </w:t>
    </w:r>
    <w:r w:rsidR="006110CE">
      <w:rPr>
        <w:rFonts w:hint="cs"/>
        <w:b/>
        <w:bCs/>
        <w:color w:val="632423" w:themeColor="accent2" w:themeShade="80"/>
        <w:sz w:val="20"/>
        <w:szCs w:val="24"/>
        <w:rtl/>
      </w:rPr>
      <w:t>محمد</w:t>
    </w:r>
    <w:r w:rsidR="006110CE">
      <w:rPr>
        <w:b/>
        <w:bCs/>
        <w:color w:val="632423" w:themeColor="accent2" w:themeShade="80"/>
        <w:sz w:val="20"/>
        <w:szCs w:val="24"/>
        <w:rtl/>
      </w:rPr>
      <w:t xml:space="preserve"> </w:t>
    </w:r>
    <w:r w:rsidR="006110CE">
      <w:rPr>
        <w:rFonts w:hint="cs"/>
        <w:b/>
        <w:bCs/>
        <w:color w:val="632423" w:themeColor="accent2" w:themeShade="80"/>
        <w:sz w:val="20"/>
        <w:szCs w:val="24"/>
        <w:rtl/>
      </w:rPr>
      <w:t>جواد</w:t>
    </w:r>
    <w:r w:rsidR="006110CE">
      <w:rPr>
        <w:b/>
        <w:bCs/>
        <w:color w:val="632423" w:themeColor="accent2" w:themeShade="80"/>
        <w:sz w:val="20"/>
        <w:szCs w:val="24"/>
        <w:rtl/>
      </w:rPr>
      <w:t xml:space="preserve"> </w:t>
    </w:r>
    <w:r w:rsidR="006110C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6110CE">
      <w:rPr>
        <w:sz w:val="24"/>
        <w:szCs w:val="24"/>
        <w:rtl/>
      </w:rPr>
      <w:t>18 /11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6110CE">
      <w:rPr>
        <w:rFonts w:hint="cs"/>
        <w:color w:val="000000" w:themeColor="text1"/>
        <w:sz w:val="24"/>
        <w:szCs w:val="24"/>
        <w:rtl/>
      </w:rPr>
      <w:t>تکمله‌ی</w:t>
    </w:r>
    <w:r w:rsidR="006110CE">
      <w:rPr>
        <w:color w:val="000000" w:themeColor="text1"/>
        <w:sz w:val="24"/>
        <w:szCs w:val="24"/>
        <w:rtl/>
      </w:rPr>
      <w:t xml:space="preserve"> </w:t>
    </w:r>
    <w:r w:rsidR="006110CE">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6110CE">
      <w:rPr>
        <w:rFonts w:hint="cs"/>
        <w:sz w:val="24"/>
        <w:szCs w:val="24"/>
        <w:rtl/>
      </w:rPr>
      <w:t>مهدی</w:t>
    </w:r>
    <w:r w:rsidR="006110CE">
      <w:rPr>
        <w:sz w:val="24"/>
        <w:szCs w:val="24"/>
        <w:rtl/>
      </w:rPr>
      <w:t xml:space="preserve"> </w:t>
    </w:r>
    <w:r w:rsidR="006110CE">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6110CE">
      <w:rPr>
        <w:rFonts w:hint="cs"/>
        <w:sz w:val="24"/>
        <w:szCs w:val="24"/>
        <w:rtl/>
      </w:rPr>
      <w:t>عده‌ی</w:t>
    </w:r>
    <w:r w:rsidR="006110CE">
      <w:rPr>
        <w:sz w:val="24"/>
        <w:szCs w:val="24"/>
        <w:rtl/>
      </w:rPr>
      <w:t xml:space="preserve"> </w:t>
    </w:r>
    <w:r w:rsidR="006110CE">
      <w:rPr>
        <w:rFonts w:hint="cs"/>
        <w:sz w:val="24"/>
        <w:szCs w:val="24"/>
        <w:rtl/>
      </w:rPr>
      <w:t>متعه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0CD5"/>
    <w:rsid w:val="00025777"/>
    <w:rsid w:val="00025B70"/>
    <w:rsid w:val="000353D7"/>
    <w:rsid w:val="00055496"/>
    <w:rsid w:val="00073DE8"/>
    <w:rsid w:val="00080A41"/>
    <w:rsid w:val="0008299B"/>
    <w:rsid w:val="000913AA"/>
    <w:rsid w:val="00094847"/>
    <w:rsid w:val="00096C63"/>
    <w:rsid w:val="000B5DB5"/>
    <w:rsid w:val="000B5F98"/>
    <w:rsid w:val="000C3947"/>
    <w:rsid w:val="000D2A37"/>
    <w:rsid w:val="000D30E9"/>
    <w:rsid w:val="000D6818"/>
    <w:rsid w:val="000E335E"/>
    <w:rsid w:val="000F16CF"/>
    <w:rsid w:val="000F5BAC"/>
    <w:rsid w:val="00102201"/>
    <w:rsid w:val="00102585"/>
    <w:rsid w:val="00102E27"/>
    <w:rsid w:val="00106B71"/>
    <w:rsid w:val="00114AB7"/>
    <w:rsid w:val="00116B2B"/>
    <w:rsid w:val="00124E3D"/>
    <w:rsid w:val="0012671C"/>
    <w:rsid w:val="00127E95"/>
    <w:rsid w:val="00130659"/>
    <w:rsid w:val="001347C7"/>
    <w:rsid w:val="001356B0"/>
    <w:rsid w:val="00151937"/>
    <w:rsid w:val="00161214"/>
    <w:rsid w:val="001742AC"/>
    <w:rsid w:val="00181844"/>
    <w:rsid w:val="001837E9"/>
    <w:rsid w:val="00187DFA"/>
    <w:rsid w:val="001A1BC1"/>
    <w:rsid w:val="001A1EA5"/>
    <w:rsid w:val="001A2574"/>
    <w:rsid w:val="001A27D7"/>
    <w:rsid w:val="001A294E"/>
    <w:rsid w:val="001A43BB"/>
    <w:rsid w:val="001A4ED8"/>
    <w:rsid w:val="001B2488"/>
    <w:rsid w:val="001B6799"/>
    <w:rsid w:val="001C1362"/>
    <w:rsid w:val="001C48BE"/>
    <w:rsid w:val="001D2E9A"/>
    <w:rsid w:val="001D597F"/>
    <w:rsid w:val="001E3FD4"/>
    <w:rsid w:val="0020241A"/>
    <w:rsid w:val="00203821"/>
    <w:rsid w:val="00203F02"/>
    <w:rsid w:val="00210EFF"/>
    <w:rsid w:val="00211632"/>
    <w:rsid w:val="0021630D"/>
    <w:rsid w:val="00220DC3"/>
    <w:rsid w:val="00232C97"/>
    <w:rsid w:val="0024121B"/>
    <w:rsid w:val="00247D2F"/>
    <w:rsid w:val="00256560"/>
    <w:rsid w:val="00266EDE"/>
    <w:rsid w:val="0027605E"/>
    <w:rsid w:val="00281E00"/>
    <w:rsid w:val="00294A52"/>
    <w:rsid w:val="002B3A03"/>
    <w:rsid w:val="002B5653"/>
    <w:rsid w:val="002B575F"/>
    <w:rsid w:val="002B729B"/>
    <w:rsid w:val="002C23B5"/>
    <w:rsid w:val="002C53A2"/>
    <w:rsid w:val="002D0040"/>
    <w:rsid w:val="002D2FA8"/>
    <w:rsid w:val="002E220F"/>
    <w:rsid w:val="002F4BB3"/>
    <w:rsid w:val="00307311"/>
    <w:rsid w:val="00317F33"/>
    <w:rsid w:val="0032100F"/>
    <w:rsid w:val="0033402C"/>
    <w:rsid w:val="00340521"/>
    <w:rsid w:val="00345C73"/>
    <w:rsid w:val="00354A99"/>
    <w:rsid w:val="00360311"/>
    <w:rsid w:val="00361922"/>
    <w:rsid w:val="0037339B"/>
    <w:rsid w:val="00386888"/>
    <w:rsid w:val="00386C11"/>
    <w:rsid w:val="00397466"/>
    <w:rsid w:val="003A6148"/>
    <w:rsid w:val="003C33F6"/>
    <w:rsid w:val="003C3D2E"/>
    <w:rsid w:val="003C43A5"/>
    <w:rsid w:val="003E1C5C"/>
    <w:rsid w:val="003E6650"/>
    <w:rsid w:val="003E78F0"/>
    <w:rsid w:val="003F5B46"/>
    <w:rsid w:val="00401363"/>
    <w:rsid w:val="00402E47"/>
    <w:rsid w:val="00406A57"/>
    <w:rsid w:val="00425015"/>
    <w:rsid w:val="00425095"/>
    <w:rsid w:val="00430994"/>
    <w:rsid w:val="0044100C"/>
    <w:rsid w:val="00441B6D"/>
    <w:rsid w:val="004556EF"/>
    <w:rsid w:val="00457CE5"/>
    <w:rsid w:val="00462B07"/>
    <w:rsid w:val="00465A83"/>
    <w:rsid w:val="00465BD2"/>
    <w:rsid w:val="004715C8"/>
    <w:rsid w:val="00481C31"/>
    <w:rsid w:val="00482FC1"/>
    <w:rsid w:val="00483027"/>
    <w:rsid w:val="00486133"/>
    <w:rsid w:val="0048702F"/>
    <w:rsid w:val="004871AA"/>
    <w:rsid w:val="004908EF"/>
    <w:rsid w:val="004918D7"/>
    <w:rsid w:val="004926E1"/>
    <w:rsid w:val="004A2FEA"/>
    <w:rsid w:val="004A6127"/>
    <w:rsid w:val="004B0649"/>
    <w:rsid w:val="004C3E1D"/>
    <w:rsid w:val="004D2DD7"/>
    <w:rsid w:val="004D6E21"/>
    <w:rsid w:val="004D75C5"/>
    <w:rsid w:val="004E2186"/>
    <w:rsid w:val="004E66FB"/>
    <w:rsid w:val="004F470A"/>
    <w:rsid w:val="004F4C59"/>
    <w:rsid w:val="00500C8F"/>
    <w:rsid w:val="00501909"/>
    <w:rsid w:val="00506C3E"/>
    <w:rsid w:val="00506FC2"/>
    <w:rsid w:val="00507BBB"/>
    <w:rsid w:val="005128DF"/>
    <w:rsid w:val="0051592A"/>
    <w:rsid w:val="005206FE"/>
    <w:rsid w:val="005257ED"/>
    <w:rsid w:val="005306F8"/>
    <w:rsid w:val="0054023D"/>
    <w:rsid w:val="005426BF"/>
    <w:rsid w:val="00561AB1"/>
    <w:rsid w:val="0056213C"/>
    <w:rsid w:val="005638AA"/>
    <w:rsid w:val="00580C24"/>
    <w:rsid w:val="00593945"/>
    <w:rsid w:val="005968EF"/>
    <w:rsid w:val="00596C1E"/>
    <w:rsid w:val="005A2E26"/>
    <w:rsid w:val="005B7BCA"/>
    <w:rsid w:val="005C0DAE"/>
    <w:rsid w:val="005C188E"/>
    <w:rsid w:val="005C3865"/>
    <w:rsid w:val="005D2349"/>
    <w:rsid w:val="005D3F13"/>
    <w:rsid w:val="005E1B60"/>
    <w:rsid w:val="005E5507"/>
    <w:rsid w:val="005E607B"/>
    <w:rsid w:val="005F0A8D"/>
    <w:rsid w:val="005F5C80"/>
    <w:rsid w:val="00601229"/>
    <w:rsid w:val="00603B67"/>
    <w:rsid w:val="006068B8"/>
    <w:rsid w:val="006110CE"/>
    <w:rsid w:val="006162A2"/>
    <w:rsid w:val="006240DA"/>
    <w:rsid w:val="00624CA7"/>
    <w:rsid w:val="0063256E"/>
    <w:rsid w:val="00633F04"/>
    <w:rsid w:val="00635219"/>
    <w:rsid w:val="00635EC0"/>
    <w:rsid w:val="0063698C"/>
    <w:rsid w:val="00640B58"/>
    <w:rsid w:val="006461E8"/>
    <w:rsid w:val="00651B02"/>
    <w:rsid w:val="00651B19"/>
    <w:rsid w:val="00660A29"/>
    <w:rsid w:val="006618C6"/>
    <w:rsid w:val="006642EA"/>
    <w:rsid w:val="00690D54"/>
    <w:rsid w:val="00695519"/>
    <w:rsid w:val="006A4134"/>
    <w:rsid w:val="006A5DDA"/>
    <w:rsid w:val="006A6701"/>
    <w:rsid w:val="006B21F4"/>
    <w:rsid w:val="006B3753"/>
    <w:rsid w:val="006B7AD6"/>
    <w:rsid w:val="006C50FD"/>
    <w:rsid w:val="006C616D"/>
    <w:rsid w:val="006D1DD4"/>
    <w:rsid w:val="006D207C"/>
    <w:rsid w:val="006D4014"/>
    <w:rsid w:val="006D44C1"/>
    <w:rsid w:val="006D4A04"/>
    <w:rsid w:val="006E5651"/>
    <w:rsid w:val="006E5B85"/>
    <w:rsid w:val="006F026A"/>
    <w:rsid w:val="006F1433"/>
    <w:rsid w:val="006F2325"/>
    <w:rsid w:val="0070265B"/>
    <w:rsid w:val="00702CAC"/>
    <w:rsid w:val="00704813"/>
    <w:rsid w:val="0072290D"/>
    <w:rsid w:val="00723D6D"/>
    <w:rsid w:val="00724537"/>
    <w:rsid w:val="00731724"/>
    <w:rsid w:val="0073474B"/>
    <w:rsid w:val="00735511"/>
    <w:rsid w:val="00737208"/>
    <w:rsid w:val="00742FC7"/>
    <w:rsid w:val="00744DE6"/>
    <w:rsid w:val="00760F78"/>
    <w:rsid w:val="00762452"/>
    <w:rsid w:val="007639E0"/>
    <w:rsid w:val="00775507"/>
    <w:rsid w:val="00783473"/>
    <w:rsid w:val="0078594B"/>
    <w:rsid w:val="00795671"/>
    <w:rsid w:val="00795E02"/>
    <w:rsid w:val="007979D0"/>
    <w:rsid w:val="007A344E"/>
    <w:rsid w:val="007A4E18"/>
    <w:rsid w:val="007A7B8C"/>
    <w:rsid w:val="007C6D9E"/>
    <w:rsid w:val="007C7B12"/>
    <w:rsid w:val="007D16DB"/>
    <w:rsid w:val="007D1C43"/>
    <w:rsid w:val="007D6C53"/>
    <w:rsid w:val="007E1564"/>
    <w:rsid w:val="007E1E87"/>
    <w:rsid w:val="007E5B3F"/>
    <w:rsid w:val="007F2257"/>
    <w:rsid w:val="0080091D"/>
    <w:rsid w:val="00804108"/>
    <w:rsid w:val="00804FC4"/>
    <w:rsid w:val="0081236E"/>
    <w:rsid w:val="00816367"/>
    <w:rsid w:val="00816A0B"/>
    <w:rsid w:val="00824B22"/>
    <w:rsid w:val="00830C53"/>
    <w:rsid w:val="00834D95"/>
    <w:rsid w:val="00837FAA"/>
    <w:rsid w:val="00841F77"/>
    <w:rsid w:val="0085276D"/>
    <w:rsid w:val="00863390"/>
    <w:rsid w:val="0086385C"/>
    <w:rsid w:val="00871916"/>
    <w:rsid w:val="008956DD"/>
    <w:rsid w:val="008A510E"/>
    <w:rsid w:val="008A522A"/>
    <w:rsid w:val="008B4464"/>
    <w:rsid w:val="008B750B"/>
    <w:rsid w:val="008C0B11"/>
    <w:rsid w:val="008C3162"/>
    <w:rsid w:val="008D1F14"/>
    <w:rsid w:val="008E3924"/>
    <w:rsid w:val="008E70CD"/>
    <w:rsid w:val="008F13F7"/>
    <w:rsid w:val="008F5B4D"/>
    <w:rsid w:val="00907425"/>
    <w:rsid w:val="00923C34"/>
    <w:rsid w:val="00924152"/>
    <w:rsid w:val="0092513D"/>
    <w:rsid w:val="00926968"/>
    <w:rsid w:val="00927A9F"/>
    <w:rsid w:val="009335CC"/>
    <w:rsid w:val="00935A55"/>
    <w:rsid w:val="00936596"/>
    <w:rsid w:val="00941CEB"/>
    <w:rsid w:val="00943088"/>
    <w:rsid w:val="0094720F"/>
    <w:rsid w:val="009535AB"/>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2711"/>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2070"/>
    <w:rsid w:val="00AA40D7"/>
    <w:rsid w:val="00AB39DA"/>
    <w:rsid w:val="00AB5F7D"/>
    <w:rsid w:val="00AC0C50"/>
    <w:rsid w:val="00AC1521"/>
    <w:rsid w:val="00AC6FE2"/>
    <w:rsid w:val="00AF3925"/>
    <w:rsid w:val="00AF7D2C"/>
    <w:rsid w:val="00B1296B"/>
    <w:rsid w:val="00B16987"/>
    <w:rsid w:val="00B2292F"/>
    <w:rsid w:val="00B32D16"/>
    <w:rsid w:val="00B43169"/>
    <w:rsid w:val="00B501A8"/>
    <w:rsid w:val="00B55AE4"/>
    <w:rsid w:val="00B66C57"/>
    <w:rsid w:val="00B70B46"/>
    <w:rsid w:val="00B739B0"/>
    <w:rsid w:val="00B75B01"/>
    <w:rsid w:val="00B814A3"/>
    <w:rsid w:val="00B83093"/>
    <w:rsid w:val="00B96F38"/>
    <w:rsid w:val="00BA2295"/>
    <w:rsid w:val="00BC251B"/>
    <w:rsid w:val="00BC716B"/>
    <w:rsid w:val="00BD0E74"/>
    <w:rsid w:val="00BD5F8C"/>
    <w:rsid w:val="00BE29DD"/>
    <w:rsid w:val="00BE3C2A"/>
    <w:rsid w:val="00BE69B5"/>
    <w:rsid w:val="00C066AF"/>
    <w:rsid w:val="00C07D7E"/>
    <w:rsid w:val="00C10E06"/>
    <w:rsid w:val="00C123E3"/>
    <w:rsid w:val="00C145B8"/>
    <w:rsid w:val="00C2438F"/>
    <w:rsid w:val="00C309EF"/>
    <w:rsid w:val="00C31AF0"/>
    <w:rsid w:val="00C32A7E"/>
    <w:rsid w:val="00C34CB2"/>
    <w:rsid w:val="00C34F28"/>
    <w:rsid w:val="00C368DF"/>
    <w:rsid w:val="00C442C5"/>
    <w:rsid w:val="00C52145"/>
    <w:rsid w:val="00C57B5C"/>
    <w:rsid w:val="00C57C7C"/>
    <w:rsid w:val="00C61049"/>
    <w:rsid w:val="00C63FFE"/>
    <w:rsid w:val="00C70E9F"/>
    <w:rsid w:val="00C91EB6"/>
    <w:rsid w:val="00CA10B0"/>
    <w:rsid w:val="00CA2F8E"/>
    <w:rsid w:val="00CA3EE2"/>
    <w:rsid w:val="00CA63C6"/>
    <w:rsid w:val="00CA7FD5"/>
    <w:rsid w:val="00CB3287"/>
    <w:rsid w:val="00CB33E2"/>
    <w:rsid w:val="00CB4E68"/>
    <w:rsid w:val="00CC2733"/>
    <w:rsid w:val="00CD0050"/>
    <w:rsid w:val="00CE3C24"/>
    <w:rsid w:val="00CE5EDD"/>
    <w:rsid w:val="00CE7481"/>
    <w:rsid w:val="00CF0A8F"/>
    <w:rsid w:val="00D03B5C"/>
    <w:rsid w:val="00D048CE"/>
    <w:rsid w:val="00D10998"/>
    <w:rsid w:val="00D15CBD"/>
    <w:rsid w:val="00D221CB"/>
    <w:rsid w:val="00D23391"/>
    <w:rsid w:val="00D23BA1"/>
    <w:rsid w:val="00D31805"/>
    <w:rsid w:val="00D552B9"/>
    <w:rsid w:val="00D6110D"/>
    <w:rsid w:val="00D735B2"/>
    <w:rsid w:val="00D74021"/>
    <w:rsid w:val="00D76D01"/>
    <w:rsid w:val="00D921F9"/>
    <w:rsid w:val="00D922A9"/>
    <w:rsid w:val="00D9394A"/>
    <w:rsid w:val="00DB0CBB"/>
    <w:rsid w:val="00DB67CC"/>
    <w:rsid w:val="00DC3783"/>
    <w:rsid w:val="00DE1070"/>
    <w:rsid w:val="00E00219"/>
    <w:rsid w:val="00E0316B"/>
    <w:rsid w:val="00E21594"/>
    <w:rsid w:val="00E25E10"/>
    <w:rsid w:val="00E50B41"/>
    <w:rsid w:val="00E5219B"/>
    <w:rsid w:val="00E52D07"/>
    <w:rsid w:val="00E5518B"/>
    <w:rsid w:val="00E609FE"/>
    <w:rsid w:val="00E630BE"/>
    <w:rsid w:val="00E63522"/>
    <w:rsid w:val="00E75920"/>
    <w:rsid w:val="00E80D96"/>
    <w:rsid w:val="00E871FA"/>
    <w:rsid w:val="00E916A8"/>
    <w:rsid w:val="00E936A4"/>
    <w:rsid w:val="00E954BB"/>
    <w:rsid w:val="00EA0BD3"/>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46B1"/>
    <w:rsid w:val="00F57EB0"/>
    <w:rsid w:val="00F60F1F"/>
    <w:rsid w:val="00F62DA6"/>
    <w:rsid w:val="00F64141"/>
    <w:rsid w:val="00F67508"/>
    <w:rsid w:val="00F71FC9"/>
    <w:rsid w:val="00F73B48"/>
    <w:rsid w:val="00F73C4A"/>
    <w:rsid w:val="00F74F51"/>
    <w:rsid w:val="00F830C6"/>
    <w:rsid w:val="00F842AD"/>
    <w:rsid w:val="00F86E65"/>
    <w:rsid w:val="00F914EB"/>
    <w:rsid w:val="00F91B85"/>
    <w:rsid w:val="00F938E7"/>
    <w:rsid w:val="00F946A7"/>
    <w:rsid w:val="00FA3B17"/>
    <w:rsid w:val="00FA5E8D"/>
    <w:rsid w:val="00FA5F3D"/>
    <w:rsid w:val="00FB399E"/>
    <w:rsid w:val="00FB7F50"/>
    <w:rsid w:val="00FC2A85"/>
    <w:rsid w:val="00FC40AF"/>
    <w:rsid w:val="00FC73B9"/>
    <w:rsid w:val="00FC7DBA"/>
    <w:rsid w:val="00FD0A16"/>
    <w:rsid w:val="00FD33A7"/>
    <w:rsid w:val="00FE3D7D"/>
    <w:rsid w:val="00FE6DCF"/>
    <w:rsid w:val="00FF2018"/>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0238">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469574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05660620">
      <w:bodyDiv w:val="1"/>
      <w:marLeft w:val="0"/>
      <w:marRight w:val="0"/>
      <w:marTop w:val="0"/>
      <w:marBottom w:val="0"/>
      <w:divBdr>
        <w:top w:val="none" w:sz="0" w:space="0" w:color="auto"/>
        <w:left w:val="none" w:sz="0" w:space="0" w:color="auto"/>
        <w:bottom w:val="none" w:sz="0" w:space="0" w:color="auto"/>
        <w:right w:val="none" w:sz="0" w:space="0" w:color="auto"/>
      </w:divBdr>
    </w:div>
    <w:div w:id="1084255607">
      <w:bodyDiv w:val="1"/>
      <w:marLeft w:val="0"/>
      <w:marRight w:val="0"/>
      <w:marTop w:val="0"/>
      <w:marBottom w:val="0"/>
      <w:divBdr>
        <w:top w:val="none" w:sz="0" w:space="0" w:color="auto"/>
        <w:left w:val="none" w:sz="0" w:space="0" w:color="auto"/>
        <w:bottom w:val="none" w:sz="0" w:space="0" w:color="auto"/>
        <w:right w:val="none" w:sz="0" w:space="0" w:color="auto"/>
      </w:divBdr>
    </w:div>
    <w:div w:id="116667233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5524253">
      <w:bodyDiv w:val="1"/>
      <w:marLeft w:val="0"/>
      <w:marRight w:val="0"/>
      <w:marTop w:val="0"/>
      <w:marBottom w:val="0"/>
      <w:divBdr>
        <w:top w:val="none" w:sz="0" w:space="0" w:color="auto"/>
        <w:left w:val="none" w:sz="0" w:space="0" w:color="auto"/>
        <w:bottom w:val="none" w:sz="0" w:space="0" w:color="auto"/>
        <w:right w:val="none" w:sz="0" w:space="0" w:color="auto"/>
      </w:divBdr>
    </w:div>
    <w:div w:id="145046460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1/1/90/5" TargetMode="External"/><Relationship Id="rId7" Type="http://schemas.openxmlformats.org/officeDocument/2006/relationships/hyperlink" Target="http://lib.eshia.ir/10081/1/91/8" TargetMode="External"/><Relationship Id="rId2" Type="http://schemas.openxmlformats.org/officeDocument/2006/relationships/hyperlink" Target="http://lib.eshia.ir/11005/5/451/&#1601;&#1604;&#1602;&#1610;&#1578;&#1607;%20" TargetMode="External"/><Relationship Id="rId1" Type="http://schemas.openxmlformats.org/officeDocument/2006/relationships/hyperlink" Target="http://lib.eshia.ir/10083/8/157/144" TargetMode="External"/><Relationship Id="rId6" Type="http://schemas.openxmlformats.org/officeDocument/2006/relationships/hyperlink" Target="http://lib.eshia.ir/10081/1/91/7" TargetMode="External"/><Relationship Id="rId5" Type="http://schemas.openxmlformats.org/officeDocument/2006/relationships/hyperlink" Target="http://lib.eshia.ir/10083/8/158/&#1588;&#1593;&#1576;&#1577;" TargetMode="External"/><Relationship Id="rId4" Type="http://schemas.openxmlformats.org/officeDocument/2006/relationships/hyperlink" Target="http://lib.eshia.ir/10081/1/9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BFC36-2EDB-4BD4-89D1-7D33CBE9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678</TotalTime>
  <Pages>8</Pages>
  <Words>1961</Words>
  <Characters>11184</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13119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107</cp:revision>
  <cp:lastPrinted>2021-02-09T17:38:00Z</cp:lastPrinted>
  <dcterms:created xsi:type="dcterms:W3CDTF">2021-02-08T13:43:00Z</dcterms:created>
  <dcterms:modified xsi:type="dcterms:W3CDTF">2021-02-14T15:35:00Z</dcterms:modified>
  <cp:contentStatus>ویرایش 2.5</cp:contentStatus>
  <cp:version>2.7</cp:version>
</cp:coreProperties>
</file>