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F8" w:rsidRDefault="00CF20F8" w:rsidP="00CF20F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CF20F8" w:rsidRDefault="00CF20F8" w:rsidP="00DA7643">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hint="cs"/>
          <w:b/>
          <w:bCs/>
          <w:color w:val="0101FF"/>
          <w:sz w:val="24"/>
          <w:szCs w:val="24"/>
          <w:shd w:val="clear" w:color="auto" w:fill="FFFFFF"/>
          <w:rtl/>
        </w:rPr>
        <w:t>جلسه338– 08 /1</w:t>
      </w:r>
      <w:r w:rsidR="00DA7643">
        <w:rPr>
          <w:rFonts w:ascii="IRANSans" w:hAnsi="IRANSans" w:cs="IRANSans" w:hint="cs"/>
          <w:b/>
          <w:bCs/>
          <w:color w:val="0101FF"/>
          <w:sz w:val="24"/>
          <w:szCs w:val="24"/>
          <w:shd w:val="clear" w:color="auto" w:fill="FFFFFF"/>
          <w:rtl/>
        </w:rPr>
        <w:t>1</w:t>
      </w:r>
      <w:bookmarkStart w:id="0" w:name="_GoBack"/>
      <w:bookmarkEnd w:id="0"/>
      <w:r>
        <w:rPr>
          <w:rFonts w:ascii="IRANSans" w:hAnsi="IRANSans" w:cs="IRANSans" w:hint="cs"/>
          <w:b/>
          <w:bCs/>
          <w:color w:val="0101FF"/>
          <w:sz w:val="24"/>
          <w:szCs w:val="24"/>
          <w:shd w:val="clear" w:color="auto" w:fill="FFFFFF"/>
          <w:rtl/>
        </w:rPr>
        <w:t>/ 1399 عده متعه /فصل سوم تکمله عروه /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630AA7" w:rsidRDefault="0076435E" w:rsidP="00630AA7">
      <w:pPr>
        <w:pBdr>
          <w:bottom w:val="double" w:sz="6" w:space="1" w:color="auto"/>
        </w:pBdr>
        <w:jc w:val="both"/>
        <w:rPr>
          <w:rtl/>
        </w:rPr>
      </w:pPr>
      <w:r>
        <w:rPr>
          <w:rFonts w:hint="cs"/>
          <w:rtl/>
        </w:rPr>
        <w:t>بحث در مورد عده‌ی متعه بود. در جلسه‌ی قبل اقوال این بحث را بیان کردیم.</w:t>
      </w:r>
      <w:r w:rsidR="00630AA7">
        <w:rPr>
          <w:rFonts w:hint="cs"/>
          <w:rtl/>
        </w:rPr>
        <w:t xml:space="preserve"> بعضی از مطالبی که بیان شد، نیاز به تصحیح دارد. پس از بیان صحیح مطالب وارد روایات مساله می شویم.</w:t>
      </w:r>
    </w:p>
    <w:p w:rsidR="00247D2F" w:rsidRPr="003A6148" w:rsidRDefault="00247D2F" w:rsidP="008E3AEB">
      <w:pPr>
        <w:pBdr>
          <w:bottom w:val="double" w:sz="6" w:space="1" w:color="auto"/>
        </w:pBdr>
        <w:jc w:val="both"/>
      </w:pPr>
    </w:p>
    <w:p w:rsidR="008F5B4D" w:rsidRDefault="008F5B4D" w:rsidP="008E3AEB">
      <w:pPr>
        <w:jc w:val="both"/>
      </w:pPr>
    </w:p>
    <w:p w:rsidR="001A1EA5" w:rsidRDefault="00915812" w:rsidP="00915812">
      <w:pPr>
        <w:pStyle w:val="Heading1"/>
        <w:rPr>
          <w:rtl/>
        </w:rPr>
      </w:pPr>
      <w:bookmarkStart w:id="1" w:name="_Toc62837563"/>
      <w:r>
        <w:rPr>
          <w:rFonts w:hint="cs"/>
          <w:rtl/>
        </w:rPr>
        <w:t>فتوای مرحوم کلینی در عده‌ی متعه</w:t>
      </w:r>
      <w:bookmarkEnd w:id="1"/>
    </w:p>
    <w:p w:rsidR="00CF6F57" w:rsidRDefault="00CF6F57" w:rsidP="00CF6F57">
      <w:pPr>
        <w:jc w:val="both"/>
        <w:rPr>
          <w:rtl/>
        </w:rPr>
      </w:pPr>
      <w:r>
        <w:rPr>
          <w:rFonts w:hint="cs"/>
          <w:rtl/>
        </w:rPr>
        <w:t>آیت الله والد استظهار کرده اند که مرحوم کلینی عده‌ی متعه را یک حیض می داند؛ زیرا روایات دو حیض را ذکر نکرده است.</w:t>
      </w:r>
    </w:p>
    <w:p w:rsidR="00CF6F57" w:rsidRDefault="00CF6F57" w:rsidP="00CF6F57">
      <w:pPr>
        <w:jc w:val="both"/>
        <w:rPr>
          <w:rtl/>
        </w:rPr>
      </w:pPr>
      <w:r>
        <w:rPr>
          <w:rFonts w:hint="cs"/>
          <w:rtl/>
        </w:rPr>
        <w:t xml:space="preserve">اشکال کردیم که روایات دو حیض را نیز آورده است و با مبنای تخییر در متعارضین و یا جمع روایات به این صورت که یک حیض را واجب بدانیم و بیش از آن را بر استحباب حمل کنیم، ممکن است مرحوم کلینی را نیز از قائلین به </w:t>
      </w:r>
      <w:r w:rsidR="008A66FC">
        <w:rPr>
          <w:rFonts w:hint="cs"/>
          <w:rtl/>
        </w:rPr>
        <w:t xml:space="preserve">یک </w:t>
      </w:r>
      <w:r>
        <w:rPr>
          <w:rFonts w:hint="cs"/>
          <w:rtl/>
        </w:rPr>
        <w:t>حیض بدانیم.</w:t>
      </w:r>
    </w:p>
    <w:p w:rsidR="003C5558" w:rsidRDefault="003C5558" w:rsidP="00C335D8">
      <w:pPr>
        <w:jc w:val="both"/>
        <w:rPr>
          <w:rtl/>
        </w:rPr>
      </w:pPr>
      <w:r>
        <w:rPr>
          <w:rFonts w:hint="cs"/>
          <w:rtl/>
        </w:rPr>
        <w:t>اما به نظر می رسد بحث را باید به همان نحوی که آیت الله والد فرموده است</w:t>
      </w:r>
      <w:r w:rsidR="00C335D8">
        <w:rPr>
          <w:rFonts w:hint="cs"/>
          <w:rtl/>
        </w:rPr>
        <w:t>،</w:t>
      </w:r>
      <w:r>
        <w:rPr>
          <w:rFonts w:hint="cs"/>
          <w:rtl/>
        </w:rPr>
        <w:t xml:space="preserve"> دنبال کرد. مرحوم کلینی دو باب مطرح کرده است:</w:t>
      </w:r>
    </w:p>
    <w:p w:rsidR="003C5558" w:rsidRPr="003C5558" w:rsidRDefault="003C5558" w:rsidP="003C5558">
      <w:pPr>
        <w:jc w:val="both"/>
        <w:rPr>
          <w:color w:val="000080"/>
        </w:rPr>
      </w:pPr>
      <w:r w:rsidRPr="003C5558">
        <w:rPr>
          <w:rFonts w:hint="cs"/>
          <w:color w:val="000080"/>
          <w:rtl/>
        </w:rPr>
        <w:t>بَابُ عِدَّةِ الْمُتْعَةِ</w:t>
      </w:r>
    </w:p>
    <w:p w:rsidR="003C5558" w:rsidRPr="003C5558" w:rsidRDefault="003C5558" w:rsidP="003C5558">
      <w:pPr>
        <w:jc w:val="both"/>
        <w:rPr>
          <w:color w:val="008000"/>
          <w:rtl/>
        </w:rPr>
      </w:pPr>
      <w:r w:rsidRPr="003C5558">
        <w:rPr>
          <w:rFonts w:hint="cs"/>
          <w:rtl/>
        </w:rPr>
        <w:t xml:space="preserve">1- عَلِيُّ بْنُ إِبْرَاهِيمَ عَنْ أَبِيهِ عَنِ ابْنِ أَبِي عُمَيْرٍ عَنْ عُمَرَ بْنِ أُذَيْنَةَ عَنْ زُرَارَةَ عَنْ أَبِي عَبْدِ اللَّهِ ع أَنَّهُ قَالَ‏: </w:t>
      </w:r>
      <w:r w:rsidRPr="003C5558">
        <w:rPr>
          <w:rFonts w:hint="cs"/>
          <w:color w:val="008000"/>
          <w:rtl/>
        </w:rPr>
        <w:t>إِنْ كَانَتْ تَحِيضُ فَحَيْضَةٌ وَ إِنْ كَانَتْ لَا تَحِيضُ فَشَهْرٌ وَ نِصْفٌ.</w:t>
      </w:r>
    </w:p>
    <w:p w:rsidR="003C5558" w:rsidRPr="003C5558" w:rsidRDefault="003C5558" w:rsidP="003C5558">
      <w:pPr>
        <w:jc w:val="both"/>
        <w:rPr>
          <w:color w:val="008000"/>
          <w:rtl/>
        </w:rPr>
      </w:pPr>
      <w:r w:rsidRPr="003C5558">
        <w:rPr>
          <w:rFonts w:hint="cs"/>
          <w:rtl/>
        </w:rPr>
        <w:t xml:space="preserve">2- عِدَّةٌ مِنْ أَصْحَابِنَا عَنْ سَهْلِ بْنِ زِيَادٍ عَنْ أَحْمَدَ بْنِ مُحَمَّدِ بْنِ أَبِي نَصْرٍ عَنْ أَبِي الْحَسَنِ الرِّضَا ع قَالَ قَالَ أَبُو جَعْفَرٍ ع‏ </w:t>
      </w:r>
      <w:r w:rsidRPr="003C5558">
        <w:rPr>
          <w:rFonts w:hint="cs"/>
          <w:color w:val="008000"/>
          <w:rtl/>
        </w:rPr>
        <w:t>عِدَّةُ الْمُتْعَةِ خَمْسَةٌ وَ أَرْبَعُونَ يَوْماً وَ الِاحْتِيَاطُ خَمْسٌ وَ أَرْبَعُونَ لَيْلَةً.</w:t>
      </w:r>
    </w:p>
    <w:p w:rsidR="003C5558" w:rsidRPr="003C5558" w:rsidRDefault="003C5558" w:rsidP="003C5558">
      <w:pPr>
        <w:jc w:val="both"/>
        <w:rPr>
          <w:color w:val="008000"/>
          <w:rtl/>
        </w:rPr>
      </w:pPr>
      <w:r w:rsidRPr="003C5558">
        <w:rPr>
          <w:rFonts w:hint="cs"/>
          <w:rtl/>
        </w:rPr>
        <w:t xml:space="preserve">3- مُحَمَّدُ بْنُ يَحْيَى عَنْ أَحْمَدَ بْنِ مُحَمَّدٍ عَنِ ابْنِ فَضَّالٍ عَنِ ابْنِ بُكَيْرٍ عَنْ زُرَارَةَ قَالَ: </w:t>
      </w:r>
      <w:r w:rsidRPr="003C5558">
        <w:rPr>
          <w:rFonts w:hint="cs"/>
          <w:color w:val="008000"/>
          <w:rtl/>
        </w:rPr>
        <w:t>عِدَّةُ الْمُتْعَةِ خَمْسَةٌ وَ أَرْبَعُونَ يَوْماً كَأَنِّي أَنْظُرُ إِلَى أَبِي جَعْفَرٍ ع يَعْقِدُ بِيَدِهِ خَمْسَةً وَ أَرْبَعِينَ فَإِذَا جَازَ الْأَجَلُ كَانَتْ فُرْقَةٌ بِغَيْرِ طَلَاقٍ.</w:t>
      </w:r>
      <w:r>
        <w:rPr>
          <w:rStyle w:val="FootnoteReference"/>
          <w:color w:val="008000"/>
          <w:rtl/>
        </w:rPr>
        <w:footnoteReference w:id="1"/>
      </w:r>
    </w:p>
    <w:p w:rsidR="008E3AEB" w:rsidRDefault="003C5558" w:rsidP="003C5558">
      <w:pPr>
        <w:jc w:val="both"/>
        <w:rPr>
          <w:rtl/>
        </w:rPr>
      </w:pPr>
      <w:r>
        <w:rPr>
          <w:rFonts w:hint="cs"/>
          <w:rtl/>
        </w:rPr>
        <w:t xml:space="preserve">از مجموع این روایات به دست می آید که زنی که حیض می بیند، عده اش یک حیض است و چهل و پنج روز </w:t>
      </w:r>
      <w:r w:rsidR="002E3FBB">
        <w:rPr>
          <w:rFonts w:hint="cs"/>
          <w:rtl/>
        </w:rPr>
        <w:t xml:space="preserve">(شب) </w:t>
      </w:r>
      <w:r>
        <w:rPr>
          <w:rFonts w:hint="cs"/>
          <w:rtl/>
        </w:rPr>
        <w:t>یا یک ماه و نیم بر زنی که حیض نمی بیند، حمل می شود.</w:t>
      </w:r>
    </w:p>
    <w:p w:rsidR="00112240" w:rsidRDefault="002E3FBB" w:rsidP="00112240">
      <w:pPr>
        <w:jc w:val="both"/>
        <w:rPr>
          <w:rtl/>
        </w:rPr>
      </w:pPr>
      <w:r>
        <w:rPr>
          <w:rFonts w:hint="cs"/>
          <w:rtl/>
        </w:rPr>
        <w:lastRenderedPageBreak/>
        <w:t>روایت اسماعیل بن فضل هاشمی را مرحوم کلینی در این باب نیاورده است.</w:t>
      </w:r>
      <w:r w:rsidR="00112240">
        <w:rPr>
          <w:rFonts w:hint="cs"/>
          <w:rtl/>
        </w:rPr>
        <w:t xml:space="preserve"> بلکه در باب </w:t>
      </w:r>
      <w:r w:rsidR="00112240" w:rsidRPr="00112240">
        <w:rPr>
          <w:rFonts w:hint="cs"/>
          <w:color w:val="000080"/>
          <w:rtl/>
        </w:rPr>
        <w:t>بَابُ أَنَّهُنَّ بِمَنْزِلَةِ الْإِمَاءِ وَ لَيْسَتْ مِنَ الْأَرْبَع</w:t>
      </w:r>
      <w:r w:rsidR="00112240" w:rsidRPr="00112240">
        <w:rPr>
          <w:rFonts w:hint="cs"/>
          <w:rtl/>
        </w:rPr>
        <w:t>‏</w:t>
      </w:r>
      <w:r w:rsidR="00112240">
        <w:rPr>
          <w:rFonts w:hint="cs"/>
          <w:rtl/>
        </w:rPr>
        <w:t xml:space="preserve"> آورده است:</w:t>
      </w:r>
    </w:p>
    <w:p w:rsidR="00112240" w:rsidRPr="00112240" w:rsidRDefault="00112240" w:rsidP="00112240">
      <w:pPr>
        <w:jc w:val="both"/>
        <w:rPr>
          <w:color w:val="008000"/>
        </w:rPr>
      </w:pPr>
      <w:r w:rsidRPr="00112240">
        <w:rPr>
          <w:rFonts w:hint="cs"/>
          <w:rtl/>
        </w:rPr>
        <w:t xml:space="preserve">عَلِيُّ بْنُ إِبْرَاهِيمَ عَنْ أَبِيهِ عَنِ ابْنِ أَبِي عُمَيْرٍ عَنْ عُمَرَ بْنِ أُذَيْنَةَ عَنْ إِسْمَاعِيلَ بْنِ الْفَضْلِ الْهَاشِمِيِّ قَالَ: </w:t>
      </w:r>
      <w:r w:rsidRPr="00112240">
        <w:rPr>
          <w:rFonts w:hint="cs"/>
          <w:color w:val="008000"/>
          <w:rtl/>
        </w:rPr>
        <w:t>سَأَلْتُ أَبَا عَبْدِ اللَّهِ ع عَنِ الْمُتْعَةِ فَقَالَ الْقَ عَبْدَ الْمَلِكِ بْنَ جُرَيْجٍ‏ فَسَلْهُ عَنْهَا فَإِنَّ عِنْدَهُ مِنْهَا عِلْماً فَلَقِيتُهُ فَأَمْلَى عَلَيَّ مِنْهَا شَيْئاً كَثِيراً فِي اسْتِحْلَالِهَا فَكَانَ فِيمَا رَوَى لِيَ ابْنُ جُرَيْجٍ قَالَ لَيْسَ فِيهَا وَقْتٌ وَ لَا عَدَدٌ إِنَّمَا هِيَ بِمَنْزِلَةِ الْإِمَاءِ يَتَزَوَّجُ مِنْهُنَّ كَمْ شَاءَ وَ صَاحِبُ الْأَرْبَعِ نِسْوَةٍ يَتَزَوَّجُ مِنْهُنَّ مَا شَاءَ بِغَيْرِ وَلِيٍّ وَ لَا شُهُودٍ فَإِذَا انْقَضَى الْأَجَلُ بَانَتْ مِنْهُ بِغَيْرِ طَلَاقٍ وَ يُعْطِيهَا الشَّيْ‏ءَ الْيَسِيرَ وَ عِدَّتُهَا حَيْضَتَانِ وَ إِنْ كَانَتْ لَا تَحِيضُ فَخَمْسَةٌ وَ أَرْبَعُونَ يَوْماً فَأَتَيْتُ بِالْكِتَابِ أَبَا عَبْدِ اللَّهِ ع فَعَرَضْتُ عَلَيْهِ فَقَالَ صَدَقَ وَ أَقَرَّ بِهِ قَالَ ابْنُ أُذَيْنَةَ وَ كَانَ زُرَارَةُ بْنُ أَعْيَنَ يَقُولُ هَذَا وَ يَحْلِفُ أَنَّهُ الْحَقُّ إِلَّا أَنَّهُ كَانَ يَقُولُ إِنْ كَانَتْ تَحِيضُ فَحَيْضَةٌ وَ إِنْ كَانَتْ لَا تَحِيضُ فَشَهْرٌ وَ نِصْفٌ.</w:t>
      </w:r>
      <w:r>
        <w:rPr>
          <w:rStyle w:val="FootnoteReference"/>
          <w:color w:val="008000"/>
          <w:rtl/>
        </w:rPr>
        <w:footnoteReference w:id="2"/>
      </w:r>
    </w:p>
    <w:p w:rsidR="00112240" w:rsidRPr="00112240" w:rsidRDefault="00112240" w:rsidP="00112240">
      <w:pPr>
        <w:jc w:val="both"/>
      </w:pPr>
      <w:r>
        <w:rPr>
          <w:rFonts w:hint="cs"/>
          <w:rtl/>
        </w:rPr>
        <w:t xml:space="preserve">استشهاد مرحوم کلینی به این قسمت از روایت است: </w:t>
      </w:r>
      <w:r w:rsidRPr="00112240">
        <w:rPr>
          <w:rFonts w:hint="cs"/>
          <w:color w:val="008000"/>
          <w:rtl/>
        </w:rPr>
        <w:t>إِنَّمَا هِيَ بِمَنْزِلَةِ الْإِمَاءِ يَتَزَوَّجُ مِنْهُنَّ كَمْ شَاءَ وَ صَاحِبُ الْأَرْبَعِ نِسْوَةٍ يَتَزَوَّجُ مِنْهُنَّ مَا شَاءَ</w:t>
      </w:r>
    </w:p>
    <w:p w:rsidR="008E3AEB" w:rsidRDefault="00112240" w:rsidP="008E3AEB">
      <w:pPr>
        <w:jc w:val="both"/>
        <w:rPr>
          <w:rtl/>
        </w:rPr>
      </w:pPr>
      <w:r>
        <w:rPr>
          <w:rFonts w:hint="cs"/>
          <w:rtl/>
        </w:rPr>
        <w:t xml:space="preserve"> و ذیل آن که اختلاف نقل دارد، مورد استشهاد او نبوده است و به دو حیض فتوا نمی دهد.</w:t>
      </w:r>
    </w:p>
    <w:p w:rsidR="00667EA7" w:rsidRDefault="00667EA7" w:rsidP="00886C70">
      <w:pPr>
        <w:jc w:val="both"/>
        <w:rPr>
          <w:rtl/>
        </w:rPr>
      </w:pPr>
      <w:r>
        <w:rPr>
          <w:rFonts w:hint="cs"/>
          <w:rtl/>
        </w:rPr>
        <w:t>ظاهرا برداشت مرحوم کلینی این است که روایت زراره ( ذیل روایت) از امام صادق علیه السلام می باشد و همین بخش از این روایت را در باب عده‌ی متعه ذکر کرده</w:t>
      </w:r>
      <w:r w:rsidR="00886C70">
        <w:rPr>
          <w:rFonts w:hint="cs"/>
          <w:rtl/>
        </w:rPr>
        <w:t xml:space="preserve"> است و بخش قبلی روایت </w:t>
      </w:r>
      <w:r w:rsidR="00886C70" w:rsidRPr="00112240">
        <w:rPr>
          <w:rFonts w:hint="cs"/>
          <w:color w:val="008000"/>
          <w:rtl/>
        </w:rPr>
        <w:t>عِدَّتُهَا حَيْضَتَانِ</w:t>
      </w:r>
      <w:r w:rsidR="00886C70">
        <w:rPr>
          <w:rFonts w:hint="cs"/>
          <w:rtl/>
        </w:rPr>
        <w:t xml:space="preserve"> را در آن باب ذکر نکرده است؛ در نتیجه مشخص می شود مرحوم کلینی به دو حیض فتوا نمی دهد.</w:t>
      </w:r>
    </w:p>
    <w:p w:rsidR="008E3AEB" w:rsidRDefault="00667EA7" w:rsidP="008E3AEB">
      <w:pPr>
        <w:jc w:val="both"/>
        <w:rPr>
          <w:rtl/>
        </w:rPr>
      </w:pPr>
      <w:r>
        <w:rPr>
          <w:rFonts w:hint="cs"/>
          <w:rtl/>
        </w:rPr>
        <w:t xml:space="preserve">ممکن است نقل زراره را </w:t>
      </w:r>
      <w:r w:rsidR="00886C70">
        <w:rPr>
          <w:rFonts w:hint="cs"/>
          <w:rtl/>
        </w:rPr>
        <w:t>با بخش قبلی روایت معارض دانسته و نقل زراره را که افق</w:t>
      </w:r>
      <w:r w:rsidR="00743F2E">
        <w:rPr>
          <w:rFonts w:hint="cs"/>
          <w:rtl/>
        </w:rPr>
        <w:t>ه فقها بوده است، ترجیح داده است و در باب عده‌ی متعه ذکر کرده است.</w:t>
      </w:r>
    </w:p>
    <w:p w:rsidR="00C80EA9" w:rsidRDefault="00C80EA9" w:rsidP="001D06E5">
      <w:pPr>
        <w:jc w:val="both"/>
        <w:rPr>
          <w:rtl/>
        </w:rPr>
      </w:pPr>
      <w:r>
        <w:rPr>
          <w:rFonts w:hint="cs"/>
          <w:rtl/>
        </w:rPr>
        <w:t>از مجموع این کلمات مشخص می شود</w:t>
      </w:r>
      <w:r w:rsidR="001D06E5" w:rsidRPr="001D06E5">
        <w:rPr>
          <w:rFonts w:hint="cs"/>
          <w:rtl/>
        </w:rPr>
        <w:t xml:space="preserve"> </w:t>
      </w:r>
      <w:r w:rsidR="001D06E5">
        <w:rPr>
          <w:rFonts w:hint="cs"/>
          <w:rtl/>
        </w:rPr>
        <w:t>مرحوم کلینی</w:t>
      </w:r>
      <w:r>
        <w:rPr>
          <w:rFonts w:hint="cs"/>
          <w:rtl/>
        </w:rPr>
        <w:t xml:space="preserve"> لا اقل در زنی که حیض می بیند، به یک حیض فتوا می دهد.</w:t>
      </w:r>
    </w:p>
    <w:p w:rsidR="00D70CB4" w:rsidRDefault="00D70CB4" w:rsidP="00D70CB4">
      <w:pPr>
        <w:jc w:val="both"/>
        <w:rPr>
          <w:rtl/>
        </w:rPr>
      </w:pPr>
      <w:r>
        <w:rPr>
          <w:rFonts w:hint="cs"/>
          <w:rtl/>
        </w:rPr>
        <w:t>نحوه‌ی جمع روایت یک حیض با روایات چهل و پنج روز در کلام مرحوم کلینی مشخص نمی باشد. ممکن است چهل و پنج روز را بر زنی که حیض نمی بیند اما در سن زنانی است که حیض می بینند، حمل کند.</w:t>
      </w:r>
    </w:p>
    <w:p w:rsidR="001D638E" w:rsidRDefault="001D638E" w:rsidP="00D70CB4">
      <w:pPr>
        <w:jc w:val="both"/>
        <w:rPr>
          <w:rtl/>
        </w:rPr>
      </w:pPr>
    </w:p>
    <w:p w:rsidR="00033067" w:rsidRDefault="00033067" w:rsidP="00033067">
      <w:pPr>
        <w:pStyle w:val="Heading1"/>
        <w:rPr>
          <w:rtl/>
        </w:rPr>
      </w:pPr>
      <w:bookmarkStart w:id="2" w:name="_Toc62837564"/>
      <w:r>
        <w:rPr>
          <w:rFonts w:hint="cs"/>
          <w:rtl/>
        </w:rPr>
        <w:t>کلام محقق حلی</w:t>
      </w:r>
      <w:bookmarkEnd w:id="2"/>
    </w:p>
    <w:p w:rsidR="001D638E" w:rsidRDefault="001D638E" w:rsidP="00DA3319">
      <w:pPr>
        <w:jc w:val="both"/>
        <w:rPr>
          <w:rtl/>
        </w:rPr>
      </w:pPr>
      <w:r>
        <w:rPr>
          <w:rFonts w:hint="cs"/>
          <w:rtl/>
        </w:rPr>
        <w:t xml:space="preserve">گفتیم آیت الله والد به محقق حلی در شرایع نسبت داده است که </w:t>
      </w:r>
      <w:r w:rsidR="00DA3319">
        <w:rPr>
          <w:rFonts w:hint="cs"/>
          <w:rtl/>
        </w:rPr>
        <w:t>دو حیض بودن عده‌ی متعه قول اشهر</w:t>
      </w:r>
      <w:r>
        <w:rPr>
          <w:rFonts w:hint="cs"/>
          <w:rtl/>
        </w:rPr>
        <w:t xml:space="preserve"> است.</w:t>
      </w:r>
    </w:p>
    <w:p w:rsidR="00AD6722" w:rsidRDefault="00AD6722" w:rsidP="00D70CB4">
      <w:pPr>
        <w:jc w:val="both"/>
        <w:rPr>
          <w:rtl/>
        </w:rPr>
      </w:pPr>
      <w:r>
        <w:rPr>
          <w:rFonts w:hint="cs"/>
          <w:rtl/>
        </w:rPr>
        <w:lastRenderedPageBreak/>
        <w:t>گفتیم این کلام محقق در مختصر النافع آمده است.</w:t>
      </w:r>
    </w:p>
    <w:p w:rsidR="00AD6722" w:rsidRDefault="00AD6722" w:rsidP="00D70CB4">
      <w:pPr>
        <w:jc w:val="both"/>
        <w:rPr>
          <w:rtl/>
        </w:rPr>
      </w:pPr>
      <w:r>
        <w:rPr>
          <w:rFonts w:hint="cs"/>
          <w:rtl/>
        </w:rPr>
        <w:t>عبارت شرایع به این صورت است:</w:t>
      </w:r>
    </w:p>
    <w:p w:rsidR="00AF7211" w:rsidRPr="00AF7211" w:rsidRDefault="00AF7211" w:rsidP="00AF7211">
      <w:pPr>
        <w:jc w:val="both"/>
        <w:rPr>
          <w:color w:val="000080"/>
          <w:rtl/>
        </w:rPr>
      </w:pPr>
      <w:r w:rsidRPr="00AF7211">
        <w:rPr>
          <w:rFonts w:hint="cs"/>
          <w:color w:val="000080"/>
          <w:rtl/>
        </w:rPr>
        <w:t>الثامن إذا انقضى أجلها بعد الدخول فعدتها حيضتان</w:t>
      </w:r>
      <w:r w:rsidRPr="00AF7211">
        <w:rPr>
          <w:rFonts w:hint="cs"/>
          <w:color w:val="000080"/>
        </w:rPr>
        <w:t>‌</w:t>
      </w:r>
      <w:r w:rsidRPr="00AF7211">
        <w:rPr>
          <w:rFonts w:hint="cs"/>
          <w:color w:val="000080"/>
          <w:rtl/>
        </w:rPr>
        <w:t xml:space="preserve"> و روي حيضة و هو متروك و إن كانت لا تحيض و لم تيأس فخمسة و أربعون يوما</w:t>
      </w:r>
      <w:r>
        <w:rPr>
          <w:rStyle w:val="FootnoteReference"/>
          <w:color w:val="000080"/>
          <w:rtl/>
        </w:rPr>
        <w:footnoteReference w:id="3"/>
      </w:r>
    </w:p>
    <w:p w:rsidR="00AD6722" w:rsidRDefault="00AF7211" w:rsidP="00D70CB4">
      <w:pPr>
        <w:jc w:val="both"/>
        <w:rPr>
          <w:rtl/>
        </w:rPr>
      </w:pPr>
      <w:r>
        <w:rPr>
          <w:rFonts w:hint="cs"/>
          <w:rtl/>
        </w:rPr>
        <w:t xml:space="preserve">تعبیر </w:t>
      </w:r>
      <w:r w:rsidRPr="00AF7211">
        <w:rPr>
          <w:rFonts w:hint="cs"/>
          <w:color w:val="000080"/>
          <w:rtl/>
        </w:rPr>
        <w:t>و هو متروك</w:t>
      </w:r>
      <w:r>
        <w:rPr>
          <w:rFonts w:hint="cs"/>
          <w:rtl/>
        </w:rPr>
        <w:t xml:space="preserve"> </w:t>
      </w:r>
      <w:r w:rsidR="00EA2A46">
        <w:rPr>
          <w:rFonts w:hint="cs"/>
          <w:rtl/>
        </w:rPr>
        <w:t>قوی تر از تعبیر اشهر است؛ احتمالا مرحوم محقق حلی در مختصر النافع از شدتی که در شرایع بوده است، کاسته است.</w:t>
      </w:r>
      <w:r w:rsidR="00C17522">
        <w:rPr>
          <w:rFonts w:hint="cs"/>
          <w:rtl/>
        </w:rPr>
        <w:t xml:space="preserve"> در مختصر النافع واضح نیست فتوای محقق چیست؛ اما در شرایع حیضتان را اختیار کرده است.</w:t>
      </w:r>
    </w:p>
    <w:p w:rsidR="00990927" w:rsidRDefault="00771E29" w:rsidP="00240A9F">
      <w:pPr>
        <w:jc w:val="both"/>
        <w:rPr>
          <w:rtl/>
        </w:rPr>
      </w:pPr>
      <w:r>
        <w:rPr>
          <w:rFonts w:hint="cs"/>
          <w:rtl/>
        </w:rPr>
        <w:t>در نکت النهایه مرحوم محقق بحث</w:t>
      </w:r>
      <w:r w:rsidR="002A33CC">
        <w:rPr>
          <w:rFonts w:hint="cs"/>
          <w:rtl/>
        </w:rPr>
        <w:t xml:space="preserve"> را به طریق دیگری مطرح کرده است. اصل نکت النهایه سوالاتی است که برخی شاگردان از محقق حلی در مورد نهایه سوال کرده اند و محقق در مورد این اشکالات</w:t>
      </w:r>
      <w:r w:rsidR="00240A9F">
        <w:rPr>
          <w:rFonts w:hint="cs"/>
          <w:rtl/>
        </w:rPr>
        <w:t xml:space="preserve"> بحث کرده است و توضیح داده است. </w:t>
      </w:r>
      <w:r w:rsidR="00DA3319">
        <w:rPr>
          <w:rFonts w:hint="cs"/>
          <w:rtl/>
        </w:rPr>
        <w:t>در بحث عده‌ی متعه</w:t>
      </w:r>
      <w:r w:rsidR="008F09EC">
        <w:rPr>
          <w:rFonts w:hint="cs"/>
          <w:rtl/>
        </w:rPr>
        <w:t>،</w:t>
      </w:r>
      <w:r w:rsidR="00DA3319">
        <w:rPr>
          <w:rFonts w:hint="cs"/>
          <w:rtl/>
        </w:rPr>
        <w:t xml:space="preserve"> </w:t>
      </w:r>
      <w:r w:rsidR="00240A9F">
        <w:rPr>
          <w:rFonts w:hint="cs"/>
          <w:rtl/>
        </w:rPr>
        <w:t>سائل بین دو قول شیخ طوسی در نهایه تناقض دیده است و سوال کرده است که چطور می توان این تناقضات را حل کرد؟</w:t>
      </w:r>
    </w:p>
    <w:p w:rsidR="00240A9F" w:rsidRPr="0035027E" w:rsidRDefault="00240A9F" w:rsidP="00240A9F">
      <w:pPr>
        <w:jc w:val="both"/>
        <w:rPr>
          <w:color w:val="000080"/>
        </w:rPr>
      </w:pPr>
      <w:r w:rsidRPr="0035027E">
        <w:rPr>
          <w:rFonts w:hint="cs"/>
          <w:color w:val="000080"/>
          <w:rtl/>
        </w:rPr>
        <w:t>قوله: «و عدة المتمتعة إذا انقضى أجلها، أو وهب لها زوجها أيامها، حيضتان أو خمسة و أربعون يوما».</w:t>
      </w:r>
    </w:p>
    <w:p w:rsidR="00240A9F" w:rsidRPr="0035027E" w:rsidRDefault="00240A9F" w:rsidP="00240A9F">
      <w:pPr>
        <w:jc w:val="both"/>
        <w:rPr>
          <w:color w:val="000080"/>
          <w:rtl/>
        </w:rPr>
      </w:pPr>
      <w:r w:rsidRPr="0035027E">
        <w:rPr>
          <w:rFonts w:hint="cs"/>
          <w:color w:val="000080"/>
          <w:rtl/>
        </w:rPr>
        <w:t>كيف قال: «حيضتان»؟ و قال بعد ذلك في باب العدد: «و المتمتع بها إذا انقضى أجلها فعدتها قرءان». و لا يجوز أن يريد بالحيضتين القرئين، لأنه قال في باب العدد: «الأقراء الأطهار».</w:t>
      </w:r>
    </w:p>
    <w:p w:rsidR="00240A9F" w:rsidRPr="0035027E" w:rsidRDefault="00240A9F" w:rsidP="00240A9F">
      <w:pPr>
        <w:jc w:val="both"/>
        <w:rPr>
          <w:color w:val="000080"/>
          <w:rtl/>
        </w:rPr>
      </w:pPr>
      <w:r w:rsidRPr="0035027E">
        <w:rPr>
          <w:rFonts w:hint="cs"/>
          <w:color w:val="000080"/>
          <w:rtl/>
        </w:rPr>
        <w:t>الجواب: الذي استقر المذهب عليه أن الأقراء هي الأطهار، و أن عدة المستمتع بها مع انقضاء الأجل عدة الأمة، و أن عدة الأمة في الطلاق قرءان، و الأقراء هي الأطهار.</w:t>
      </w:r>
    </w:p>
    <w:p w:rsidR="00240A9F" w:rsidRPr="0035027E" w:rsidRDefault="00240A9F" w:rsidP="00240A9F">
      <w:pPr>
        <w:jc w:val="both"/>
        <w:rPr>
          <w:color w:val="000080"/>
          <w:rtl/>
        </w:rPr>
      </w:pPr>
      <w:r w:rsidRPr="0035027E">
        <w:rPr>
          <w:rFonts w:hint="cs"/>
          <w:color w:val="000080"/>
          <w:rtl/>
        </w:rPr>
        <w:t xml:space="preserve">و قوله: «حيضتان» معناه: أنها لا تخرج من العدة حتى تدخل في الحيضة الثانية، فكأنها معتبرة في العدة و يدلك على هذا التأويل ما ذكره رحمه الله في الاستبصار، فإنه روى </w:t>
      </w:r>
      <w:r w:rsidR="008A3297" w:rsidRPr="0035027E">
        <w:rPr>
          <w:rFonts w:hint="cs"/>
          <w:color w:val="000080"/>
          <w:rtl/>
        </w:rPr>
        <w:t>عن محمد بن فضيل</w:t>
      </w:r>
      <w:r w:rsidRPr="0035027E">
        <w:rPr>
          <w:rFonts w:hint="cs"/>
          <w:color w:val="000080"/>
          <w:rtl/>
        </w:rPr>
        <w:t xml:space="preserve"> عن أبي الحسن عليه السلام قال: «طلاق الأمة طلقتان، و عدتها حيضتان». قال: المراد به إذا دخلت في الحيضة الثانية، فيكون قد بانت.</w:t>
      </w:r>
      <w:r w:rsidR="0035027E">
        <w:rPr>
          <w:rStyle w:val="FootnoteReference"/>
          <w:color w:val="000080"/>
          <w:rtl/>
        </w:rPr>
        <w:footnoteReference w:id="4"/>
      </w:r>
    </w:p>
    <w:p w:rsidR="008E3AEB" w:rsidRDefault="003A0F37" w:rsidP="008E3AEB">
      <w:pPr>
        <w:jc w:val="both"/>
        <w:rPr>
          <w:rtl/>
        </w:rPr>
      </w:pPr>
      <w:r>
        <w:rPr>
          <w:rFonts w:hint="cs"/>
          <w:rtl/>
        </w:rPr>
        <w:t>به نظر می رسد توجیهی که مرحوم محقق بیان کرده است، صحیح نمی باشد.</w:t>
      </w:r>
    </w:p>
    <w:p w:rsidR="0068476C" w:rsidRDefault="0068476C" w:rsidP="008E3AEB">
      <w:pPr>
        <w:jc w:val="both"/>
        <w:rPr>
          <w:rtl/>
        </w:rPr>
      </w:pPr>
      <w:r>
        <w:rPr>
          <w:rFonts w:hint="cs"/>
          <w:rtl/>
        </w:rPr>
        <w:t>عبارت اس</w:t>
      </w:r>
      <w:r w:rsidR="008F09EC">
        <w:rPr>
          <w:rFonts w:hint="cs"/>
          <w:rtl/>
        </w:rPr>
        <w:t>تبصار در مورد عده‌ی امه می باشد:</w:t>
      </w:r>
    </w:p>
    <w:p w:rsidR="0068476C" w:rsidRPr="0068476C" w:rsidRDefault="0068476C" w:rsidP="0068476C">
      <w:pPr>
        <w:jc w:val="both"/>
        <w:rPr>
          <w:color w:val="000080"/>
        </w:rPr>
      </w:pPr>
      <w:r w:rsidRPr="0068476C">
        <w:rPr>
          <w:rFonts w:hint="cs"/>
          <w:color w:val="000080"/>
          <w:rtl/>
        </w:rPr>
        <w:t>193 بَابُ أَنَّ عِدَّةَ الْأَمَةِ قُرْءَانِ وَ هُمَا طُهْرَانِ‏</w:t>
      </w:r>
      <w:r>
        <w:rPr>
          <w:rStyle w:val="FootnoteReference"/>
          <w:color w:val="000080"/>
          <w:rtl/>
        </w:rPr>
        <w:footnoteReference w:id="5"/>
      </w:r>
    </w:p>
    <w:p w:rsidR="0068476C" w:rsidRPr="0068476C" w:rsidRDefault="0068476C" w:rsidP="0068476C">
      <w:pPr>
        <w:jc w:val="both"/>
        <w:rPr>
          <w:color w:val="008000"/>
          <w:rtl/>
        </w:rPr>
      </w:pPr>
      <w:r w:rsidRPr="0068476C">
        <w:rPr>
          <w:rFonts w:hint="cs"/>
          <w:rtl/>
        </w:rPr>
        <w:lastRenderedPageBreak/>
        <w:t xml:space="preserve">«1192»- 1- مُحَمَّدُ بْنُ يَعْقُوبَ عَنْ عَلِيِّ بْنِ إِبْرَاهِيمَ عَنْ أَبِيهِ عَنِ ابْنِ أَبِي عُمَيْرٍ عَنْ عُمَرَ بْنِ أُذَيْنَةَ عَنْ زُرَارَةَ عَنْ أَبِي جَعْفَرٍ ع قَالَ: </w:t>
      </w:r>
      <w:r w:rsidRPr="0068476C">
        <w:rPr>
          <w:rFonts w:hint="cs"/>
          <w:color w:val="008000"/>
          <w:rtl/>
        </w:rPr>
        <w:t>سَأَلْتُهُ عَنْ حُرٍّ تَحْتَهُ أَمَةٌ أَوْ عَبْدٍ تَحْتَهُ حُرَّةٌ كَمْ طَلَاقُهَا وَ كَمْ عِدَّتُهَا فَقَالَ السُّنَّةُ فِي النِّسَاءِ فِي الطَّلَاقِ فَإِنْ كَانَتْ حُرَّةً فَطَلَاقُهَا ثَلَاثٌ وَ عِدَّتُهَا ثَلَاثَةُ أَقْرَاءٍ وَ إِنْ كَانَ حُرّاً تَحْتَهُ أَمَةٌ فَطَلَاقُهَا تَطْلِيقَتَانِ وَ عِدَّتُهَا قُرْءَانِ.</w:t>
      </w:r>
    </w:p>
    <w:p w:rsidR="0068476C" w:rsidRPr="0068476C" w:rsidRDefault="0068476C" w:rsidP="0068476C">
      <w:pPr>
        <w:jc w:val="both"/>
        <w:rPr>
          <w:color w:val="008000"/>
          <w:rtl/>
        </w:rPr>
      </w:pPr>
      <w:r w:rsidRPr="0068476C">
        <w:rPr>
          <w:rFonts w:hint="cs"/>
          <w:rtl/>
        </w:rPr>
        <w:t xml:space="preserve">«1193»- 2- الْحُسَيْنُ بْنُ سَعِيدٍ عَنْ مُحَمَّدِ بْنِ فُضَيْلِ عَنْ أَبِي الْحَسَنِ الْمَاضِي ع قَالَ: </w:t>
      </w:r>
      <w:r w:rsidRPr="0068476C">
        <w:rPr>
          <w:rFonts w:hint="cs"/>
          <w:color w:val="008000"/>
          <w:rtl/>
        </w:rPr>
        <w:t>طَلَاقُ الْأَمَةِ تَطْلِيقَتَانِ وَ عِدَّتُهَا حَيْضَتَانِ‏ وَ إِنْ كَانَتْ قَدْ قَعَدَتْ عَنِ الْمَحِيضِ فَعِدَّتُهَا شَهْرٌ وَ نِصْفٌ.</w:t>
      </w:r>
    </w:p>
    <w:p w:rsidR="0068476C" w:rsidRPr="0068476C" w:rsidRDefault="0068476C" w:rsidP="0068476C">
      <w:pPr>
        <w:jc w:val="both"/>
        <w:rPr>
          <w:color w:val="008000"/>
          <w:rtl/>
        </w:rPr>
      </w:pPr>
      <w:r w:rsidRPr="0068476C">
        <w:rPr>
          <w:rFonts w:hint="cs"/>
          <w:rtl/>
        </w:rPr>
        <w:t xml:space="preserve">«1194»- 3- فَأَمَّا مَا رَوَاهُ‏ أَحْمَدُ بْنُ مُحَمَّدٍ عَنِ الْحَسَنِ بْنِ عَلِيِّ بْنِ فَضَّالٍ عَنْ مُفَضَّلِ بْنِ صَالِحٍ عَنْ لَيْثِ بْنِ الْبَخْتَرِيِّ الْمُرَادِيِّ قَالَ: </w:t>
      </w:r>
      <w:r w:rsidRPr="0068476C">
        <w:rPr>
          <w:rFonts w:hint="cs"/>
          <w:color w:val="008000"/>
          <w:rtl/>
        </w:rPr>
        <w:t>قُلْتُ لِأَبِي عَبْدِ اللَّهِ ع كَمْ تَعْتَدُّ الْأَمَةُ مِنْ مَاءِ الْعَبْدِ قَالَ حَيْضَةً.</w:t>
      </w:r>
    </w:p>
    <w:p w:rsidR="0068476C" w:rsidRPr="0068476C" w:rsidRDefault="0068476C" w:rsidP="0068476C">
      <w:pPr>
        <w:jc w:val="both"/>
        <w:rPr>
          <w:color w:val="000080"/>
          <w:rtl/>
        </w:rPr>
      </w:pPr>
      <w:r w:rsidRPr="0068476C">
        <w:rPr>
          <w:rFonts w:hint="cs"/>
          <w:color w:val="000080"/>
          <w:rtl/>
        </w:rPr>
        <w:t>فَلَا يُنَافِي الْخَبَرَيْنِ الْأَوَّلَيْنِ لِأَنَّا قَدْ بَيَّنَّا أَنَّ الِاعْتِبَارَ بِالْقُرْءِ الَّذِي هُوَ الطُّهْرُ وَ إِذَا كَانَ كَذَلِكَ فَبِحَيْضَةٍ وَاحِدَةٍ يَحْصُلُ قُرْءَانِ الْقُرْءُ الَّذِي طَلَّقَهَا فِيهِ وَ الْقُرْءُ الَّذِي بَعْدَ الْحَيْضَةِ وَ يَكُونُ قَوْلُهُ ع فِي الْخَبَرِ الْمُتَقَدِّمِ فَعِدَّتُهَا حَيْضَتَانِ الْمُرَادُ بِهِ إِذَا دَخَلَتْ فِي الْحَيْضَةِ الثَّانِيَةِ فَيَكُونُ قَدْ بَانَتْ حَسَبَ مَا قُلْنَاهُ فِي عِدَّةِ الْحُرَّةِ.</w:t>
      </w:r>
    </w:p>
    <w:p w:rsidR="008E3AEB" w:rsidRDefault="00C42D44" w:rsidP="008E3AEB">
      <w:pPr>
        <w:jc w:val="both"/>
        <w:rPr>
          <w:rtl/>
        </w:rPr>
      </w:pPr>
      <w:r>
        <w:rPr>
          <w:rFonts w:hint="cs"/>
          <w:rtl/>
        </w:rPr>
        <w:t>ابتدا بررسی کنیم توجیه شیخ طوسی صحیح است یا صحیح نمی باشد.</w:t>
      </w:r>
    </w:p>
    <w:p w:rsidR="00C42D44" w:rsidRDefault="00C42D44" w:rsidP="00D44DAC">
      <w:pPr>
        <w:jc w:val="both"/>
        <w:rPr>
          <w:rtl/>
        </w:rPr>
      </w:pPr>
      <w:r>
        <w:rPr>
          <w:rFonts w:hint="cs"/>
          <w:rtl/>
        </w:rPr>
        <w:t xml:space="preserve">شیخ طوسی می فرماید: یک حیض از این جهت است که </w:t>
      </w:r>
      <w:r w:rsidR="007A4122">
        <w:rPr>
          <w:rFonts w:hint="cs"/>
          <w:rtl/>
        </w:rPr>
        <w:t xml:space="preserve">به واسطه‌ی آن دو قرء محقق می شود. </w:t>
      </w:r>
      <w:r w:rsidR="007A4122" w:rsidRPr="0068476C">
        <w:rPr>
          <w:rFonts w:hint="cs"/>
          <w:color w:val="000080"/>
          <w:rtl/>
        </w:rPr>
        <w:t>فَبِحَيْضَةٍ وَاحِدَةٍ يَحْصُلُ قُرْءَانِ</w:t>
      </w:r>
      <w:r w:rsidR="007A4122">
        <w:rPr>
          <w:rFonts w:hint="cs"/>
          <w:rtl/>
        </w:rPr>
        <w:t xml:space="preserve"> یک قرء ( طهر)</w:t>
      </w:r>
      <w:r w:rsidR="008C1410">
        <w:rPr>
          <w:rFonts w:hint="cs"/>
          <w:rtl/>
        </w:rPr>
        <w:t xml:space="preserve"> </w:t>
      </w:r>
      <w:r w:rsidR="00AA0F52">
        <w:rPr>
          <w:rFonts w:hint="cs"/>
          <w:rtl/>
        </w:rPr>
        <w:t xml:space="preserve">قبل از حیض که طلاق امه در آن واقع شده است و یک </w:t>
      </w:r>
      <w:r w:rsidR="00D44DAC">
        <w:rPr>
          <w:rFonts w:hint="cs"/>
          <w:rtl/>
        </w:rPr>
        <w:t>قرء</w:t>
      </w:r>
      <w:r w:rsidR="00AA0F52">
        <w:rPr>
          <w:rFonts w:hint="cs"/>
          <w:rtl/>
        </w:rPr>
        <w:t xml:space="preserve"> بعد از حیض</w:t>
      </w:r>
      <w:r w:rsidR="00E61027">
        <w:rPr>
          <w:rFonts w:hint="cs"/>
          <w:rtl/>
        </w:rPr>
        <w:t xml:space="preserve">؛ قرء اول به صورت ناقص کفایت می کند و قرء دوم باید به طور کامل باشد و پس از آن </w:t>
      </w:r>
      <w:r w:rsidR="003E1405">
        <w:rPr>
          <w:rFonts w:hint="cs"/>
          <w:rtl/>
        </w:rPr>
        <w:t>با ورود به حیض دوم، عده منقضی می شود.</w:t>
      </w:r>
    </w:p>
    <w:p w:rsidR="00CF23B1" w:rsidRDefault="00CF23B1" w:rsidP="00D44DAC">
      <w:pPr>
        <w:jc w:val="both"/>
        <w:rPr>
          <w:rtl/>
        </w:rPr>
      </w:pPr>
      <w:r>
        <w:rPr>
          <w:rFonts w:hint="cs"/>
          <w:rtl/>
        </w:rPr>
        <w:t>این حمل شیخ طوسی خیلی بعید است</w:t>
      </w:r>
      <w:r w:rsidR="00A47E6F">
        <w:rPr>
          <w:rFonts w:hint="cs"/>
          <w:rtl/>
        </w:rPr>
        <w:t>.</w:t>
      </w:r>
    </w:p>
    <w:p w:rsidR="00D37A0B" w:rsidRDefault="00D37A0B" w:rsidP="00D44DAC">
      <w:pPr>
        <w:jc w:val="both"/>
        <w:rPr>
          <w:rtl/>
        </w:rPr>
      </w:pPr>
      <w:r>
        <w:rPr>
          <w:rFonts w:hint="cs"/>
          <w:rtl/>
        </w:rPr>
        <w:t xml:space="preserve">مرحوم محقق از عده‌ی امه </w:t>
      </w:r>
      <w:r w:rsidR="006E4876">
        <w:rPr>
          <w:rFonts w:hint="cs"/>
          <w:rtl/>
        </w:rPr>
        <w:t>حکم عده‌ی متعه را استفاده کرده است؛ این استفاده صحیح نمی باشد؛ زیرا طلاق امه باید در قرء واقع شود</w:t>
      </w:r>
      <w:r w:rsidR="00E72037">
        <w:rPr>
          <w:rFonts w:hint="cs"/>
          <w:rtl/>
        </w:rPr>
        <w:t xml:space="preserve"> و می توان روایت دو حیض را با روایت دو قرء جمع کرد، به این صورت که با توجه به روایات دو قرء، طلاق در قرء ( طهر) بوده است و یک قرء به حساب می آید و یک قرء دیگر بعد از حیض است و به محض ورود در حیض دوم عده سپری می شود</w:t>
      </w:r>
      <w:r w:rsidR="005507B6">
        <w:rPr>
          <w:rFonts w:hint="cs"/>
          <w:rtl/>
        </w:rPr>
        <w:t xml:space="preserve">. روایت دو حیض را هم دخول به حیض دوم معنا </w:t>
      </w:r>
      <w:r w:rsidR="00761DC7">
        <w:rPr>
          <w:rFonts w:hint="cs"/>
          <w:rtl/>
        </w:rPr>
        <w:t xml:space="preserve">می </w:t>
      </w:r>
      <w:r w:rsidR="005507B6">
        <w:rPr>
          <w:rFonts w:hint="cs"/>
          <w:rtl/>
        </w:rPr>
        <w:t>کنیم. در نتیجه بین دو روایت جمع می شود.</w:t>
      </w:r>
    </w:p>
    <w:p w:rsidR="005507B6" w:rsidRDefault="005507B6" w:rsidP="003011CD">
      <w:pPr>
        <w:jc w:val="both"/>
        <w:rPr>
          <w:rtl/>
        </w:rPr>
      </w:pPr>
      <w:r>
        <w:rPr>
          <w:rFonts w:hint="cs"/>
          <w:rtl/>
        </w:rPr>
        <w:t xml:space="preserve">اما در بحث متعه این طور نیست. انقضای </w:t>
      </w:r>
      <w:r w:rsidR="00CD2358">
        <w:rPr>
          <w:rFonts w:hint="cs"/>
          <w:rtl/>
        </w:rPr>
        <w:t>اجل لازم نیست در زمان طهر باشد و ممکن است در زمان حیض باشد.</w:t>
      </w:r>
      <w:r w:rsidR="00F50C28">
        <w:rPr>
          <w:rFonts w:hint="cs"/>
          <w:rtl/>
        </w:rPr>
        <w:t xml:space="preserve"> اگر انقضای </w:t>
      </w:r>
      <w:r w:rsidR="000966C8">
        <w:rPr>
          <w:rFonts w:hint="cs"/>
          <w:rtl/>
        </w:rPr>
        <w:t>اجل</w:t>
      </w:r>
      <w:r w:rsidR="00F50C28">
        <w:rPr>
          <w:rFonts w:hint="cs"/>
          <w:rtl/>
        </w:rPr>
        <w:t xml:space="preserve"> در زمان حیض باشد</w:t>
      </w:r>
      <w:r w:rsidR="002078B6">
        <w:rPr>
          <w:rFonts w:hint="cs"/>
          <w:rtl/>
        </w:rPr>
        <w:t xml:space="preserve"> دیگر نمی توان روایات دو قرء و دو حیض را </w:t>
      </w:r>
      <w:r w:rsidR="003011CD">
        <w:rPr>
          <w:rFonts w:hint="cs"/>
          <w:rtl/>
        </w:rPr>
        <w:t xml:space="preserve">به آن صورت </w:t>
      </w:r>
      <w:r w:rsidR="002078B6">
        <w:rPr>
          <w:rFonts w:hint="cs"/>
          <w:rtl/>
        </w:rPr>
        <w:t>جمع کرد.</w:t>
      </w:r>
    </w:p>
    <w:p w:rsidR="007A4122" w:rsidRDefault="003F4DF0" w:rsidP="00195F8B">
      <w:pPr>
        <w:jc w:val="both"/>
        <w:rPr>
          <w:rtl/>
        </w:rPr>
      </w:pPr>
      <w:r>
        <w:rPr>
          <w:rFonts w:hint="cs"/>
          <w:rtl/>
        </w:rPr>
        <w:t>باید ببینیم مراد از حیضتان چیست؟ اگر مراد از حیضتان، دخول در حیض دوم است، دخول در حیض دوم در عده‌ی امه بر دو طهر متوقف است</w:t>
      </w:r>
      <w:r w:rsidR="00940660">
        <w:rPr>
          <w:rFonts w:hint="cs"/>
          <w:rtl/>
        </w:rPr>
        <w:t>؛ زیرا طلاق امه در طهر واقع می شود.</w:t>
      </w:r>
      <w:r w:rsidR="00195F8B">
        <w:rPr>
          <w:rFonts w:hint="cs"/>
          <w:rtl/>
        </w:rPr>
        <w:t xml:space="preserve"> اما در زن متمتع بها ممکن است انقضای اجل در حیض باشد؛ در این </w:t>
      </w:r>
      <w:r w:rsidR="00195F8B">
        <w:rPr>
          <w:rFonts w:hint="cs"/>
          <w:rtl/>
        </w:rPr>
        <w:lastRenderedPageBreak/>
        <w:t>صورت مرحوم محقق باید بگوید حیض اول باید کامل باشد و در نتیجه حیض ناقص اول به حساب نمی آید و در این صورت باید زن وارد طهر شود، سپس یک حیض دیگر را سپری کند، سپس وارد طهر دوم شود و در نهایت با ورود در حیض عده منقضی شود</w:t>
      </w:r>
      <w:r w:rsidR="006124EA">
        <w:rPr>
          <w:rFonts w:hint="cs"/>
          <w:rtl/>
        </w:rPr>
        <w:t>.</w:t>
      </w:r>
    </w:p>
    <w:p w:rsidR="007A4122" w:rsidRDefault="006124EA" w:rsidP="004F2A7B">
      <w:pPr>
        <w:jc w:val="both"/>
        <w:rPr>
          <w:rtl/>
        </w:rPr>
      </w:pPr>
      <w:r>
        <w:rPr>
          <w:rFonts w:hint="cs"/>
          <w:rtl/>
        </w:rPr>
        <w:t xml:space="preserve">در هر صورت ابهامی </w:t>
      </w:r>
      <w:r w:rsidR="00A70418">
        <w:rPr>
          <w:rFonts w:hint="cs"/>
          <w:rtl/>
        </w:rPr>
        <w:t xml:space="preserve">در این عبارت وجود دارد و نمی توان از عبارت شیخ طوسی در مورد عده‌ی امه، مراد ایشان در مورد عده‌ی متعه را به دست آورد؛ زیرا این دو از این جهت با هم تفاوت دارند که عده‌ی طلاق امه همواره </w:t>
      </w:r>
      <w:r w:rsidR="004F2A7B">
        <w:rPr>
          <w:rFonts w:hint="cs"/>
          <w:rtl/>
        </w:rPr>
        <w:t>در</w:t>
      </w:r>
      <w:r w:rsidR="00A70418">
        <w:rPr>
          <w:rFonts w:hint="cs"/>
          <w:rtl/>
        </w:rPr>
        <w:t xml:space="preserve"> زمان طهر آغاز می شود؛ اما انقضای اجل در متعه ممکن است در زمان حیض باشد و عده‌ی او از حیض آغاز شود.</w:t>
      </w:r>
    </w:p>
    <w:p w:rsidR="00EB35A2" w:rsidRDefault="00EB35A2" w:rsidP="00A70418">
      <w:pPr>
        <w:jc w:val="both"/>
        <w:rPr>
          <w:rtl/>
        </w:rPr>
      </w:pPr>
      <w:r>
        <w:rPr>
          <w:rFonts w:hint="cs"/>
          <w:rtl/>
        </w:rPr>
        <w:t>حال به روایات مساله می پردازیم.</w:t>
      </w:r>
    </w:p>
    <w:p w:rsidR="00EB35A2" w:rsidRDefault="00EB35A2" w:rsidP="002D3532">
      <w:pPr>
        <w:pStyle w:val="Heading1"/>
        <w:rPr>
          <w:rtl/>
        </w:rPr>
      </w:pPr>
      <w:bookmarkStart w:id="3" w:name="_Toc62834069"/>
      <w:bookmarkStart w:id="4" w:name="_Toc62834097"/>
      <w:bookmarkStart w:id="5" w:name="_Toc62837565"/>
      <w:r>
        <w:rPr>
          <w:rFonts w:hint="cs"/>
          <w:rtl/>
        </w:rPr>
        <w:t>روایات عده‌ی متعه</w:t>
      </w:r>
      <w:bookmarkEnd w:id="3"/>
      <w:bookmarkEnd w:id="4"/>
      <w:bookmarkEnd w:id="5"/>
    </w:p>
    <w:p w:rsidR="009F3D06" w:rsidRDefault="00B72414" w:rsidP="009F3D06">
      <w:pPr>
        <w:jc w:val="both"/>
        <w:rPr>
          <w:rtl/>
        </w:rPr>
      </w:pPr>
      <w:r>
        <w:rPr>
          <w:rFonts w:hint="cs"/>
          <w:rtl/>
        </w:rPr>
        <w:t>یکی از روایاتی که مورد استشهاد برخی قرار گرفته است؛ اما از نظر سندی مورد توجه قرار نگرفته است</w:t>
      </w:r>
      <w:r w:rsidR="007C4C85">
        <w:rPr>
          <w:rFonts w:hint="cs"/>
          <w:rtl/>
        </w:rPr>
        <w:t>، سوالات محمد بن عبدالله بن جعفر حمیری از صاحب الزمان علیه السلام است.</w:t>
      </w:r>
    </w:p>
    <w:p w:rsidR="001B144B" w:rsidRPr="009218BA" w:rsidRDefault="001B144B" w:rsidP="001B144B">
      <w:pPr>
        <w:jc w:val="both"/>
        <w:rPr>
          <w:rtl/>
        </w:rPr>
      </w:pPr>
      <w:r w:rsidRPr="00F82202">
        <w:rPr>
          <w:rFonts w:hint="cs"/>
          <w:color w:val="008000"/>
          <w:rtl/>
        </w:rPr>
        <w:t>وَ سَأَلَ عَنْ رَجُلٍ تَزَوَّجَ امْرَأَةً بِشَيْ‏ءٍ مَعْلُومٍ إِلَى وَقْتٍ مَعْلُومٍ وَ بَقِيَ‏ لَهُ‏ عَلَيْهَا وَقْتٌ‏ فَجَعَلَهَا فِي حِلٍّ مِمَّا بَقِيَ لَهُ عَلَيْهَا وَ قَدْ كَانَتْ طَمِثَتْ قَبْلَ أَنْ يَجْعَلَهَا فِي حِلٍّ مِنْ أَيَّامِهَا بِثَلَاثَةِ أَيَّامٍ أَ يَجُوزُ أَنْ يَتَزَوَّجَهَا رَجُلٌ آخَرُ بِشَيْ‏ءٍ مَعْلُومٍ إِلَى وَقْتٍ مَعْلُومٍ عِنْدَ طُهْرِهَا مِنْ هَذِهِ الْحَيْضَةِ أَوْ يَسْتَقْبِلَ بِهَا حَيْضَةً أُخْرَى؟ فَأَجَابَ يَسْتَقْبِلُ حَيْضَةً غَيْرَ تِلْكَ الْحَيْضَةِ لِأَنَّ أَقَلَّ تِلْكَ الْعِدَّةِ حَيْضَةٌ وَ طُهْرَةٌ تَامَّة</w:t>
      </w:r>
      <w:r>
        <w:rPr>
          <w:rStyle w:val="FootnoteReference"/>
          <w:rtl/>
        </w:rPr>
        <w:footnoteReference w:id="6"/>
      </w:r>
    </w:p>
    <w:p w:rsidR="001B144B" w:rsidRDefault="001B144B" w:rsidP="003E3A0B">
      <w:pPr>
        <w:jc w:val="both"/>
        <w:rPr>
          <w:rtl/>
        </w:rPr>
      </w:pPr>
      <w:r>
        <w:rPr>
          <w:rFonts w:hint="cs"/>
          <w:rtl/>
        </w:rPr>
        <w:t xml:space="preserve">ممکن است تصور شود سندی که در </w:t>
      </w:r>
      <w:r w:rsidR="003E3A0B">
        <w:rPr>
          <w:rFonts w:hint="cs"/>
          <w:rtl/>
        </w:rPr>
        <w:t>الغیبة شیخ</w:t>
      </w:r>
      <w:r>
        <w:rPr>
          <w:rFonts w:hint="cs"/>
          <w:rtl/>
        </w:rPr>
        <w:t xml:space="preserve"> طوسی در مورد مسائل محمد بن عبدالله بن جعفر حمیری وجود دارد، این روایت را تصحیح </w:t>
      </w:r>
      <w:r w:rsidR="003E3A0B">
        <w:rPr>
          <w:rFonts w:hint="cs"/>
          <w:rtl/>
        </w:rPr>
        <w:t xml:space="preserve">می </w:t>
      </w:r>
      <w:r>
        <w:rPr>
          <w:rFonts w:hint="cs"/>
          <w:rtl/>
        </w:rPr>
        <w:t>کند؛ اما مشکل است بتوان به این صورت سند این روایت را تصحیح کرد.</w:t>
      </w:r>
      <w:r w:rsidR="00EF767E">
        <w:rPr>
          <w:rFonts w:hint="cs"/>
          <w:rtl/>
        </w:rPr>
        <w:t xml:space="preserve"> در احتجاج چهار دسته مساله از محمد بن عبدالله بن جعفر حمیری نقل شده است؛ پس از این مسائل زیارت آل یاسین را نیز از او نقل کرده است. این چهار دسته مساله با این عبارت آغاز می شوند:</w:t>
      </w:r>
    </w:p>
    <w:p w:rsidR="00EF767E" w:rsidRPr="00EF767E" w:rsidRDefault="00EF767E" w:rsidP="00EF767E">
      <w:pPr>
        <w:jc w:val="both"/>
        <w:rPr>
          <w:color w:val="000080"/>
        </w:rPr>
      </w:pPr>
      <w:r w:rsidRPr="00EF767E">
        <w:rPr>
          <w:rFonts w:hint="cs"/>
          <w:color w:val="000080"/>
          <w:rtl/>
        </w:rPr>
        <w:t>وَ مِمَّا خَرَجَ عَنْ صَاحِبِ الزَّمَانِ ص مِنْ جَوَابَاتِ الْمَسَائِلِ الْفِقْهِيَّةِ أَيْضاً مَا سَأَلَهُ عَنْهَا مُحَمَّدُ بْنُ عَبْدِ اللَّهِ بْنِ جَعْفَرٍ الْحِمْيَرِيُّ فِيمَا كَتَبَ إِلَيْه‏</w:t>
      </w:r>
      <w:r>
        <w:rPr>
          <w:rStyle w:val="FootnoteReference"/>
          <w:color w:val="000080"/>
          <w:rtl/>
        </w:rPr>
        <w:footnoteReference w:id="7"/>
      </w:r>
    </w:p>
    <w:p w:rsidR="00EF767E" w:rsidRDefault="00176276" w:rsidP="00A70418">
      <w:pPr>
        <w:jc w:val="both"/>
        <w:rPr>
          <w:rtl/>
        </w:rPr>
      </w:pPr>
      <w:r>
        <w:rPr>
          <w:rFonts w:hint="cs"/>
          <w:rtl/>
        </w:rPr>
        <w:t>دسته‌ی دوم با این عبارت آغاز می شود:</w:t>
      </w:r>
    </w:p>
    <w:p w:rsidR="00176276" w:rsidRPr="00176276" w:rsidRDefault="00176276" w:rsidP="00176276">
      <w:pPr>
        <w:jc w:val="both"/>
        <w:rPr>
          <w:color w:val="000080"/>
        </w:rPr>
      </w:pPr>
      <w:r w:rsidRPr="00176276">
        <w:rPr>
          <w:rFonts w:hint="cs"/>
          <w:color w:val="000080"/>
          <w:rtl/>
        </w:rPr>
        <w:t>كِتَابٌ آخَرُ لِمُحَمَّدِ بْنِ عَبْدِ اللَّهِ الْحِمْيَرِيِ‏ أَيْضاً إِلَيْه‏</w:t>
      </w:r>
      <w:r>
        <w:rPr>
          <w:rStyle w:val="FootnoteReference"/>
          <w:color w:val="000080"/>
          <w:rtl/>
        </w:rPr>
        <w:footnoteReference w:id="8"/>
      </w:r>
    </w:p>
    <w:p w:rsidR="00176276" w:rsidRDefault="00610A05" w:rsidP="00A70418">
      <w:pPr>
        <w:jc w:val="both"/>
        <w:rPr>
          <w:rtl/>
        </w:rPr>
      </w:pPr>
      <w:r>
        <w:rPr>
          <w:rFonts w:hint="cs"/>
          <w:rtl/>
        </w:rPr>
        <w:lastRenderedPageBreak/>
        <w:t>این دو دسته در غیبت شیخ طوسی</w:t>
      </w:r>
      <w:r w:rsidR="00B50922">
        <w:rPr>
          <w:rStyle w:val="FootnoteReference"/>
          <w:rtl/>
        </w:rPr>
        <w:footnoteReference w:id="9"/>
      </w:r>
      <w:r w:rsidR="00B50922">
        <w:rPr>
          <w:rStyle w:val="FootnoteReference"/>
          <w:rtl/>
        </w:rPr>
        <w:footnoteReference w:id="10"/>
      </w:r>
      <w:r>
        <w:rPr>
          <w:rFonts w:hint="cs"/>
          <w:rtl/>
        </w:rPr>
        <w:t xml:space="preserve"> وارد شده است و تصحیح سند آن مشکل نیست.</w:t>
      </w:r>
    </w:p>
    <w:p w:rsidR="008E3AEB" w:rsidRDefault="000436AA" w:rsidP="008E3AEB">
      <w:pPr>
        <w:jc w:val="both"/>
        <w:rPr>
          <w:rtl/>
        </w:rPr>
      </w:pPr>
      <w:r>
        <w:rPr>
          <w:rFonts w:hint="cs"/>
          <w:rtl/>
        </w:rPr>
        <w:t>مسائل دسته‌ی سوم با این عبارت آغاز می شود:</w:t>
      </w:r>
    </w:p>
    <w:p w:rsidR="000436AA" w:rsidRPr="000436AA" w:rsidRDefault="000436AA" w:rsidP="000436AA">
      <w:pPr>
        <w:jc w:val="both"/>
        <w:rPr>
          <w:color w:val="000080"/>
        </w:rPr>
      </w:pPr>
      <w:r w:rsidRPr="000436AA">
        <w:rPr>
          <w:rFonts w:hint="cs"/>
          <w:color w:val="000080"/>
          <w:rtl/>
        </w:rPr>
        <w:t>وَ فِي كِتَابٍ آخَرَ لِمُحَمَّدِ بْنِ عَبْدِ اللَّهِ الْحِمْيَرِيِّ إِلَى صَاحِبِ الزَّمَانِ ع مِنْ جَوَابِ مَسَائِلِهِ الَّتِي سَأَلَهُ عَنْهَا فِي سَنَةِ سَبْعٍ وَ ثَلَاثِمِائَة</w:t>
      </w:r>
      <w:r>
        <w:rPr>
          <w:rStyle w:val="FootnoteReference"/>
          <w:color w:val="000080"/>
          <w:rtl/>
        </w:rPr>
        <w:footnoteReference w:id="11"/>
      </w:r>
    </w:p>
    <w:p w:rsidR="00A41621" w:rsidRDefault="00A41621" w:rsidP="00A41621">
      <w:pPr>
        <w:jc w:val="both"/>
        <w:rPr>
          <w:rtl/>
        </w:rPr>
      </w:pPr>
      <w:r>
        <w:rPr>
          <w:rFonts w:hint="cs"/>
          <w:rtl/>
        </w:rPr>
        <w:t>مسائل دسته‌ی چهارم با این عبارت آغاز می شود:</w:t>
      </w:r>
    </w:p>
    <w:p w:rsidR="00A41621" w:rsidRPr="00A41621" w:rsidRDefault="00A41621" w:rsidP="00A41621">
      <w:pPr>
        <w:jc w:val="both"/>
        <w:rPr>
          <w:color w:val="000080"/>
        </w:rPr>
      </w:pPr>
      <w:r w:rsidRPr="00A41621">
        <w:rPr>
          <w:rFonts w:hint="cs"/>
          <w:color w:val="000080"/>
          <w:rtl/>
        </w:rPr>
        <w:t>وَ كَتَبَ إِلَيْهِ ص أَيْضاً فِي سَنَةِ ثَمَانٍ وَ ثَلَاثِمِائَةٍ كِتَاباً سَأَلَهُ فِيهِ عَنْ مَسَائِلَ أُخْرَى كَتَب‏</w:t>
      </w:r>
      <w:r>
        <w:rPr>
          <w:rStyle w:val="FootnoteReference"/>
          <w:color w:val="000080"/>
          <w:rtl/>
        </w:rPr>
        <w:footnoteReference w:id="12"/>
      </w:r>
    </w:p>
    <w:p w:rsidR="000436AA" w:rsidRDefault="00DD2D34" w:rsidP="008E3AEB">
      <w:pPr>
        <w:jc w:val="both"/>
        <w:rPr>
          <w:rtl/>
        </w:rPr>
      </w:pPr>
      <w:r>
        <w:rPr>
          <w:rFonts w:hint="cs"/>
          <w:rtl/>
        </w:rPr>
        <w:t>روایت مورد بحث ما جزء مسائل دسته‌ی چهارم است.</w:t>
      </w:r>
    </w:p>
    <w:p w:rsidR="00DD2D34" w:rsidRDefault="00DD2D34" w:rsidP="00B0365D">
      <w:pPr>
        <w:jc w:val="both"/>
        <w:rPr>
          <w:rtl/>
        </w:rPr>
      </w:pPr>
      <w:r>
        <w:rPr>
          <w:rFonts w:hint="cs"/>
          <w:rtl/>
        </w:rPr>
        <w:t xml:space="preserve">مسائل </w:t>
      </w:r>
      <w:r w:rsidR="00B0365D">
        <w:rPr>
          <w:rFonts w:hint="cs"/>
          <w:rtl/>
        </w:rPr>
        <w:t>دسته‌ی</w:t>
      </w:r>
      <w:r w:rsidR="00063D0A">
        <w:rPr>
          <w:rFonts w:hint="cs"/>
          <w:rtl/>
        </w:rPr>
        <w:t xml:space="preserve"> سوم</w:t>
      </w:r>
      <w:r>
        <w:rPr>
          <w:rFonts w:hint="cs"/>
          <w:rtl/>
        </w:rPr>
        <w:t xml:space="preserve"> و چهارم در الغیبة شیخ طوسی نیامده است و معلوم نیست سند این دو دسته همان سند دسته‌ی اول و دوم باشد.</w:t>
      </w:r>
    </w:p>
    <w:p w:rsidR="00B0365D" w:rsidRDefault="00B0365D" w:rsidP="008E3AEB">
      <w:pPr>
        <w:jc w:val="both"/>
        <w:rPr>
          <w:rtl/>
        </w:rPr>
      </w:pPr>
      <w:r>
        <w:rPr>
          <w:rFonts w:hint="cs"/>
          <w:rtl/>
        </w:rPr>
        <w:t>در روایات احتجاج سند ذکر نشده است</w:t>
      </w:r>
      <w:r w:rsidR="00616339">
        <w:rPr>
          <w:rFonts w:hint="cs"/>
          <w:rtl/>
        </w:rPr>
        <w:t>؛ عدم ذکر سند احتمالا به این دلیل است که سند این روایات معروف بوده است.</w:t>
      </w:r>
      <w:r w:rsidR="002E7872">
        <w:rPr>
          <w:rFonts w:hint="cs"/>
          <w:rtl/>
        </w:rPr>
        <w:t xml:space="preserve"> منابعی که مرحوم طبرسی در تالیف احتجاج</w:t>
      </w:r>
      <w:r w:rsidR="00320486">
        <w:rPr>
          <w:rFonts w:hint="cs"/>
          <w:rtl/>
        </w:rPr>
        <w:t xml:space="preserve"> از آن ها</w:t>
      </w:r>
      <w:r w:rsidR="002E7872">
        <w:rPr>
          <w:rFonts w:hint="cs"/>
          <w:rtl/>
        </w:rPr>
        <w:t xml:space="preserve"> بهره برده است، به دست ما نرسیده است.</w:t>
      </w:r>
    </w:p>
    <w:p w:rsidR="00771E29" w:rsidRPr="006162A2" w:rsidRDefault="00DA7503" w:rsidP="005D1A60">
      <w:pPr>
        <w:jc w:val="both"/>
        <w:rPr>
          <w:rtl/>
        </w:rPr>
      </w:pPr>
      <w:r>
        <w:rPr>
          <w:rFonts w:hint="cs"/>
          <w:rtl/>
        </w:rPr>
        <w:t>بنابراین نمی توان این روایت را از نظر سندی تصحیح کرد.</w:t>
      </w:r>
    </w:p>
    <w:sectPr w:rsidR="00771E29"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DF6" w:rsidRDefault="00981DF6" w:rsidP="008B750B">
      <w:pPr>
        <w:spacing w:line="240" w:lineRule="auto"/>
      </w:pPr>
      <w:r>
        <w:separator/>
      </w:r>
    </w:p>
  </w:endnote>
  <w:endnote w:type="continuationSeparator" w:id="0">
    <w:p w:rsidR="00981DF6" w:rsidRDefault="00981DF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22" w:rsidRDefault="00B509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50922" w:rsidRPr="006D44C1" w:rsidTr="0020241A">
      <w:tc>
        <w:tcPr>
          <w:tcW w:w="3382" w:type="dxa"/>
          <w:tcBorders>
            <w:top w:val="nil"/>
            <w:left w:val="nil"/>
            <w:bottom w:val="nil"/>
            <w:right w:val="nil"/>
          </w:tcBorders>
        </w:tcPr>
        <w:p w:rsidR="00B50922" w:rsidRDefault="00B50922"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50922" w:rsidRDefault="00B50922" w:rsidP="006D44C1">
          <w:pPr>
            <w:pStyle w:val="Footer"/>
            <w:jc w:val="right"/>
            <w:rPr>
              <w:rtl/>
            </w:rPr>
          </w:pPr>
          <w:r>
            <w:rPr>
              <w:rFonts w:hint="cs"/>
              <w:rtl/>
            </w:rPr>
            <w:t xml:space="preserve">صفحه </w:t>
          </w:r>
          <w:r>
            <w:fldChar w:fldCharType="begin"/>
          </w:r>
          <w:r>
            <w:instrText>PAGE   \* MERGEFORMAT</w:instrText>
          </w:r>
          <w:r>
            <w:fldChar w:fldCharType="separate"/>
          </w:r>
          <w:r w:rsidR="00DA7643" w:rsidRPr="00DA7643">
            <w:rPr>
              <w:noProof/>
              <w:rtl/>
              <w:lang w:val="fa-IR"/>
            </w:rPr>
            <w:t>1</w:t>
          </w:r>
          <w:r>
            <w:rPr>
              <w:noProof/>
            </w:rPr>
            <w:fldChar w:fldCharType="end"/>
          </w:r>
        </w:p>
      </w:tc>
      <w:tc>
        <w:tcPr>
          <w:tcW w:w="4786" w:type="dxa"/>
          <w:tcBorders>
            <w:top w:val="nil"/>
            <w:left w:val="nil"/>
            <w:bottom w:val="nil"/>
            <w:right w:val="nil"/>
          </w:tcBorders>
          <w:vAlign w:val="center"/>
        </w:tcPr>
        <w:p w:rsidR="00B50922" w:rsidRPr="006D44C1" w:rsidRDefault="00B50922" w:rsidP="001B6799">
          <w:pPr>
            <w:pStyle w:val="Footer"/>
            <w:bidi w:val="0"/>
            <w:rPr>
              <w:color w:val="808080" w:themeColor="background1" w:themeShade="80"/>
              <w:rtl/>
            </w:rPr>
          </w:pPr>
          <w:bookmarkStart w:id="13" w:name="BokAdres"/>
          <w:bookmarkEnd w:id="13"/>
          <w:r>
            <w:rPr>
              <w:color w:val="808080" w:themeColor="background1" w:themeShade="80"/>
            </w:rPr>
            <w:t>F1js1_13991108-062_mk3_mfeb.ir</w:t>
          </w:r>
        </w:p>
      </w:tc>
    </w:tr>
  </w:tbl>
  <w:p w:rsidR="00B50922" w:rsidRDefault="00B50922"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22" w:rsidRDefault="00B50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DF6" w:rsidRDefault="00981DF6" w:rsidP="008B750B">
      <w:pPr>
        <w:spacing w:line="240" w:lineRule="auto"/>
      </w:pPr>
      <w:r>
        <w:separator/>
      </w:r>
    </w:p>
  </w:footnote>
  <w:footnote w:type="continuationSeparator" w:id="0">
    <w:p w:rsidR="00981DF6" w:rsidRDefault="00981DF6" w:rsidP="008B750B">
      <w:pPr>
        <w:spacing w:line="240" w:lineRule="auto"/>
      </w:pPr>
      <w:r>
        <w:continuationSeparator/>
      </w:r>
    </w:p>
  </w:footnote>
  <w:footnote w:id="1">
    <w:p w:rsidR="00B50922" w:rsidRPr="003C5558" w:rsidRDefault="00B50922" w:rsidP="003C5558">
      <w:pPr>
        <w:pStyle w:val="FootnoteText"/>
      </w:pPr>
      <w:r w:rsidRPr="003C5558">
        <w:footnoteRef/>
      </w:r>
      <w:r w:rsidRPr="003C5558">
        <w:rPr>
          <w:rtl/>
        </w:rPr>
        <w:t xml:space="preserve"> </w:t>
      </w:r>
      <w:hyperlink r:id="rId1" w:history="1">
        <w:r w:rsidRPr="003C5558">
          <w:rPr>
            <w:rStyle w:val="Hyperlink"/>
            <w:rFonts w:hint="cs"/>
            <w:rtl/>
          </w:rPr>
          <w:t>الکافی،</w:t>
        </w:r>
        <w:r w:rsidRPr="003C5558">
          <w:rPr>
            <w:rStyle w:val="Hyperlink"/>
            <w:rtl/>
          </w:rPr>
          <w:t xml:space="preserve"> </w:t>
        </w:r>
        <w:r w:rsidRPr="003C5558">
          <w:rPr>
            <w:rStyle w:val="Hyperlink"/>
            <w:rFonts w:hint="cs"/>
            <w:rtl/>
          </w:rPr>
          <w:t>محمد</w:t>
        </w:r>
        <w:r w:rsidRPr="003C5558">
          <w:rPr>
            <w:rStyle w:val="Hyperlink"/>
            <w:rtl/>
          </w:rPr>
          <w:t xml:space="preserve"> </w:t>
        </w:r>
        <w:r w:rsidRPr="003C5558">
          <w:rPr>
            <w:rStyle w:val="Hyperlink"/>
            <w:rFonts w:hint="cs"/>
            <w:rtl/>
          </w:rPr>
          <w:t>بن</w:t>
        </w:r>
        <w:r w:rsidRPr="003C5558">
          <w:rPr>
            <w:rStyle w:val="Hyperlink"/>
            <w:rtl/>
          </w:rPr>
          <w:t xml:space="preserve"> </w:t>
        </w:r>
        <w:r w:rsidRPr="003C5558">
          <w:rPr>
            <w:rStyle w:val="Hyperlink"/>
            <w:rFonts w:hint="cs"/>
            <w:rtl/>
          </w:rPr>
          <w:t>یعقوب</w:t>
        </w:r>
        <w:r w:rsidRPr="003C5558">
          <w:rPr>
            <w:rStyle w:val="Hyperlink"/>
            <w:rtl/>
          </w:rPr>
          <w:t xml:space="preserve"> </w:t>
        </w:r>
        <w:r w:rsidRPr="003C5558">
          <w:rPr>
            <w:rStyle w:val="Hyperlink"/>
            <w:rFonts w:hint="cs"/>
            <w:rtl/>
          </w:rPr>
          <w:t>کلینی،</w:t>
        </w:r>
        <w:r w:rsidRPr="003C5558">
          <w:rPr>
            <w:rStyle w:val="Hyperlink"/>
            <w:rtl/>
          </w:rPr>
          <w:t xml:space="preserve"> </w:t>
        </w:r>
        <w:r w:rsidRPr="003C5558">
          <w:rPr>
            <w:rStyle w:val="Hyperlink"/>
            <w:rFonts w:hint="cs"/>
            <w:rtl/>
          </w:rPr>
          <w:t>ج</w:t>
        </w:r>
        <w:r w:rsidRPr="003C5558">
          <w:rPr>
            <w:rStyle w:val="Hyperlink"/>
            <w:rtl/>
          </w:rPr>
          <w:t>5</w:t>
        </w:r>
        <w:r w:rsidRPr="003C5558">
          <w:rPr>
            <w:rStyle w:val="Hyperlink"/>
            <w:rFonts w:hint="cs"/>
            <w:rtl/>
          </w:rPr>
          <w:t>،</w:t>
        </w:r>
        <w:r w:rsidRPr="003C5558">
          <w:rPr>
            <w:rStyle w:val="Hyperlink"/>
            <w:rtl/>
          </w:rPr>
          <w:t xml:space="preserve"> </w:t>
        </w:r>
        <w:r w:rsidRPr="003C5558">
          <w:rPr>
            <w:rStyle w:val="Hyperlink"/>
            <w:rFonts w:hint="cs"/>
            <w:rtl/>
          </w:rPr>
          <w:t>ص</w:t>
        </w:r>
        <w:r w:rsidRPr="003C5558">
          <w:rPr>
            <w:rStyle w:val="Hyperlink"/>
            <w:rtl/>
          </w:rPr>
          <w:t>458.</w:t>
        </w:r>
      </w:hyperlink>
    </w:p>
  </w:footnote>
  <w:footnote w:id="2">
    <w:p w:rsidR="00B50922" w:rsidRPr="00112240" w:rsidRDefault="00B50922" w:rsidP="00112240">
      <w:pPr>
        <w:pStyle w:val="FootnoteText"/>
      </w:pPr>
      <w:r w:rsidRPr="00112240">
        <w:footnoteRef/>
      </w:r>
      <w:r w:rsidRPr="00112240">
        <w:rPr>
          <w:rtl/>
        </w:rPr>
        <w:t xml:space="preserve"> </w:t>
      </w:r>
      <w:hyperlink r:id="rId2" w:history="1">
        <w:r w:rsidRPr="00112240">
          <w:rPr>
            <w:rStyle w:val="Hyperlink"/>
            <w:rFonts w:hint="cs"/>
            <w:rtl/>
          </w:rPr>
          <w:t>الکافی،</w:t>
        </w:r>
        <w:r w:rsidRPr="00112240">
          <w:rPr>
            <w:rStyle w:val="Hyperlink"/>
            <w:rtl/>
          </w:rPr>
          <w:t xml:space="preserve"> </w:t>
        </w:r>
        <w:r w:rsidRPr="00112240">
          <w:rPr>
            <w:rStyle w:val="Hyperlink"/>
            <w:rFonts w:hint="cs"/>
            <w:rtl/>
          </w:rPr>
          <w:t>محمد</w:t>
        </w:r>
        <w:r w:rsidRPr="00112240">
          <w:rPr>
            <w:rStyle w:val="Hyperlink"/>
            <w:rtl/>
          </w:rPr>
          <w:t xml:space="preserve"> </w:t>
        </w:r>
        <w:r w:rsidRPr="00112240">
          <w:rPr>
            <w:rStyle w:val="Hyperlink"/>
            <w:rFonts w:hint="cs"/>
            <w:rtl/>
          </w:rPr>
          <w:t>بن</w:t>
        </w:r>
        <w:r w:rsidRPr="00112240">
          <w:rPr>
            <w:rStyle w:val="Hyperlink"/>
            <w:rtl/>
          </w:rPr>
          <w:t xml:space="preserve"> </w:t>
        </w:r>
        <w:r w:rsidRPr="00112240">
          <w:rPr>
            <w:rStyle w:val="Hyperlink"/>
            <w:rFonts w:hint="cs"/>
            <w:rtl/>
          </w:rPr>
          <w:t>یعقوب</w:t>
        </w:r>
        <w:r w:rsidRPr="00112240">
          <w:rPr>
            <w:rStyle w:val="Hyperlink"/>
            <w:rtl/>
          </w:rPr>
          <w:t xml:space="preserve"> </w:t>
        </w:r>
        <w:r w:rsidRPr="00112240">
          <w:rPr>
            <w:rStyle w:val="Hyperlink"/>
            <w:rFonts w:hint="cs"/>
            <w:rtl/>
          </w:rPr>
          <w:t>کلینی،</w:t>
        </w:r>
        <w:r w:rsidRPr="00112240">
          <w:rPr>
            <w:rStyle w:val="Hyperlink"/>
            <w:rtl/>
          </w:rPr>
          <w:t xml:space="preserve"> </w:t>
        </w:r>
        <w:r w:rsidRPr="00112240">
          <w:rPr>
            <w:rStyle w:val="Hyperlink"/>
            <w:rFonts w:hint="cs"/>
            <w:rtl/>
          </w:rPr>
          <w:t>ج</w:t>
        </w:r>
        <w:r w:rsidRPr="00112240">
          <w:rPr>
            <w:rStyle w:val="Hyperlink"/>
            <w:rtl/>
          </w:rPr>
          <w:t>5</w:t>
        </w:r>
        <w:r w:rsidRPr="00112240">
          <w:rPr>
            <w:rStyle w:val="Hyperlink"/>
            <w:rFonts w:hint="cs"/>
            <w:rtl/>
          </w:rPr>
          <w:t>،</w:t>
        </w:r>
        <w:r w:rsidRPr="00112240">
          <w:rPr>
            <w:rStyle w:val="Hyperlink"/>
            <w:rtl/>
          </w:rPr>
          <w:t xml:space="preserve"> </w:t>
        </w:r>
        <w:r w:rsidRPr="00112240">
          <w:rPr>
            <w:rStyle w:val="Hyperlink"/>
            <w:rFonts w:hint="cs"/>
            <w:rtl/>
          </w:rPr>
          <w:t>ص</w:t>
        </w:r>
        <w:r w:rsidRPr="00112240">
          <w:rPr>
            <w:rStyle w:val="Hyperlink"/>
            <w:rtl/>
          </w:rPr>
          <w:t>451.</w:t>
        </w:r>
      </w:hyperlink>
    </w:p>
  </w:footnote>
  <w:footnote w:id="3">
    <w:p w:rsidR="00B50922" w:rsidRPr="00AF7211" w:rsidRDefault="00B50922" w:rsidP="00AF7211">
      <w:pPr>
        <w:pStyle w:val="FootnoteText"/>
      </w:pPr>
      <w:r w:rsidRPr="00AF7211">
        <w:footnoteRef/>
      </w:r>
      <w:r w:rsidRPr="00AF7211">
        <w:rPr>
          <w:rtl/>
        </w:rPr>
        <w:t xml:space="preserve"> </w:t>
      </w:r>
      <w:hyperlink r:id="rId3" w:history="1">
        <w:r w:rsidRPr="00AF7211">
          <w:rPr>
            <w:rStyle w:val="Hyperlink"/>
            <w:rFonts w:hint="cs"/>
            <w:rtl/>
          </w:rPr>
          <w:t>شرائع</w:t>
        </w:r>
        <w:r w:rsidRPr="00AF7211">
          <w:rPr>
            <w:rStyle w:val="Hyperlink"/>
            <w:rtl/>
          </w:rPr>
          <w:t xml:space="preserve"> </w:t>
        </w:r>
        <w:r w:rsidRPr="00AF7211">
          <w:rPr>
            <w:rStyle w:val="Hyperlink"/>
            <w:rFonts w:hint="cs"/>
            <w:rtl/>
          </w:rPr>
          <w:t>الإسلام،</w:t>
        </w:r>
        <w:r w:rsidRPr="00AF7211">
          <w:rPr>
            <w:rStyle w:val="Hyperlink"/>
            <w:rtl/>
          </w:rPr>
          <w:t xml:space="preserve"> </w:t>
        </w:r>
        <w:r w:rsidRPr="00AF7211">
          <w:rPr>
            <w:rStyle w:val="Hyperlink"/>
            <w:rFonts w:hint="cs"/>
            <w:rtl/>
          </w:rPr>
          <w:t>جعفر</w:t>
        </w:r>
        <w:r w:rsidRPr="00AF7211">
          <w:rPr>
            <w:rStyle w:val="Hyperlink"/>
            <w:rtl/>
          </w:rPr>
          <w:t xml:space="preserve"> </w:t>
        </w:r>
        <w:r w:rsidRPr="00AF7211">
          <w:rPr>
            <w:rStyle w:val="Hyperlink"/>
            <w:rFonts w:hint="cs"/>
            <w:rtl/>
          </w:rPr>
          <w:t>بن</w:t>
        </w:r>
        <w:r w:rsidRPr="00AF7211">
          <w:rPr>
            <w:rStyle w:val="Hyperlink"/>
            <w:rtl/>
          </w:rPr>
          <w:t xml:space="preserve"> </w:t>
        </w:r>
        <w:r w:rsidRPr="00AF7211">
          <w:rPr>
            <w:rStyle w:val="Hyperlink"/>
            <w:rFonts w:hint="cs"/>
            <w:rtl/>
          </w:rPr>
          <w:t>الحسن</w:t>
        </w:r>
        <w:r w:rsidRPr="00AF7211">
          <w:rPr>
            <w:rStyle w:val="Hyperlink"/>
            <w:rtl/>
          </w:rPr>
          <w:t xml:space="preserve"> </w:t>
        </w:r>
        <w:r w:rsidRPr="00AF7211">
          <w:rPr>
            <w:rStyle w:val="Hyperlink"/>
            <w:rFonts w:hint="cs"/>
            <w:rtl/>
          </w:rPr>
          <w:t>بن</w:t>
        </w:r>
        <w:r w:rsidRPr="00AF7211">
          <w:rPr>
            <w:rStyle w:val="Hyperlink"/>
            <w:rtl/>
          </w:rPr>
          <w:t xml:space="preserve"> </w:t>
        </w:r>
        <w:r w:rsidRPr="00AF7211">
          <w:rPr>
            <w:rStyle w:val="Hyperlink"/>
            <w:rFonts w:hint="cs"/>
            <w:rtl/>
          </w:rPr>
          <w:t>یحیی</w:t>
        </w:r>
        <w:r w:rsidRPr="00AF7211">
          <w:rPr>
            <w:rStyle w:val="Hyperlink"/>
            <w:rtl/>
          </w:rPr>
          <w:t xml:space="preserve"> (</w:t>
        </w:r>
        <w:r w:rsidRPr="00AF7211">
          <w:rPr>
            <w:rStyle w:val="Hyperlink"/>
            <w:rFonts w:hint="cs"/>
            <w:rtl/>
          </w:rPr>
          <w:t>المحقق</w:t>
        </w:r>
        <w:r w:rsidRPr="00AF7211">
          <w:rPr>
            <w:rStyle w:val="Hyperlink"/>
            <w:rtl/>
          </w:rPr>
          <w:t xml:space="preserve"> </w:t>
        </w:r>
        <w:r w:rsidRPr="00AF7211">
          <w:rPr>
            <w:rStyle w:val="Hyperlink"/>
            <w:rFonts w:hint="cs"/>
            <w:rtl/>
          </w:rPr>
          <w:t>الحلّی</w:t>
        </w:r>
        <w:r w:rsidRPr="00AF7211">
          <w:rPr>
            <w:rStyle w:val="Hyperlink"/>
            <w:rtl/>
          </w:rPr>
          <w:t>)</w:t>
        </w:r>
        <w:r w:rsidRPr="00AF7211">
          <w:rPr>
            <w:rStyle w:val="Hyperlink"/>
            <w:rFonts w:hint="cs"/>
            <w:rtl/>
          </w:rPr>
          <w:t>،</w:t>
        </w:r>
        <w:r w:rsidRPr="00AF7211">
          <w:rPr>
            <w:rStyle w:val="Hyperlink"/>
            <w:rtl/>
          </w:rPr>
          <w:t xml:space="preserve"> </w:t>
        </w:r>
        <w:r w:rsidRPr="00AF7211">
          <w:rPr>
            <w:rStyle w:val="Hyperlink"/>
            <w:rFonts w:hint="cs"/>
            <w:rtl/>
          </w:rPr>
          <w:t>ج</w:t>
        </w:r>
        <w:r w:rsidRPr="00AF7211">
          <w:rPr>
            <w:rStyle w:val="Hyperlink"/>
            <w:rtl/>
          </w:rPr>
          <w:t>2</w:t>
        </w:r>
        <w:r w:rsidRPr="00AF7211">
          <w:rPr>
            <w:rStyle w:val="Hyperlink"/>
            <w:rFonts w:hint="cs"/>
            <w:rtl/>
          </w:rPr>
          <w:t>،</w:t>
        </w:r>
        <w:r w:rsidRPr="00AF7211">
          <w:rPr>
            <w:rStyle w:val="Hyperlink"/>
            <w:rtl/>
          </w:rPr>
          <w:t xml:space="preserve"> </w:t>
        </w:r>
        <w:r w:rsidRPr="00AF7211">
          <w:rPr>
            <w:rStyle w:val="Hyperlink"/>
            <w:rFonts w:hint="cs"/>
            <w:rtl/>
          </w:rPr>
          <w:t>ص</w:t>
        </w:r>
        <w:r w:rsidRPr="00AF7211">
          <w:rPr>
            <w:rStyle w:val="Hyperlink"/>
            <w:rtl/>
          </w:rPr>
          <w:t>251.</w:t>
        </w:r>
      </w:hyperlink>
    </w:p>
  </w:footnote>
  <w:footnote w:id="4">
    <w:p w:rsidR="00B50922" w:rsidRDefault="00B50922" w:rsidP="0035027E">
      <w:pPr>
        <w:pStyle w:val="FootnoteText"/>
      </w:pPr>
      <w:r>
        <w:rPr>
          <w:rStyle w:val="FootnoteReference"/>
        </w:rPr>
        <w:footnoteRef/>
      </w:r>
      <w:r>
        <w:rPr>
          <w:rtl/>
        </w:rPr>
        <w:t xml:space="preserve"> </w:t>
      </w:r>
      <w:r w:rsidRPr="0035027E">
        <w:rPr>
          <w:rFonts w:hint="cs"/>
          <w:rtl/>
        </w:rPr>
        <w:t>نكت النهاية، ج‌2، ص: 382‌</w:t>
      </w:r>
    </w:p>
  </w:footnote>
  <w:footnote w:id="5">
    <w:p w:rsidR="00B50922" w:rsidRPr="0068476C" w:rsidRDefault="00B50922" w:rsidP="0068476C">
      <w:pPr>
        <w:pStyle w:val="FootnoteText"/>
      </w:pPr>
      <w:r w:rsidRPr="0068476C">
        <w:footnoteRef/>
      </w:r>
      <w:r w:rsidRPr="0068476C">
        <w:rPr>
          <w:rtl/>
        </w:rPr>
        <w:t xml:space="preserve"> </w:t>
      </w:r>
      <w:hyperlink r:id="rId4" w:history="1">
        <w:r w:rsidRPr="0068476C">
          <w:rPr>
            <w:rStyle w:val="Hyperlink"/>
            <w:rFonts w:hint="cs"/>
            <w:rtl/>
          </w:rPr>
          <w:t>استبصار،</w:t>
        </w:r>
        <w:r w:rsidRPr="0068476C">
          <w:rPr>
            <w:rStyle w:val="Hyperlink"/>
            <w:rtl/>
          </w:rPr>
          <w:t xml:space="preserve"> </w:t>
        </w:r>
        <w:r w:rsidRPr="0068476C">
          <w:rPr>
            <w:rStyle w:val="Hyperlink"/>
            <w:rFonts w:hint="cs"/>
            <w:rtl/>
          </w:rPr>
          <w:t>شیخ</w:t>
        </w:r>
        <w:r w:rsidRPr="0068476C">
          <w:rPr>
            <w:rStyle w:val="Hyperlink"/>
            <w:rtl/>
          </w:rPr>
          <w:t xml:space="preserve"> </w:t>
        </w:r>
        <w:r w:rsidRPr="0068476C">
          <w:rPr>
            <w:rStyle w:val="Hyperlink"/>
            <w:rFonts w:hint="cs"/>
            <w:rtl/>
          </w:rPr>
          <w:t>طوسی،</w:t>
        </w:r>
        <w:r w:rsidRPr="0068476C">
          <w:rPr>
            <w:rStyle w:val="Hyperlink"/>
            <w:rtl/>
          </w:rPr>
          <w:t xml:space="preserve"> </w:t>
        </w:r>
        <w:r w:rsidRPr="0068476C">
          <w:rPr>
            <w:rStyle w:val="Hyperlink"/>
            <w:rFonts w:hint="cs"/>
            <w:rtl/>
          </w:rPr>
          <w:t>ج</w:t>
        </w:r>
        <w:r w:rsidRPr="0068476C">
          <w:rPr>
            <w:rStyle w:val="Hyperlink"/>
            <w:rtl/>
          </w:rPr>
          <w:t>3</w:t>
        </w:r>
        <w:r w:rsidRPr="0068476C">
          <w:rPr>
            <w:rStyle w:val="Hyperlink"/>
            <w:rFonts w:hint="cs"/>
            <w:rtl/>
          </w:rPr>
          <w:t>،</w:t>
        </w:r>
        <w:r w:rsidRPr="0068476C">
          <w:rPr>
            <w:rStyle w:val="Hyperlink"/>
            <w:rtl/>
          </w:rPr>
          <w:t xml:space="preserve"> </w:t>
        </w:r>
        <w:r w:rsidRPr="0068476C">
          <w:rPr>
            <w:rStyle w:val="Hyperlink"/>
            <w:rFonts w:hint="cs"/>
            <w:rtl/>
          </w:rPr>
          <w:t>ص</w:t>
        </w:r>
        <w:r w:rsidRPr="0068476C">
          <w:rPr>
            <w:rStyle w:val="Hyperlink"/>
            <w:rtl/>
          </w:rPr>
          <w:t>335.</w:t>
        </w:r>
      </w:hyperlink>
    </w:p>
  </w:footnote>
  <w:footnote w:id="6">
    <w:p w:rsidR="00B50922" w:rsidRDefault="00B50922" w:rsidP="001B144B">
      <w:pPr>
        <w:pStyle w:val="FootnoteText"/>
      </w:pPr>
      <w:r>
        <w:rPr>
          <w:rStyle w:val="FootnoteReference"/>
        </w:rPr>
        <w:footnoteRef/>
      </w:r>
      <w:r>
        <w:rPr>
          <w:rtl/>
        </w:rPr>
        <w:t xml:space="preserve"> </w:t>
      </w:r>
      <w:r w:rsidRPr="009218BA">
        <w:rPr>
          <w:rFonts w:hint="cs"/>
          <w:rtl/>
        </w:rPr>
        <w:t>الإحتجاج على أهل اللجاج (للطبرسي)، ج‏2، ص: 488</w:t>
      </w:r>
    </w:p>
  </w:footnote>
  <w:footnote w:id="7">
    <w:p w:rsidR="00B50922" w:rsidRDefault="00B50922" w:rsidP="00EF767E">
      <w:pPr>
        <w:pStyle w:val="FootnoteText"/>
      </w:pPr>
      <w:r>
        <w:rPr>
          <w:rStyle w:val="FootnoteReference"/>
        </w:rPr>
        <w:footnoteRef/>
      </w:r>
      <w:r>
        <w:rPr>
          <w:rtl/>
        </w:rPr>
        <w:t xml:space="preserve"> </w:t>
      </w:r>
      <w:r w:rsidRPr="00EF767E">
        <w:rPr>
          <w:rFonts w:hint="cs"/>
          <w:rtl/>
        </w:rPr>
        <w:t>الإحتجاج على أهل اللجاج (للطبرسي)، ج‏2، ص: 481</w:t>
      </w:r>
    </w:p>
  </w:footnote>
  <w:footnote w:id="8">
    <w:p w:rsidR="00B50922" w:rsidRDefault="00B50922" w:rsidP="00176276">
      <w:pPr>
        <w:pStyle w:val="FootnoteText"/>
      </w:pPr>
      <w:r>
        <w:rPr>
          <w:rStyle w:val="FootnoteReference"/>
        </w:rPr>
        <w:footnoteRef/>
      </w:r>
      <w:r>
        <w:rPr>
          <w:rtl/>
        </w:rPr>
        <w:t xml:space="preserve"> </w:t>
      </w:r>
      <w:r w:rsidRPr="00176276">
        <w:rPr>
          <w:rFonts w:hint="cs"/>
          <w:rtl/>
        </w:rPr>
        <w:t>الإحتجاج على أهل اللجاج (للطبرسي)، ج‏2، ص: 483</w:t>
      </w:r>
    </w:p>
  </w:footnote>
  <w:footnote w:id="9">
    <w:p w:rsidR="00B50922" w:rsidRPr="00B50922" w:rsidRDefault="00B50922" w:rsidP="00B50922">
      <w:pPr>
        <w:pStyle w:val="FootnoteText"/>
      </w:pPr>
      <w:r w:rsidRPr="00B50922">
        <w:footnoteRef/>
      </w:r>
      <w:r w:rsidRPr="00B50922">
        <w:rPr>
          <w:rtl/>
        </w:rPr>
        <w:t xml:space="preserve"> </w:t>
      </w:r>
      <w:hyperlink r:id="rId5" w:history="1">
        <w:r w:rsidRPr="00B50922">
          <w:rPr>
            <w:rStyle w:val="Hyperlink"/>
            <w:rFonts w:hint="cs"/>
            <w:rtl/>
          </w:rPr>
          <w:t>الغیبة،</w:t>
        </w:r>
        <w:r w:rsidRPr="00B50922">
          <w:rPr>
            <w:rStyle w:val="Hyperlink"/>
            <w:rtl/>
          </w:rPr>
          <w:t xml:space="preserve"> </w:t>
        </w:r>
        <w:r w:rsidRPr="00B50922">
          <w:rPr>
            <w:rStyle w:val="Hyperlink"/>
            <w:rFonts w:hint="cs"/>
            <w:rtl/>
          </w:rPr>
          <w:t>شیخ</w:t>
        </w:r>
        <w:r w:rsidRPr="00B50922">
          <w:rPr>
            <w:rStyle w:val="Hyperlink"/>
            <w:rtl/>
          </w:rPr>
          <w:t xml:space="preserve"> </w:t>
        </w:r>
        <w:r w:rsidRPr="00B50922">
          <w:rPr>
            <w:rStyle w:val="Hyperlink"/>
            <w:rFonts w:hint="cs"/>
            <w:rtl/>
          </w:rPr>
          <w:t>طوسی،</w:t>
        </w:r>
        <w:r w:rsidRPr="00B50922">
          <w:rPr>
            <w:rStyle w:val="Hyperlink"/>
            <w:rtl/>
          </w:rPr>
          <w:t xml:space="preserve"> </w:t>
        </w:r>
        <w:r w:rsidRPr="00B50922">
          <w:rPr>
            <w:rStyle w:val="Hyperlink"/>
            <w:rFonts w:hint="cs"/>
            <w:rtl/>
          </w:rPr>
          <w:t>ج</w:t>
        </w:r>
        <w:r w:rsidRPr="00B50922">
          <w:rPr>
            <w:rStyle w:val="Hyperlink"/>
            <w:rtl/>
          </w:rPr>
          <w:t>1</w:t>
        </w:r>
        <w:r w:rsidRPr="00B50922">
          <w:rPr>
            <w:rStyle w:val="Hyperlink"/>
            <w:rFonts w:hint="cs"/>
            <w:rtl/>
          </w:rPr>
          <w:t>،</w:t>
        </w:r>
        <w:r w:rsidRPr="00B50922">
          <w:rPr>
            <w:rStyle w:val="Hyperlink"/>
            <w:rtl/>
          </w:rPr>
          <w:t xml:space="preserve"> </w:t>
        </w:r>
        <w:r w:rsidRPr="00B50922">
          <w:rPr>
            <w:rStyle w:val="Hyperlink"/>
            <w:rFonts w:hint="cs"/>
            <w:rtl/>
          </w:rPr>
          <w:t>ص</w:t>
        </w:r>
        <w:r w:rsidRPr="00B50922">
          <w:rPr>
            <w:rStyle w:val="Hyperlink"/>
            <w:rtl/>
          </w:rPr>
          <w:t>374.</w:t>
        </w:r>
      </w:hyperlink>
    </w:p>
  </w:footnote>
  <w:footnote w:id="10">
    <w:p w:rsidR="00B50922" w:rsidRPr="00B50922" w:rsidRDefault="00B50922" w:rsidP="00B50922">
      <w:pPr>
        <w:pStyle w:val="FootnoteText"/>
      </w:pPr>
      <w:r w:rsidRPr="00B50922">
        <w:footnoteRef/>
      </w:r>
      <w:r w:rsidRPr="00B50922">
        <w:rPr>
          <w:rtl/>
        </w:rPr>
        <w:t xml:space="preserve"> </w:t>
      </w:r>
      <w:hyperlink r:id="rId6" w:history="1">
        <w:r w:rsidRPr="00B50922">
          <w:rPr>
            <w:rStyle w:val="Hyperlink"/>
            <w:rFonts w:hint="cs"/>
            <w:rtl/>
          </w:rPr>
          <w:t>الغیبة،</w:t>
        </w:r>
        <w:r w:rsidRPr="00B50922">
          <w:rPr>
            <w:rStyle w:val="Hyperlink"/>
            <w:rtl/>
          </w:rPr>
          <w:t xml:space="preserve"> </w:t>
        </w:r>
        <w:r w:rsidRPr="00B50922">
          <w:rPr>
            <w:rStyle w:val="Hyperlink"/>
            <w:rFonts w:hint="cs"/>
            <w:rtl/>
          </w:rPr>
          <w:t>شیخ</w:t>
        </w:r>
        <w:r w:rsidRPr="00B50922">
          <w:rPr>
            <w:rStyle w:val="Hyperlink"/>
            <w:rtl/>
          </w:rPr>
          <w:t xml:space="preserve"> </w:t>
        </w:r>
        <w:r w:rsidRPr="00B50922">
          <w:rPr>
            <w:rStyle w:val="Hyperlink"/>
            <w:rFonts w:hint="cs"/>
            <w:rtl/>
          </w:rPr>
          <w:t>طوسی،</w:t>
        </w:r>
        <w:r w:rsidRPr="00B50922">
          <w:rPr>
            <w:rStyle w:val="Hyperlink"/>
            <w:rtl/>
          </w:rPr>
          <w:t xml:space="preserve"> </w:t>
        </w:r>
        <w:r w:rsidRPr="00B50922">
          <w:rPr>
            <w:rStyle w:val="Hyperlink"/>
            <w:rFonts w:hint="cs"/>
            <w:rtl/>
          </w:rPr>
          <w:t>ج</w:t>
        </w:r>
        <w:r w:rsidRPr="00B50922">
          <w:rPr>
            <w:rStyle w:val="Hyperlink"/>
            <w:rtl/>
          </w:rPr>
          <w:t>1</w:t>
        </w:r>
        <w:r w:rsidRPr="00B50922">
          <w:rPr>
            <w:rStyle w:val="Hyperlink"/>
            <w:rFonts w:hint="cs"/>
            <w:rtl/>
          </w:rPr>
          <w:t>،</w:t>
        </w:r>
        <w:r w:rsidRPr="00B50922">
          <w:rPr>
            <w:rStyle w:val="Hyperlink"/>
            <w:rtl/>
          </w:rPr>
          <w:t xml:space="preserve"> </w:t>
        </w:r>
        <w:r w:rsidRPr="00B50922">
          <w:rPr>
            <w:rStyle w:val="Hyperlink"/>
            <w:rFonts w:hint="cs"/>
            <w:rtl/>
          </w:rPr>
          <w:t>ص</w:t>
        </w:r>
        <w:r w:rsidRPr="00B50922">
          <w:rPr>
            <w:rStyle w:val="Hyperlink"/>
            <w:rtl/>
          </w:rPr>
          <w:t>378.</w:t>
        </w:r>
      </w:hyperlink>
    </w:p>
  </w:footnote>
  <w:footnote w:id="11">
    <w:p w:rsidR="000436AA" w:rsidRDefault="000436AA" w:rsidP="000436AA">
      <w:pPr>
        <w:pStyle w:val="FootnoteText"/>
      </w:pPr>
      <w:r>
        <w:rPr>
          <w:rStyle w:val="FootnoteReference"/>
        </w:rPr>
        <w:footnoteRef/>
      </w:r>
      <w:r>
        <w:rPr>
          <w:rtl/>
        </w:rPr>
        <w:t xml:space="preserve"> </w:t>
      </w:r>
      <w:r w:rsidRPr="000436AA">
        <w:rPr>
          <w:rFonts w:hint="cs"/>
          <w:rtl/>
        </w:rPr>
        <w:t>الإحتجاج على أهل اللجاج (للطبرسي)، ج‏2، ص: 485</w:t>
      </w:r>
    </w:p>
  </w:footnote>
  <w:footnote w:id="12">
    <w:p w:rsidR="00A41621" w:rsidRDefault="00A41621">
      <w:pPr>
        <w:pStyle w:val="FootnoteText"/>
      </w:pPr>
      <w:r>
        <w:rPr>
          <w:rStyle w:val="FootnoteReference"/>
        </w:rPr>
        <w:footnoteRef/>
      </w:r>
      <w:r>
        <w:rPr>
          <w:rtl/>
        </w:rPr>
        <w:t xml:space="preserve"> </w:t>
      </w:r>
      <w:r w:rsidRPr="000436AA">
        <w:rPr>
          <w:rFonts w:hint="cs"/>
          <w:rtl/>
        </w:rPr>
        <w:t>الإحتجاج على أ</w:t>
      </w:r>
      <w:r>
        <w:rPr>
          <w:rFonts w:hint="cs"/>
          <w:rtl/>
        </w:rPr>
        <w:t>هل اللجاج (للطبرسي)، ج‏2، ص: 487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22" w:rsidRDefault="00B509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22" w:rsidRPr="001D2E9A" w:rsidRDefault="00B5092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6" w:name="BokNum"/>
    <w:bookmarkEnd w:id="6"/>
    <w:r>
      <w:rPr>
        <w:b/>
        <w:bCs/>
        <w:sz w:val="20"/>
        <w:szCs w:val="24"/>
        <w:rtl/>
      </w:rPr>
      <w:t>062</w:t>
    </w:r>
    <w:r>
      <w:rPr>
        <w:rFonts w:hint="cs"/>
        <w:b/>
        <w:bCs/>
        <w:sz w:val="20"/>
        <w:szCs w:val="24"/>
        <w:rtl/>
      </w:rPr>
      <w:tab/>
    </w:r>
    <w:r w:rsidRPr="00C32A7E">
      <w:rPr>
        <w:rFonts w:hint="cs"/>
        <w:b/>
        <w:bCs/>
        <w:color w:val="632423" w:themeColor="accent2" w:themeShade="80"/>
        <w:sz w:val="20"/>
        <w:szCs w:val="24"/>
        <w:rtl/>
      </w:rPr>
      <w:t xml:space="preserve">درس خارج </w:t>
    </w:r>
    <w:bookmarkStart w:id="7" w:name="Bokdars"/>
    <w:bookmarkEnd w:id="7"/>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8" w:name="Bokostad"/>
    <w:bookmarkEnd w:id="8"/>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9" w:name="BokTarikh"/>
    <w:bookmarkEnd w:id="9"/>
    <w:r>
      <w:rPr>
        <w:sz w:val="24"/>
        <w:szCs w:val="24"/>
        <w:rtl/>
      </w:rPr>
      <w:t>8 /11 /1399</w:t>
    </w:r>
  </w:p>
  <w:p w:rsidR="00B50922" w:rsidRPr="00F16B53" w:rsidRDefault="00B5092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0" w:name="BokSabj"/>
    <w:bookmarkEnd w:id="10"/>
    <w:r>
      <w:rPr>
        <w:rFonts w:hint="cs"/>
        <w:color w:val="000000" w:themeColor="text1"/>
        <w:sz w:val="24"/>
        <w:szCs w:val="24"/>
        <w:rtl/>
      </w:rPr>
      <w:t>فصل</w:t>
    </w:r>
    <w:r>
      <w:rPr>
        <w:color w:val="000000" w:themeColor="text1"/>
        <w:sz w:val="24"/>
        <w:szCs w:val="24"/>
        <w:rtl/>
      </w:rPr>
      <w:t xml:space="preserve"> </w:t>
    </w:r>
    <w:r>
      <w:rPr>
        <w:rFonts w:hint="cs"/>
        <w:color w:val="000000" w:themeColor="text1"/>
        <w:sz w:val="24"/>
        <w:szCs w:val="24"/>
        <w:rtl/>
      </w:rPr>
      <w:t>سوم</w:t>
    </w:r>
    <w:r>
      <w:rPr>
        <w:color w:val="000000" w:themeColor="text1"/>
        <w:sz w:val="24"/>
        <w:szCs w:val="24"/>
        <w:rtl/>
      </w:rPr>
      <w:t xml:space="preserve"> </w:t>
    </w:r>
    <w:r>
      <w:rPr>
        <w:rFonts w:hint="cs"/>
        <w:color w:val="000000" w:themeColor="text1"/>
        <w:sz w:val="24"/>
        <w:szCs w:val="24"/>
        <w:rtl/>
      </w:rPr>
      <w:t>تکمله‌ی</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1" w:name="Bokmoqarer"/>
    <w:bookmarkEnd w:id="11"/>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2" w:name="BokSabj2"/>
    <w:bookmarkEnd w:id="12"/>
    <w:r>
      <w:rPr>
        <w:rFonts w:hint="cs"/>
        <w:sz w:val="24"/>
        <w:szCs w:val="24"/>
        <w:rtl/>
      </w:rPr>
      <w:t>عده‌ی</w:t>
    </w:r>
    <w:r>
      <w:rPr>
        <w:sz w:val="24"/>
        <w:szCs w:val="24"/>
        <w:rtl/>
      </w:rPr>
      <w:t xml:space="preserve"> </w:t>
    </w:r>
    <w:r>
      <w:rPr>
        <w:rFonts w:hint="cs"/>
        <w:sz w:val="24"/>
        <w:szCs w:val="24"/>
        <w:rtl/>
      </w:rPr>
      <w:t>متعه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22" w:rsidRDefault="00B50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66331B"/>
    <w:multiLevelType w:val="hybridMultilevel"/>
    <w:tmpl w:val="83A0FCD0"/>
    <w:lvl w:ilvl="0" w:tplc="0CE2B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3067"/>
    <w:rsid w:val="000353D7"/>
    <w:rsid w:val="000436AA"/>
    <w:rsid w:val="00055496"/>
    <w:rsid w:val="00063D0A"/>
    <w:rsid w:val="00080A41"/>
    <w:rsid w:val="0008299B"/>
    <w:rsid w:val="000913AA"/>
    <w:rsid w:val="00094847"/>
    <w:rsid w:val="000966C8"/>
    <w:rsid w:val="00096C63"/>
    <w:rsid w:val="000B5DB5"/>
    <w:rsid w:val="000C3947"/>
    <w:rsid w:val="000D2A37"/>
    <w:rsid w:val="000D30E9"/>
    <w:rsid w:val="000D6818"/>
    <w:rsid w:val="000E335E"/>
    <w:rsid w:val="000F16CF"/>
    <w:rsid w:val="000F5BAC"/>
    <w:rsid w:val="00102585"/>
    <w:rsid w:val="00112240"/>
    <w:rsid w:val="00114AB7"/>
    <w:rsid w:val="00116B2B"/>
    <w:rsid w:val="00121C15"/>
    <w:rsid w:val="00124E3D"/>
    <w:rsid w:val="00127E95"/>
    <w:rsid w:val="00130659"/>
    <w:rsid w:val="001347C7"/>
    <w:rsid w:val="001356B0"/>
    <w:rsid w:val="00151937"/>
    <w:rsid w:val="00176276"/>
    <w:rsid w:val="00181844"/>
    <w:rsid w:val="001837E9"/>
    <w:rsid w:val="00187DFA"/>
    <w:rsid w:val="00195F8B"/>
    <w:rsid w:val="001A1BC1"/>
    <w:rsid w:val="001A1EA5"/>
    <w:rsid w:val="001A2574"/>
    <w:rsid w:val="001A27D7"/>
    <w:rsid w:val="001A294E"/>
    <w:rsid w:val="001A4ED8"/>
    <w:rsid w:val="001B144B"/>
    <w:rsid w:val="001B2488"/>
    <w:rsid w:val="001B6799"/>
    <w:rsid w:val="001C1362"/>
    <w:rsid w:val="001D06E5"/>
    <w:rsid w:val="001D2E9A"/>
    <w:rsid w:val="001D597F"/>
    <w:rsid w:val="001D638E"/>
    <w:rsid w:val="001D7158"/>
    <w:rsid w:val="001E3FD4"/>
    <w:rsid w:val="0020241A"/>
    <w:rsid w:val="00203821"/>
    <w:rsid w:val="002078B6"/>
    <w:rsid w:val="00211632"/>
    <w:rsid w:val="0021630D"/>
    <w:rsid w:val="00240A9F"/>
    <w:rsid w:val="0024121B"/>
    <w:rsid w:val="00247D2F"/>
    <w:rsid w:val="00256560"/>
    <w:rsid w:val="0027605E"/>
    <w:rsid w:val="00281E00"/>
    <w:rsid w:val="00294A52"/>
    <w:rsid w:val="002A33CC"/>
    <w:rsid w:val="002B575F"/>
    <w:rsid w:val="002B729B"/>
    <w:rsid w:val="002C23B5"/>
    <w:rsid w:val="002C53A2"/>
    <w:rsid w:val="002D0040"/>
    <w:rsid w:val="002D2FA8"/>
    <w:rsid w:val="002D3532"/>
    <w:rsid w:val="002E220F"/>
    <w:rsid w:val="002E3FBB"/>
    <w:rsid w:val="002E7872"/>
    <w:rsid w:val="003011CD"/>
    <w:rsid w:val="00307311"/>
    <w:rsid w:val="00320486"/>
    <w:rsid w:val="0032100F"/>
    <w:rsid w:val="0033402C"/>
    <w:rsid w:val="00340521"/>
    <w:rsid w:val="00345C73"/>
    <w:rsid w:val="0035027E"/>
    <w:rsid w:val="00354A99"/>
    <w:rsid w:val="00360311"/>
    <w:rsid w:val="00361922"/>
    <w:rsid w:val="0037339B"/>
    <w:rsid w:val="00386C11"/>
    <w:rsid w:val="00397466"/>
    <w:rsid w:val="003A0F37"/>
    <w:rsid w:val="003A6148"/>
    <w:rsid w:val="003C33F6"/>
    <w:rsid w:val="003C3D2E"/>
    <w:rsid w:val="003C43A5"/>
    <w:rsid w:val="003C5558"/>
    <w:rsid w:val="003E1405"/>
    <w:rsid w:val="003E1C5C"/>
    <w:rsid w:val="003E3A0B"/>
    <w:rsid w:val="003E6650"/>
    <w:rsid w:val="003F4DF0"/>
    <w:rsid w:val="003F5B46"/>
    <w:rsid w:val="00401363"/>
    <w:rsid w:val="00402E47"/>
    <w:rsid w:val="00425015"/>
    <w:rsid w:val="004308C2"/>
    <w:rsid w:val="00430994"/>
    <w:rsid w:val="00441B6D"/>
    <w:rsid w:val="004556EF"/>
    <w:rsid w:val="00462B07"/>
    <w:rsid w:val="00465BD2"/>
    <w:rsid w:val="004715C8"/>
    <w:rsid w:val="00481C31"/>
    <w:rsid w:val="00482FC1"/>
    <w:rsid w:val="00483027"/>
    <w:rsid w:val="004871AA"/>
    <w:rsid w:val="004918D7"/>
    <w:rsid w:val="004926E1"/>
    <w:rsid w:val="004A2FEA"/>
    <w:rsid w:val="004A57DE"/>
    <w:rsid w:val="004D2DD7"/>
    <w:rsid w:val="004D75C5"/>
    <w:rsid w:val="004E2186"/>
    <w:rsid w:val="004E66FB"/>
    <w:rsid w:val="004F2A7B"/>
    <w:rsid w:val="004F470A"/>
    <w:rsid w:val="004F4C59"/>
    <w:rsid w:val="00500C8F"/>
    <w:rsid w:val="00501909"/>
    <w:rsid w:val="00507BBB"/>
    <w:rsid w:val="005128DF"/>
    <w:rsid w:val="0051592A"/>
    <w:rsid w:val="005206FE"/>
    <w:rsid w:val="005257ED"/>
    <w:rsid w:val="005306F8"/>
    <w:rsid w:val="0054023D"/>
    <w:rsid w:val="005426BF"/>
    <w:rsid w:val="005507B6"/>
    <w:rsid w:val="0056213C"/>
    <w:rsid w:val="00580C24"/>
    <w:rsid w:val="005968EF"/>
    <w:rsid w:val="00596C1E"/>
    <w:rsid w:val="005A2E26"/>
    <w:rsid w:val="005B7BCA"/>
    <w:rsid w:val="005C0DAE"/>
    <w:rsid w:val="005C188E"/>
    <w:rsid w:val="005D1A60"/>
    <w:rsid w:val="005D2349"/>
    <w:rsid w:val="005E1B60"/>
    <w:rsid w:val="005E5507"/>
    <w:rsid w:val="005E607B"/>
    <w:rsid w:val="005F0A8D"/>
    <w:rsid w:val="00601229"/>
    <w:rsid w:val="00603B67"/>
    <w:rsid w:val="00610A05"/>
    <w:rsid w:val="006124EA"/>
    <w:rsid w:val="006162A2"/>
    <w:rsid w:val="00616339"/>
    <w:rsid w:val="006240DA"/>
    <w:rsid w:val="00626EAB"/>
    <w:rsid w:val="00630AA7"/>
    <w:rsid w:val="0063256E"/>
    <w:rsid w:val="00633F04"/>
    <w:rsid w:val="00635219"/>
    <w:rsid w:val="00635EC0"/>
    <w:rsid w:val="00640B58"/>
    <w:rsid w:val="00651B02"/>
    <w:rsid w:val="00651B19"/>
    <w:rsid w:val="00660A29"/>
    <w:rsid w:val="00667EA7"/>
    <w:rsid w:val="0068476C"/>
    <w:rsid w:val="00695519"/>
    <w:rsid w:val="006A4134"/>
    <w:rsid w:val="006A5DDA"/>
    <w:rsid w:val="006A6701"/>
    <w:rsid w:val="006B21F4"/>
    <w:rsid w:val="006B3753"/>
    <w:rsid w:val="006B7AD6"/>
    <w:rsid w:val="006C50FD"/>
    <w:rsid w:val="006D1DD4"/>
    <w:rsid w:val="006D4014"/>
    <w:rsid w:val="006D44C1"/>
    <w:rsid w:val="006E4876"/>
    <w:rsid w:val="006E5651"/>
    <w:rsid w:val="006E5B85"/>
    <w:rsid w:val="006F026A"/>
    <w:rsid w:val="0070265B"/>
    <w:rsid w:val="00704813"/>
    <w:rsid w:val="0072290D"/>
    <w:rsid w:val="00723D6D"/>
    <w:rsid w:val="00724537"/>
    <w:rsid w:val="00727A8C"/>
    <w:rsid w:val="00731724"/>
    <w:rsid w:val="0073474B"/>
    <w:rsid w:val="00735511"/>
    <w:rsid w:val="00737208"/>
    <w:rsid w:val="00743F2E"/>
    <w:rsid w:val="00744DE6"/>
    <w:rsid w:val="00761DC7"/>
    <w:rsid w:val="00762452"/>
    <w:rsid w:val="007639E0"/>
    <w:rsid w:val="0076435E"/>
    <w:rsid w:val="00771E29"/>
    <w:rsid w:val="00775507"/>
    <w:rsid w:val="00783473"/>
    <w:rsid w:val="0078594B"/>
    <w:rsid w:val="00794B95"/>
    <w:rsid w:val="00795E02"/>
    <w:rsid w:val="007979D0"/>
    <w:rsid w:val="007A4122"/>
    <w:rsid w:val="007A4E18"/>
    <w:rsid w:val="007A7B8C"/>
    <w:rsid w:val="007C4C85"/>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3BEC"/>
    <w:rsid w:val="0085276D"/>
    <w:rsid w:val="00863390"/>
    <w:rsid w:val="0086385C"/>
    <w:rsid w:val="00871916"/>
    <w:rsid w:val="00886C70"/>
    <w:rsid w:val="008956DD"/>
    <w:rsid w:val="008A3297"/>
    <w:rsid w:val="008A510E"/>
    <w:rsid w:val="008A522A"/>
    <w:rsid w:val="008A66FC"/>
    <w:rsid w:val="008B4464"/>
    <w:rsid w:val="008B750B"/>
    <w:rsid w:val="008C1410"/>
    <w:rsid w:val="008C3162"/>
    <w:rsid w:val="008D1F14"/>
    <w:rsid w:val="008E3924"/>
    <w:rsid w:val="008E3AEB"/>
    <w:rsid w:val="008F09EC"/>
    <w:rsid w:val="008F13F7"/>
    <w:rsid w:val="008F5B4D"/>
    <w:rsid w:val="00907425"/>
    <w:rsid w:val="00915812"/>
    <w:rsid w:val="00923C34"/>
    <w:rsid w:val="00924152"/>
    <w:rsid w:val="0092513D"/>
    <w:rsid w:val="00927A9F"/>
    <w:rsid w:val="00930FAD"/>
    <w:rsid w:val="00932960"/>
    <w:rsid w:val="009335CC"/>
    <w:rsid w:val="00935A55"/>
    <w:rsid w:val="00940660"/>
    <w:rsid w:val="00941CEB"/>
    <w:rsid w:val="0094720F"/>
    <w:rsid w:val="00953B28"/>
    <w:rsid w:val="00954322"/>
    <w:rsid w:val="00957CAA"/>
    <w:rsid w:val="0096778A"/>
    <w:rsid w:val="00977656"/>
    <w:rsid w:val="00981DF6"/>
    <w:rsid w:val="009846A7"/>
    <w:rsid w:val="0098729E"/>
    <w:rsid w:val="0098794D"/>
    <w:rsid w:val="00990927"/>
    <w:rsid w:val="0099497B"/>
    <w:rsid w:val="009A43BA"/>
    <w:rsid w:val="009B0D05"/>
    <w:rsid w:val="009B4CA6"/>
    <w:rsid w:val="009B79F8"/>
    <w:rsid w:val="009C66D5"/>
    <w:rsid w:val="009D13FD"/>
    <w:rsid w:val="009D266A"/>
    <w:rsid w:val="009F3D06"/>
    <w:rsid w:val="009F7E07"/>
    <w:rsid w:val="00A01522"/>
    <w:rsid w:val="00A10A11"/>
    <w:rsid w:val="00A13C6A"/>
    <w:rsid w:val="00A17B09"/>
    <w:rsid w:val="00A37834"/>
    <w:rsid w:val="00A41621"/>
    <w:rsid w:val="00A4504D"/>
    <w:rsid w:val="00A457C6"/>
    <w:rsid w:val="00A46AD0"/>
    <w:rsid w:val="00A47063"/>
    <w:rsid w:val="00A473A8"/>
    <w:rsid w:val="00A47E6F"/>
    <w:rsid w:val="00A513F0"/>
    <w:rsid w:val="00A61AC8"/>
    <w:rsid w:val="00A6366F"/>
    <w:rsid w:val="00A65D4C"/>
    <w:rsid w:val="00A70418"/>
    <w:rsid w:val="00A70512"/>
    <w:rsid w:val="00AA0F52"/>
    <w:rsid w:val="00AA1F60"/>
    <w:rsid w:val="00AA40D7"/>
    <w:rsid w:val="00AB5F7D"/>
    <w:rsid w:val="00AC0C50"/>
    <w:rsid w:val="00AC6FE2"/>
    <w:rsid w:val="00AD6722"/>
    <w:rsid w:val="00AE6D9B"/>
    <w:rsid w:val="00AF3925"/>
    <w:rsid w:val="00AF7211"/>
    <w:rsid w:val="00B0365D"/>
    <w:rsid w:val="00B1296B"/>
    <w:rsid w:val="00B2292F"/>
    <w:rsid w:val="00B43169"/>
    <w:rsid w:val="00B501A8"/>
    <w:rsid w:val="00B50922"/>
    <w:rsid w:val="00B55AE4"/>
    <w:rsid w:val="00B70B46"/>
    <w:rsid w:val="00B72414"/>
    <w:rsid w:val="00B739B0"/>
    <w:rsid w:val="00B814A3"/>
    <w:rsid w:val="00B96F38"/>
    <w:rsid w:val="00BC716B"/>
    <w:rsid w:val="00BD0E74"/>
    <w:rsid w:val="00BD5F8C"/>
    <w:rsid w:val="00BE29DD"/>
    <w:rsid w:val="00C066AF"/>
    <w:rsid w:val="00C10E06"/>
    <w:rsid w:val="00C145B8"/>
    <w:rsid w:val="00C17522"/>
    <w:rsid w:val="00C2438F"/>
    <w:rsid w:val="00C31AF0"/>
    <w:rsid w:val="00C32A7E"/>
    <w:rsid w:val="00C335D8"/>
    <w:rsid w:val="00C34F28"/>
    <w:rsid w:val="00C368DF"/>
    <w:rsid w:val="00C42D44"/>
    <w:rsid w:val="00C442C5"/>
    <w:rsid w:val="00C57B5C"/>
    <w:rsid w:val="00C57C7C"/>
    <w:rsid w:val="00C61049"/>
    <w:rsid w:val="00C63FFE"/>
    <w:rsid w:val="00C72CF7"/>
    <w:rsid w:val="00C80EA9"/>
    <w:rsid w:val="00C91EB6"/>
    <w:rsid w:val="00CA10B0"/>
    <w:rsid w:val="00CA2F8E"/>
    <w:rsid w:val="00CA3EE2"/>
    <w:rsid w:val="00CA7FD5"/>
    <w:rsid w:val="00CB3287"/>
    <w:rsid w:val="00CB33E2"/>
    <w:rsid w:val="00CB4E68"/>
    <w:rsid w:val="00CC2733"/>
    <w:rsid w:val="00CD0050"/>
    <w:rsid w:val="00CD2358"/>
    <w:rsid w:val="00CE7481"/>
    <w:rsid w:val="00CF0A8F"/>
    <w:rsid w:val="00CF20F8"/>
    <w:rsid w:val="00CF23B1"/>
    <w:rsid w:val="00CF6F57"/>
    <w:rsid w:val="00D048CE"/>
    <w:rsid w:val="00D10998"/>
    <w:rsid w:val="00D15CBD"/>
    <w:rsid w:val="00D221CB"/>
    <w:rsid w:val="00D23391"/>
    <w:rsid w:val="00D30017"/>
    <w:rsid w:val="00D31805"/>
    <w:rsid w:val="00D37A0B"/>
    <w:rsid w:val="00D44DAC"/>
    <w:rsid w:val="00D552B9"/>
    <w:rsid w:val="00D70CB4"/>
    <w:rsid w:val="00D735B2"/>
    <w:rsid w:val="00D74021"/>
    <w:rsid w:val="00D76D01"/>
    <w:rsid w:val="00D922A9"/>
    <w:rsid w:val="00D9394A"/>
    <w:rsid w:val="00DA3319"/>
    <w:rsid w:val="00DA7503"/>
    <w:rsid w:val="00DA7643"/>
    <w:rsid w:val="00DB0CBB"/>
    <w:rsid w:val="00DB67CC"/>
    <w:rsid w:val="00DC3783"/>
    <w:rsid w:val="00DD2D34"/>
    <w:rsid w:val="00DE1070"/>
    <w:rsid w:val="00E00219"/>
    <w:rsid w:val="00E0316B"/>
    <w:rsid w:val="00E25E10"/>
    <w:rsid w:val="00E50B41"/>
    <w:rsid w:val="00E5219B"/>
    <w:rsid w:val="00E52D07"/>
    <w:rsid w:val="00E5518B"/>
    <w:rsid w:val="00E609FE"/>
    <w:rsid w:val="00E61027"/>
    <w:rsid w:val="00E630BE"/>
    <w:rsid w:val="00E72037"/>
    <w:rsid w:val="00E75920"/>
    <w:rsid w:val="00E80D96"/>
    <w:rsid w:val="00E871FA"/>
    <w:rsid w:val="00E936A4"/>
    <w:rsid w:val="00E954BB"/>
    <w:rsid w:val="00EA2A46"/>
    <w:rsid w:val="00EA45E7"/>
    <w:rsid w:val="00EB35A2"/>
    <w:rsid w:val="00EB78E3"/>
    <w:rsid w:val="00EB7BE3"/>
    <w:rsid w:val="00EC1C4B"/>
    <w:rsid w:val="00EC735A"/>
    <w:rsid w:val="00ED5F38"/>
    <w:rsid w:val="00EF27FE"/>
    <w:rsid w:val="00EF767E"/>
    <w:rsid w:val="00F07FB6"/>
    <w:rsid w:val="00F149D0"/>
    <w:rsid w:val="00F16B53"/>
    <w:rsid w:val="00F25ECD"/>
    <w:rsid w:val="00F318BE"/>
    <w:rsid w:val="00F33297"/>
    <w:rsid w:val="00F343FB"/>
    <w:rsid w:val="00F359FE"/>
    <w:rsid w:val="00F42159"/>
    <w:rsid w:val="00F4256E"/>
    <w:rsid w:val="00F42EE1"/>
    <w:rsid w:val="00F50C28"/>
    <w:rsid w:val="00F60F1F"/>
    <w:rsid w:val="00F64141"/>
    <w:rsid w:val="00F67508"/>
    <w:rsid w:val="00F71FC9"/>
    <w:rsid w:val="00F73B48"/>
    <w:rsid w:val="00F74F51"/>
    <w:rsid w:val="00F842AD"/>
    <w:rsid w:val="00F914EB"/>
    <w:rsid w:val="00F91B85"/>
    <w:rsid w:val="00F938E7"/>
    <w:rsid w:val="00FA3B17"/>
    <w:rsid w:val="00FA5E8D"/>
    <w:rsid w:val="00FA5F3D"/>
    <w:rsid w:val="00FB2F09"/>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780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653721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02148194">
      <w:bodyDiv w:val="1"/>
      <w:marLeft w:val="0"/>
      <w:marRight w:val="0"/>
      <w:marTop w:val="0"/>
      <w:marBottom w:val="0"/>
      <w:divBdr>
        <w:top w:val="none" w:sz="0" w:space="0" w:color="auto"/>
        <w:left w:val="none" w:sz="0" w:space="0" w:color="auto"/>
        <w:bottom w:val="none" w:sz="0" w:space="0" w:color="auto"/>
        <w:right w:val="none" w:sz="0" w:space="0" w:color="auto"/>
      </w:divBdr>
    </w:div>
    <w:div w:id="460146772">
      <w:bodyDiv w:val="1"/>
      <w:marLeft w:val="0"/>
      <w:marRight w:val="0"/>
      <w:marTop w:val="0"/>
      <w:marBottom w:val="0"/>
      <w:divBdr>
        <w:top w:val="none" w:sz="0" w:space="0" w:color="auto"/>
        <w:left w:val="none" w:sz="0" w:space="0" w:color="auto"/>
        <w:bottom w:val="none" w:sz="0" w:space="0" w:color="auto"/>
        <w:right w:val="none" w:sz="0" w:space="0" w:color="auto"/>
      </w:divBdr>
    </w:div>
    <w:div w:id="465123338">
      <w:bodyDiv w:val="1"/>
      <w:marLeft w:val="0"/>
      <w:marRight w:val="0"/>
      <w:marTop w:val="0"/>
      <w:marBottom w:val="0"/>
      <w:divBdr>
        <w:top w:val="none" w:sz="0" w:space="0" w:color="auto"/>
        <w:left w:val="none" w:sz="0" w:space="0" w:color="auto"/>
        <w:bottom w:val="none" w:sz="0" w:space="0" w:color="auto"/>
        <w:right w:val="none" w:sz="0" w:space="0" w:color="auto"/>
      </w:divBdr>
    </w:div>
    <w:div w:id="47063345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6674703">
      <w:bodyDiv w:val="1"/>
      <w:marLeft w:val="0"/>
      <w:marRight w:val="0"/>
      <w:marTop w:val="0"/>
      <w:marBottom w:val="0"/>
      <w:divBdr>
        <w:top w:val="none" w:sz="0" w:space="0" w:color="auto"/>
        <w:left w:val="none" w:sz="0" w:space="0" w:color="auto"/>
        <w:bottom w:val="none" w:sz="0" w:space="0" w:color="auto"/>
        <w:right w:val="none" w:sz="0" w:space="0" w:color="auto"/>
      </w:divBdr>
    </w:div>
    <w:div w:id="59424224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9267060">
      <w:bodyDiv w:val="1"/>
      <w:marLeft w:val="0"/>
      <w:marRight w:val="0"/>
      <w:marTop w:val="0"/>
      <w:marBottom w:val="0"/>
      <w:divBdr>
        <w:top w:val="none" w:sz="0" w:space="0" w:color="auto"/>
        <w:left w:val="none" w:sz="0" w:space="0" w:color="auto"/>
        <w:bottom w:val="none" w:sz="0" w:space="0" w:color="auto"/>
        <w:right w:val="none" w:sz="0" w:space="0" w:color="auto"/>
      </w:divBdr>
    </w:div>
    <w:div w:id="753748426">
      <w:bodyDiv w:val="1"/>
      <w:marLeft w:val="0"/>
      <w:marRight w:val="0"/>
      <w:marTop w:val="0"/>
      <w:marBottom w:val="0"/>
      <w:divBdr>
        <w:top w:val="none" w:sz="0" w:space="0" w:color="auto"/>
        <w:left w:val="none" w:sz="0" w:space="0" w:color="auto"/>
        <w:bottom w:val="none" w:sz="0" w:space="0" w:color="auto"/>
        <w:right w:val="none" w:sz="0" w:space="0" w:color="auto"/>
      </w:divBdr>
    </w:div>
    <w:div w:id="783886308">
      <w:bodyDiv w:val="1"/>
      <w:marLeft w:val="0"/>
      <w:marRight w:val="0"/>
      <w:marTop w:val="0"/>
      <w:marBottom w:val="0"/>
      <w:divBdr>
        <w:top w:val="none" w:sz="0" w:space="0" w:color="auto"/>
        <w:left w:val="none" w:sz="0" w:space="0" w:color="auto"/>
        <w:bottom w:val="none" w:sz="0" w:space="0" w:color="auto"/>
        <w:right w:val="none" w:sz="0" w:space="0" w:color="auto"/>
      </w:divBdr>
    </w:div>
    <w:div w:id="866144731">
      <w:bodyDiv w:val="1"/>
      <w:marLeft w:val="0"/>
      <w:marRight w:val="0"/>
      <w:marTop w:val="0"/>
      <w:marBottom w:val="0"/>
      <w:divBdr>
        <w:top w:val="none" w:sz="0" w:space="0" w:color="auto"/>
        <w:left w:val="none" w:sz="0" w:space="0" w:color="auto"/>
        <w:bottom w:val="none" w:sz="0" w:space="0" w:color="auto"/>
        <w:right w:val="none" w:sz="0" w:space="0" w:color="auto"/>
      </w:divBdr>
    </w:div>
    <w:div w:id="943149840">
      <w:bodyDiv w:val="1"/>
      <w:marLeft w:val="0"/>
      <w:marRight w:val="0"/>
      <w:marTop w:val="0"/>
      <w:marBottom w:val="0"/>
      <w:divBdr>
        <w:top w:val="none" w:sz="0" w:space="0" w:color="auto"/>
        <w:left w:val="none" w:sz="0" w:space="0" w:color="auto"/>
        <w:bottom w:val="none" w:sz="0" w:space="0" w:color="auto"/>
        <w:right w:val="none" w:sz="0" w:space="0" w:color="auto"/>
      </w:divBdr>
    </w:div>
    <w:div w:id="1095633544">
      <w:bodyDiv w:val="1"/>
      <w:marLeft w:val="0"/>
      <w:marRight w:val="0"/>
      <w:marTop w:val="0"/>
      <w:marBottom w:val="0"/>
      <w:divBdr>
        <w:top w:val="none" w:sz="0" w:space="0" w:color="auto"/>
        <w:left w:val="none" w:sz="0" w:space="0" w:color="auto"/>
        <w:bottom w:val="none" w:sz="0" w:space="0" w:color="auto"/>
        <w:right w:val="none" w:sz="0" w:space="0" w:color="auto"/>
      </w:divBdr>
    </w:div>
    <w:div w:id="116662578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9393314">
      <w:bodyDiv w:val="1"/>
      <w:marLeft w:val="0"/>
      <w:marRight w:val="0"/>
      <w:marTop w:val="0"/>
      <w:marBottom w:val="0"/>
      <w:divBdr>
        <w:top w:val="none" w:sz="0" w:space="0" w:color="auto"/>
        <w:left w:val="none" w:sz="0" w:space="0" w:color="auto"/>
        <w:bottom w:val="none" w:sz="0" w:space="0" w:color="auto"/>
        <w:right w:val="none" w:sz="0" w:space="0" w:color="auto"/>
      </w:divBdr>
    </w:div>
    <w:div w:id="1211962182">
      <w:bodyDiv w:val="1"/>
      <w:marLeft w:val="0"/>
      <w:marRight w:val="0"/>
      <w:marTop w:val="0"/>
      <w:marBottom w:val="0"/>
      <w:divBdr>
        <w:top w:val="none" w:sz="0" w:space="0" w:color="auto"/>
        <w:left w:val="none" w:sz="0" w:space="0" w:color="auto"/>
        <w:bottom w:val="none" w:sz="0" w:space="0" w:color="auto"/>
        <w:right w:val="none" w:sz="0" w:space="0" w:color="auto"/>
      </w:divBdr>
    </w:div>
    <w:div w:id="123754536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2290060">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1800479">
      <w:bodyDiv w:val="1"/>
      <w:marLeft w:val="0"/>
      <w:marRight w:val="0"/>
      <w:marTop w:val="0"/>
      <w:marBottom w:val="0"/>
      <w:divBdr>
        <w:top w:val="none" w:sz="0" w:space="0" w:color="auto"/>
        <w:left w:val="none" w:sz="0" w:space="0" w:color="auto"/>
        <w:bottom w:val="none" w:sz="0" w:space="0" w:color="auto"/>
        <w:right w:val="none" w:sz="0" w:space="0" w:color="auto"/>
      </w:divBdr>
    </w:div>
    <w:div w:id="1423841664">
      <w:bodyDiv w:val="1"/>
      <w:marLeft w:val="0"/>
      <w:marRight w:val="0"/>
      <w:marTop w:val="0"/>
      <w:marBottom w:val="0"/>
      <w:divBdr>
        <w:top w:val="none" w:sz="0" w:space="0" w:color="auto"/>
        <w:left w:val="none" w:sz="0" w:space="0" w:color="auto"/>
        <w:bottom w:val="none" w:sz="0" w:space="0" w:color="auto"/>
        <w:right w:val="none" w:sz="0" w:space="0" w:color="auto"/>
      </w:divBdr>
    </w:div>
    <w:div w:id="145143967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1237086">
      <w:bodyDiv w:val="1"/>
      <w:marLeft w:val="0"/>
      <w:marRight w:val="0"/>
      <w:marTop w:val="0"/>
      <w:marBottom w:val="0"/>
      <w:divBdr>
        <w:top w:val="none" w:sz="0" w:space="0" w:color="auto"/>
        <w:left w:val="none" w:sz="0" w:space="0" w:color="auto"/>
        <w:bottom w:val="none" w:sz="0" w:space="0" w:color="auto"/>
        <w:right w:val="none" w:sz="0" w:space="0" w:color="auto"/>
      </w:divBdr>
    </w:div>
    <w:div w:id="168154830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1987549">
      <w:bodyDiv w:val="1"/>
      <w:marLeft w:val="0"/>
      <w:marRight w:val="0"/>
      <w:marTop w:val="0"/>
      <w:marBottom w:val="0"/>
      <w:divBdr>
        <w:top w:val="none" w:sz="0" w:space="0" w:color="auto"/>
        <w:left w:val="none" w:sz="0" w:space="0" w:color="auto"/>
        <w:bottom w:val="none" w:sz="0" w:space="0" w:color="auto"/>
        <w:right w:val="none" w:sz="0" w:space="0" w:color="auto"/>
      </w:divBdr>
    </w:div>
    <w:div w:id="188888202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174204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6173050">
      <w:bodyDiv w:val="1"/>
      <w:marLeft w:val="0"/>
      <w:marRight w:val="0"/>
      <w:marTop w:val="0"/>
      <w:marBottom w:val="0"/>
      <w:divBdr>
        <w:top w:val="none" w:sz="0" w:space="0" w:color="auto"/>
        <w:left w:val="none" w:sz="0" w:space="0" w:color="auto"/>
        <w:bottom w:val="none" w:sz="0" w:space="0" w:color="auto"/>
        <w:right w:val="none" w:sz="0" w:space="0" w:color="auto"/>
      </w:divBdr>
    </w:div>
    <w:div w:id="211913925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613/2/251/&#1575;&#1604;&#1579;&#1575;&#1605;&#1606;" TargetMode="External"/><Relationship Id="rId2" Type="http://schemas.openxmlformats.org/officeDocument/2006/relationships/hyperlink" Target="http://lib.eshia.ir/11005/5/451/&#1575;&#1604;&#1607;&#1575;&#1588;&#1605;&#1740;" TargetMode="External"/><Relationship Id="rId1" Type="http://schemas.openxmlformats.org/officeDocument/2006/relationships/hyperlink" Target="http://lib.eshia.ir/11005/5/458/&#1591;&#1604;&#1575;&#1602;" TargetMode="External"/><Relationship Id="rId6" Type="http://schemas.openxmlformats.org/officeDocument/2006/relationships/hyperlink" Target="http://lib.eshia.ir/15084/1/378/&#1575;&#1604;&#1581;&#1605;&#1740;&#1585;&#1740;" TargetMode="External"/><Relationship Id="rId5" Type="http://schemas.openxmlformats.org/officeDocument/2006/relationships/hyperlink" Target="http://lib.eshia.ir/15084/1/374/&#1575;&#1604;&#1581;&#1605;&#1740;&#1585;&#1740;" TargetMode="External"/><Relationship Id="rId4" Type="http://schemas.openxmlformats.org/officeDocument/2006/relationships/hyperlink" Target="http://lib.eshia.ir/11002/3/335/&#1576;&#1575;&#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2729C-062B-4DCC-AD7C-C33B9515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559</TotalTime>
  <Pages>6</Pages>
  <Words>1681</Words>
  <Characters>9588</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11247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88</cp:revision>
  <cp:lastPrinted>2021-01-29T15:04:00Z</cp:lastPrinted>
  <dcterms:created xsi:type="dcterms:W3CDTF">2021-01-29T05:45:00Z</dcterms:created>
  <dcterms:modified xsi:type="dcterms:W3CDTF">2021-02-14T15:29:00Z</dcterms:modified>
  <cp:contentStatus>ویرایش 2.5</cp:contentStatus>
  <cp:version>2.7</cp:version>
</cp:coreProperties>
</file>