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7A" w:rsidRDefault="0013067A" w:rsidP="0013067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13067A" w:rsidRDefault="0013067A" w:rsidP="008D440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جلسه336– 06 /1</w:t>
      </w:r>
      <w:r w:rsidR="008D4405">
        <w:rPr>
          <w:rFonts w:ascii="IRANSans" w:hAnsi="IRANSans" w:cs="IRANSans" w:hint="cs"/>
          <w:b/>
          <w:bCs/>
          <w:color w:val="0101FF"/>
          <w:sz w:val="24"/>
          <w:szCs w:val="24"/>
          <w:shd w:val="clear" w:color="auto" w:fill="FFFFFF"/>
          <w:rtl/>
        </w:rPr>
        <w:t>1</w:t>
      </w:r>
      <w:bookmarkStart w:id="0" w:name="_GoBack"/>
      <w:bookmarkEnd w:id="0"/>
      <w:r>
        <w:rPr>
          <w:rFonts w:ascii="IRANSans" w:hAnsi="IRANSans" w:cs="IRANSans" w:hint="cs"/>
          <w:b/>
          <w:bCs/>
          <w:color w:val="0101FF"/>
          <w:sz w:val="24"/>
          <w:szCs w:val="24"/>
          <w:shd w:val="clear" w:color="auto" w:fill="FFFFFF"/>
          <w:rtl/>
        </w:rPr>
        <w:t xml:space="preserve">/ 1399 </w:t>
      </w:r>
      <w:r w:rsidRPr="0013067A">
        <w:rPr>
          <w:rFonts w:ascii="IRANSans" w:hAnsi="IRANSans" w:cs="IRANSans" w:hint="cs"/>
          <w:b/>
          <w:bCs/>
          <w:color w:val="0101FF"/>
          <w:sz w:val="24"/>
          <w:szCs w:val="24"/>
          <w:shd w:val="clear" w:color="auto" w:fill="FFFFFF"/>
          <w:rtl/>
        </w:rPr>
        <w:t>عده</w:t>
      </w:r>
      <w:r w:rsidRPr="0013067A">
        <w:rPr>
          <w:rFonts w:ascii="IRANSans" w:hAnsi="IRANSans" w:cs="IRANSans"/>
          <w:b/>
          <w:bCs/>
          <w:color w:val="0101FF"/>
          <w:sz w:val="24"/>
          <w:szCs w:val="24"/>
          <w:shd w:val="clear" w:color="auto" w:fill="FFFFFF"/>
          <w:rtl/>
        </w:rPr>
        <w:t xml:space="preserve"> </w:t>
      </w:r>
      <w:r w:rsidRPr="0013067A">
        <w:rPr>
          <w:rFonts w:ascii="IRANSans" w:hAnsi="IRANSans" w:cs="IRANSans" w:hint="cs"/>
          <w:b/>
          <w:bCs/>
          <w:color w:val="0101FF"/>
          <w:sz w:val="24"/>
          <w:szCs w:val="24"/>
          <w:shd w:val="clear" w:color="auto" w:fill="FFFFFF"/>
          <w:rtl/>
        </w:rPr>
        <w:t>اماء</w:t>
      </w:r>
      <w:r w:rsidRPr="0013067A">
        <w:rPr>
          <w:rFonts w:ascii="IRANSans" w:hAnsi="IRANSans" w:cs="IRANSans"/>
          <w:b/>
          <w:bCs/>
          <w:color w:val="0101FF"/>
          <w:sz w:val="24"/>
          <w:szCs w:val="24"/>
          <w:shd w:val="clear" w:color="auto" w:fill="FFFFFF"/>
          <w:rtl/>
        </w:rPr>
        <w:t xml:space="preserve"> </w:t>
      </w:r>
      <w:r w:rsidRPr="0013067A">
        <w:rPr>
          <w:rFonts w:ascii="IRANSans" w:hAnsi="IRANSans" w:cs="IRANSans" w:hint="cs"/>
          <w:b/>
          <w:bCs/>
          <w:color w:val="0101FF"/>
          <w:sz w:val="24"/>
          <w:szCs w:val="24"/>
          <w:shd w:val="clear" w:color="auto" w:fill="FFFFFF"/>
          <w:rtl/>
        </w:rPr>
        <w:t>و</w:t>
      </w:r>
      <w:r w:rsidRPr="0013067A">
        <w:rPr>
          <w:rFonts w:ascii="IRANSans" w:hAnsi="IRANSans" w:cs="IRANSans"/>
          <w:b/>
          <w:bCs/>
          <w:color w:val="0101FF"/>
          <w:sz w:val="24"/>
          <w:szCs w:val="24"/>
          <w:shd w:val="clear" w:color="auto" w:fill="FFFFFF"/>
          <w:rtl/>
        </w:rPr>
        <w:t xml:space="preserve"> </w:t>
      </w:r>
      <w:r w:rsidRPr="0013067A">
        <w:rPr>
          <w:rFonts w:ascii="IRANSans" w:hAnsi="IRANSans" w:cs="IRANSans" w:hint="cs"/>
          <w:b/>
          <w:bCs/>
          <w:color w:val="0101FF"/>
          <w:sz w:val="24"/>
          <w:szCs w:val="24"/>
          <w:shd w:val="clear" w:color="auto" w:fill="FFFFFF"/>
          <w:rtl/>
        </w:rPr>
        <w:t>استبراء /فصل</w:t>
      </w:r>
      <w:r w:rsidRPr="0013067A">
        <w:rPr>
          <w:rFonts w:ascii="IRANSans" w:hAnsi="IRANSans" w:cs="IRANSans"/>
          <w:b/>
          <w:bCs/>
          <w:color w:val="0101FF"/>
          <w:sz w:val="24"/>
          <w:szCs w:val="24"/>
          <w:shd w:val="clear" w:color="auto" w:fill="FFFFFF"/>
          <w:rtl/>
        </w:rPr>
        <w:t xml:space="preserve"> </w:t>
      </w:r>
      <w:r w:rsidRPr="0013067A">
        <w:rPr>
          <w:rFonts w:ascii="IRANSans" w:hAnsi="IRANSans" w:cs="IRANSans" w:hint="cs"/>
          <w:b/>
          <w:bCs/>
          <w:color w:val="0101FF"/>
          <w:sz w:val="24"/>
          <w:szCs w:val="24"/>
          <w:shd w:val="clear" w:color="auto" w:fill="FFFFFF"/>
          <w:rtl/>
        </w:rPr>
        <w:t>دوم</w:t>
      </w:r>
      <w:r w:rsidRPr="0013067A">
        <w:rPr>
          <w:rFonts w:ascii="IRANSans" w:hAnsi="IRANSans" w:cs="IRANSans"/>
          <w:b/>
          <w:bCs/>
          <w:color w:val="0101FF"/>
          <w:sz w:val="24"/>
          <w:szCs w:val="24"/>
          <w:shd w:val="clear" w:color="auto" w:fill="FFFFFF"/>
          <w:rtl/>
        </w:rPr>
        <w:t xml:space="preserve"> </w:t>
      </w:r>
      <w:r w:rsidRPr="0013067A">
        <w:rPr>
          <w:rFonts w:ascii="IRANSans" w:hAnsi="IRANSans" w:cs="IRANSans" w:hint="cs"/>
          <w:b/>
          <w:bCs/>
          <w:color w:val="0101FF"/>
          <w:sz w:val="24"/>
          <w:szCs w:val="24"/>
          <w:shd w:val="clear" w:color="auto" w:fill="FFFFFF"/>
          <w:rtl/>
        </w:rPr>
        <w:t>تکمله</w:t>
      </w:r>
      <w:r w:rsidRPr="0013067A">
        <w:rPr>
          <w:rFonts w:ascii="IRANSans" w:hAnsi="IRANSans" w:cs="IRANSans"/>
          <w:b/>
          <w:bCs/>
          <w:color w:val="0101FF"/>
          <w:sz w:val="24"/>
          <w:szCs w:val="24"/>
          <w:shd w:val="clear" w:color="auto" w:fill="FFFFFF"/>
          <w:rtl/>
        </w:rPr>
        <w:t xml:space="preserve"> </w:t>
      </w:r>
      <w:r w:rsidRPr="0013067A">
        <w:rPr>
          <w:rFonts w:ascii="IRANSans" w:hAnsi="IRANSans" w:cs="IRANSans" w:hint="cs"/>
          <w:b/>
          <w:bCs/>
          <w:color w:val="0101FF"/>
          <w:sz w:val="24"/>
          <w:szCs w:val="24"/>
          <w:shd w:val="clear" w:color="auto" w:fill="FFFFFF"/>
          <w:rtl/>
        </w:rPr>
        <w:t xml:space="preserve">عروه </w:t>
      </w:r>
      <w:r>
        <w:rPr>
          <w:rFonts w:ascii="IRANSans" w:hAnsi="IRANSans" w:cs="IRANSans" w:hint="c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174A61" w:rsidP="00BA20DB">
      <w:pPr>
        <w:pBdr>
          <w:bottom w:val="double" w:sz="6" w:space="1" w:color="auto"/>
        </w:pBdr>
        <w:jc w:val="both"/>
        <w:rPr>
          <w:rtl/>
        </w:rPr>
      </w:pPr>
      <w:r>
        <w:rPr>
          <w:rFonts w:hint="cs"/>
          <w:rtl/>
        </w:rPr>
        <w:t>فصل اول از کتاب العدد به پایان رسید. فصل دوم در مور</w:t>
      </w:r>
      <w:r w:rsidR="00DB66C1">
        <w:rPr>
          <w:rFonts w:hint="cs"/>
          <w:rtl/>
        </w:rPr>
        <w:t>د عده و استبراء اماء می باشد. مقدمه‌ی این فصل و مساله ای که مربوط به حرائر است، می خوانیم و وارد فصل بعد می شویم.</w:t>
      </w:r>
    </w:p>
    <w:p w:rsidR="00247D2F" w:rsidRPr="003A6148" w:rsidRDefault="00247D2F" w:rsidP="00BA20DB">
      <w:pPr>
        <w:pBdr>
          <w:bottom w:val="double" w:sz="6" w:space="1" w:color="auto"/>
        </w:pBdr>
        <w:jc w:val="both"/>
      </w:pPr>
    </w:p>
    <w:p w:rsidR="008F5B4D" w:rsidRDefault="008F5B4D" w:rsidP="00BA20DB">
      <w:pPr>
        <w:jc w:val="both"/>
      </w:pPr>
    </w:p>
    <w:p w:rsidR="003E6650" w:rsidRPr="001A27D7" w:rsidRDefault="00AD11C9" w:rsidP="00AD11C9">
      <w:pPr>
        <w:pStyle w:val="Heading1"/>
        <w:rPr>
          <w:rtl/>
        </w:rPr>
      </w:pPr>
      <w:bookmarkStart w:id="1" w:name="_Toc62569327"/>
      <w:r>
        <w:rPr>
          <w:rFonts w:hint="cs"/>
          <w:rtl/>
        </w:rPr>
        <w:t>فصل دوم کتاب العدد</w:t>
      </w:r>
      <w:bookmarkEnd w:id="1"/>
    </w:p>
    <w:p w:rsidR="00BA20DB" w:rsidRPr="00BA20DB" w:rsidRDefault="00BA20DB" w:rsidP="00BA20DB">
      <w:pPr>
        <w:jc w:val="both"/>
        <w:rPr>
          <w:color w:val="0000FF"/>
        </w:rPr>
      </w:pPr>
      <w:r w:rsidRPr="00BA20DB">
        <w:rPr>
          <w:rFonts w:hint="cs"/>
          <w:color w:val="0000FF"/>
          <w:rtl/>
        </w:rPr>
        <w:t>الفصل الثاني في عدة الإماء و الاستبراء</w:t>
      </w:r>
      <w:r w:rsidRPr="00BA20DB">
        <w:rPr>
          <w:rFonts w:hint="cs"/>
          <w:color w:val="0000FF"/>
        </w:rPr>
        <w:t>‌</w:t>
      </w:r>
    </w:p>
    <w:p w:rsidR="00BA20DB" w:rsidRPr="00BA20DB" w:rsidRDefault="00BA20DB" w:rsidP="00BA20DB">
      <w:pPr>
        <w:jc w:val="both"/>
        <w:rPr>
          <w:color w:val="0000FF"/>
          <w:rtl/>
        </w:rPr>
      </w:pPr>
      <w:r w:rsidRPr="00BA20DB">
        <w:rPr>
          <w:rFonts w:hint="cs"/>
          <w:color w:val="0000FF"/>
          <w:rtl/>
        </w:rPr>
        <w:t>و انّما تعتد الأمة إذا كانت زوجة موطوءة بالزوجية، لا بملك يمين فإنّها تستبرأ إلّا في أم الولد فإنّها أيضا تعتد بموت سيدها للنص الخاص، و لعلّ ذلك لأنّها من حيث كونها أم ولده كأنّها زوجته، فالأصل في الإماء الاستبراء إلّا إذا كانت زوجة أو أم ولد أو مدبرة أو نحوها مما سيأتي، كما انّ الأصل في الحرائر العدة إلّا في الزنا حيث يستحب استبراء رحمها من ماء الفجور، و الفرق بينهما انّ الاستبراء انّما هو لمجرد براءة ال</w:t>
      </w:r>
      <w:r w:rsidR="008457E7">
        <w:rPr>
          <w:rFonts w:hint="cs"/>
          <w:color w:val="0000FF"/>
          <w:rtl/>
        </w:rPr>
        <w:t>رحم</w:t>
      </w:r>
      <w:r w:rsidR="00625806">
        <w:rPr>
          <w:rStyle w:val="FootnoteReference"/>
          <w:color w:val="0000FF"/>
          <w:rtl/>
        </w:rPr>
        <w:footnoteReference w:id="1"/>
      </w:r>
      <w:r w:rsidR="008457E7">
        <w:rPr>
          <w:rFonts w:hint="cs"/>
          <w:color w:val="0000FF"/>
          <w:rtl/>
        </w:rPr>
        <w:t xml:space="preserve"> من غير تكرر، و لذا يسقط في ج</w:t>
      </w:r>
      <w:r w:rsidRPr="00BA20DB">
        <w:rPr>
          <w:rFonts w:hint="cs"/>
          <w:color w:val="0000FF"/>
          <w:rtl/>
        </w:rPr>
        <w:t>ملة من الموارد</w:t>
      </w:r>
      <w:r w:rsidR="00EA741F">
        <w:rPr>
          <w:rStyle w:val="FootnoteReference"/>
          <w:color w:val="0000FF"/>
          <w:rtl/>
        </w:rPr>
        <w:footnoteReference w:id="2"/>
      </w:r>
      <w:r w:rsidRPr="00BA20DB">
        <w:rPr>
          <w:rFonts w:hint="cs"/>
          <w:color w:val="0000FF"/>
          <w:rtl/>
        </w:rPr>
        <w:t xml:space="preserve"> بخلاف العدة فإنّها تعبد شرعي</w:t>
      </w:r>
      <w:r w:rsidR="009F2EEF">
        <w:rPr>
          <w:rStyle w:val="FootnoteReference"/>
          <w:color w:val="0000FF"/>
          <w:rtl/>
        </w:rPr>
        <w:footnoteReference w:id="3"/>
      </w:r>
      <w:r w:rsidRPr="00BA20DB">
        <w:rPr>
          <w:rFonts w:hint="cs"/>
          <w:color w:val="0000FF"/>
          <w:rtl/>
        </w:rPr>
        <w:t xml:space="preserve"> بمقدار‌ معين، نعم حكمة جعلها استبراء الرحم، و لعلّ تسميتها بالعدة بلحاظ تكررها بالأقراء و الأشهر فهي مأخوذة من العدد، و قد يستعمل كل واحد منهما مقام الآخر.</w:t>
      </w:r>
      <w:r>
        <w:rPr>
          <w:rStyle w:val="FootnoteReference"/>
          <w:color w:val="0000FF"/>
          <w:rtl/>
        </w:rPr>
        <w:footnoteReference w:id="4"/>
      </w:r>
    </w:p>
    <w:p w:rsidR="001A1EA5" w:rsidRDefault="00762505" w:rsidP="00762505">
      <w:pPr>
        <w:jc w:val="both"/>
        <w:rPr>
          <w:rtl/>
        </w:rPr>
      </w:pPr>
      <w:r w:rsidRPr="00BA20DB">
        <w:rPr>
          <w:rFonts w:hint="cs"/>
          <w:color w:val="0000FF"/>
          <w:rtl/>
        </w:rPr>
        <w:t>فالأصل في الإماء الاستبراء</w:t>
      </w:r>
      <w:r>
        <w:rPr>
          <w:rFonts w:hint="cs"/>
          <w:color w:val="0000FF"/>
          <w:rtl/>
        </w:rPr>
        <w:t xml:space="preserve"> .... </w:t>
      </w:r>
      <w:r w:rsidRPr="00BA20DB">
        <w:rPr>
          <w:rFonts w:hint="cs"/>
          <w:color w:val="0000FF"/>
          <w:rtl/>
        </w:rPr>
        <w:t>كما انّ الأصل في الحرائر العدة</w:t>
      </w:r>
      <w:r>
        <w:rPr>
          <w:rFonts w:hint="cs"/>
          <w:color w:val="0000FF"/>
          <w:rtl/>
        </w:rPr>
        <w:t xml:space="preserve"> ...</w:t>
      </w:r>
    </w:p>
    <w:p w:rsidR="00BA20DB" w:rsidRDefault="00762505" w:rsidP="00BA20DB">
      <w:pPr>
        <w:jc w:val="both"/>
        <w:rPr>
          <w:rtl/>
        </w:rPr>
      </w:pPr>
      <w:r>
        <w:rPr>
          <w:rFonts w:hint="cs"/>
          <w:rtl/>
        </w:rPr>
        <w:t>این اصل چه اصلی است؟ آیا اطلاق ادله اقتضای چنین معنایی را دارد؟</w:t>
      </w:r>
      <w:r w:rsidR="00C54E10">
        <w:rPr>
          <w:rFonts w:hint="cs"/>
          <w:rtl/>
        </w:rPr>
        <w:t xml:space="preserve"> یا عموماتی وجود دارد؟</w:t>
      </w:r>
    </w:p>
    <w:p w:rsidR="00F61705" w:rsidRDefault="00C54E10" w:rsidP="00BA20DB">
      <w:pPr>
        <w:jc w:val="both"/>
        <w:rPr>
          <w:rtl/>
        </w:rPr>
      </w:pPr>
      <w:r>
        <w:rPr>
          <w:rFonts w:hint="cs"/>
          <w:rtl/>
        </w:rPr>
        <w:t>روشن نیست مراد مرحوم سید از این اصل چیست. در موارد دیگر که مرحوم سید در اماء بین استبراء و عده مردد می شود، عملا این اصل را جاری نمی کند:</w:t>
      </w:r>
    </w:p>
    <w:p w:rsidR="00C54E10" w:rsidRPr="00E67E82" w:rsidRDefault="00C54E10" w:rsidP="00E67E82">
      <w:pPr>
        <w:jc w:val="both"/>
        <w:rPr>
          <w:color w:val="0000FF"/>
          <w:rtl/>
        </w:rPr>
      </w:pPr>
      <w:r w:rsidRPr="004013BF">
        <w:rPr>
          <w:rFonts w:hint="cs"/>
          <w:color w:val="0000FF"/>
          <w:rtl/>
        </w:rPr>
        <w:lastRenderedPageBreak/>
        <w:t>مسألة 6: إذا وطئت شبهة ففي كون الحكم الاستبراء أو العدة وجهان</w:t>
      </w:r>
      <w:r w:rsidRPr="004013BF">
        <w:rPr>
          <w:rFonts w:hint="cs"/>
          <w:color w:val="0000FF"/>
        </w:rPr>
        <w:t>‌</w:t>
      </w:r>
      <w:r w:rsidRPr="004013BF">
        <w:rPr>
          <w:rFonts w:hint="cs"/>
          <w:color w:val="0000FF"/>
          <w:rtl/>
        </w:rPr>
        <w:t xml:space="preserve"> مقتضى الاستصحاب الثاني مع انّه أحوط.</w:t>
      </w:r>
      <w:r>
        <w:rPr>
          <w:rStyle w:val="FootnoteReference"/>
          <w:color w:val="0000FF"/>
          <w:rtl/>
        </w:rPr>
        <w:footnoteReference w:id="5"/>
      </w:r>
    </w:p>
    <w:p w:rsidR="00C54E10" w:rsidRPr="00C54E10" w:rsidRDefault="00C54E10" w:rsidP="00C54E10">
      <w:pPr>
        <w:jc w:val="both"/>
        <w:rPr>
          <w:color w:val="0000FF"/>
          <w:rtl/>
        </w:rPr>
      </w:pPr>
      <w:r w:rsidRPr="00C54E10">
        <w:rPr>
          <w:rFonts w:hint="cs"/>
          <w:color w:val="0000FF"/>
          <w:rtl/>
        </w:rPr>
        <w:t>مسألة 19: كل مورد شك في انّه من موارد العدة أو من موارد الاستبراء الّذي يكفي فيه حيضة واحدة</w:t>
      </w:r>
      <w:r w:rsidRPr="00C54E10">
        <w:rPr>
          <w:rFonts w:hint="cs"/>
          <w:color w:val="0000FF"/>
        </w:rPr>
        <w:t>‌</w:t>
      </w:r>
      <w:r w:rsidRPr="00C54E10">
        <w:rPr>
          <w:rFonts w:hint="cs"/>
          <w:color w:val="0000FF"/>
          <w:rtl/>
        </w:rPr>
        <w:t>، فمقتضى الأصل في الإماء و إن كان هو الاستبراء إلّا انّ مقتضى الاستصحاب وجوب العدة على إشكال</w:t>
      </w:r>
      <w:r>
        <w:rPr>
          <w:rStyle w:val="FootnoteReference"/>
          <w:color w:val="0000FF"/>
          <w:rtl/>
        </w:rPr>
        <w:footnoteReference w:id="6"/>
      </w:r>
    </w:p>
    <w:p w:rsidR="00C54E10" w:rsidRDefault="00E67E82" w:rsidP="00BA20DB">
      <w:pPr>
        <w:jc w:val="both"/>
        <w:rPr>
          <w:rtl/>
        </w:rPr>
      </w:pPr>
      <w:r>
        <w:rPr>
          <w:rFonts w:hint="cs"/>
          <w:rtl/>
        </w:rPr>
        <w:t>اگر مقتضای اصل، اطلاق باشد، استصحاب جاری نیست.</w:t>
      </w:r>
    </w:p>
    <w:p w:rsidR="00E67E82" w:rsidRDefault="00E67E82" w:rsidP="00BA20DB">
      <w:pPr>
        <w:jc w:val="both"/>
        <w:rPr>
          <w:rtl/>
        </w:rPr>
      </w:pPr>
      <w:r>
        <w:rPr>
          <w:rFonts w:hint="cs"/>
          <w:rtl/>
        </w:rPr>
        <w:t>در مورد حرائر ممکن است بپذیریم اطلاقاتی وجود دارد که از طلاق، وطی به شبهه و وفات باید عده نگه داشت؛ اما</w:t>
      </w:r>
      <w:r w:rsidR="007C1640">
        <w:rPr>
          <w:rFonts w:hint="cs"/>
          <w:rtl/>
        </w:rPr>
        <w:t xml:space="preserve"> وجود</w:t>
      </w:r>
      <w:r>
        <w:rPr>
          <w:rFonts w:hint="cs"/>
          <w:rtl/>
        </w:rPr>
        <w:t xml:space="preserve"> اصل در اماء روشن نیست.</w:t>
      </w:r>
    </w:p>
    <w:p w:rsidR="00C54E10" w:rsidRDefault="000A7089" w:rsidP="00BA20DB">
      <w:pPr>
        <w:jc w:val="both"/>
        <w:rPr>
          <w:rtl/>
        </w:rPr>
      </w:pPr>
      <w:r w:rsidRPr="00BA20DB">
        <w:rPr>
          <w:rFonts w:hint="cs"/>
          <w:color w:val="0000FF"/>
          <w:rtl/>
        </w:rPr>
        <w:t>قد يستعمل كل واحد منهما مقام الآخر</w:t>
      </w:r>
    </w:p>
    <w:p w:rsidR="006F10AC" w:rsidRDefault="000A7089" w:rsidP="000A7089">
      <w:pPr>
        <w:jc w:val="both"/>
        <w:rPr>
          <w:rtl/>
        </w:rPr>
      </w:pPr>
      <w:r>
        <w:rPr>
          <w:rFonts w:hint="cs"/>
          <w:rtl/>
        </w:rPr>
        <w:t>استعمال عده و استبراء به جای یکدیگر نیازمند تتبع است. در معتبره‌ی زراره است</w:t>
      </w:r>
      <w:r w:rsidR="006F10AC">
        <w:rPr>
          <w:rFonts w:hint="cs"/>
          <w:rtl/>
        </w:rPr>
        <w:t>براء به جای عده به کار رفته است:</w:t>
      </w:r>
    </w:p>
    <w:p w:rsidR="006F10AC" w:rsidRDefault="006F10AC" w:rsidP="000A7089">
      <w:pPr>
        <w:jc w:val="both"/>
        <w:rPr>
          <w:rtl/>
        </w:rPr>
      </w:pPr>
      <w:r w:rsidRPr="00F51CBB">
        <w:rPr>
          <w:rFonts w:hint="cs"/>
          <w:rtl/>
        </w:rPr>
        <w:t>عَنْهُ عَنْ عَلِيِّ بْنِ الْحَ</w:t>
      </w:r>
      <w:r>
        <w:rPr>
          <w:rFonts w:hint="cs"/>
          <w:rtl/>
        </w:rPr>
        <w:t>ک</w:t>
      </w:r>
      <w:r w:rsidRPr="00F51CBB">
        <w:rPr>
          <w:rFonts w:hint="cs"/>
          <w:rtl/>
        </w:rPr>
        <w:t>مِ عَنْ مُوسَى بْنِ بَ</w:t>
      </w:r>
      <w:r>
        <w:rPr>
          <w:rFonts w:hint="cs"/>
          <w:rtl/>
        </w:rPr>
        <w:t>ک</w:t>
      </w:r>
      <w:r w:rsidRPr="00F51CBB">
        <w:rPr>
          <w:rFonts w:hint="cs"/>
          <w:rtl/>
        </w:rPr>
        <w:t xml:space="preserve">رٍ عَنْ زُرَارَةَ عَنْ أَبِي جَعْفَرٍ ع قَالَ: </w:t>
      </w:r>
      <w:r w:rsidRPr="00F51CBB">
        <w:rPr>
          <w:rFonts w:hint="cs"/>
          <w:color w:val="008000"/>
          <w:rtl/>
        </w:rPr>
        <w:t xml:space="preserve">سَأَلْتُهُ عَنِ امْرَأَةٍ نُعِيَ‏ إِلَيْهَا زَوْجُهَا فَاعْتَدَّتْ‏ وَ تَزَوَّجَتْ فَجَاءَ زَوْجُهَا الْأَوَّلُ فَطَلَّقَهَا فَفَارَقَهَا الْآخَرُ </w:t>
      </w:r>
      <w:r>
        <w:rPr>
          <w:rFonts w:hint="cs"/>
          <w:color w:val="008000"/>
          <w:rtl/>
        </w:rPr>
        <w:t>ک</w:t>
      </w:r>
      <w:r w:rsidRPr="00F51CBB">
        <w:rPr>
          <w:rFonts w:hint="cs"/>
          <w:color w:val="008000"/>
          <w:rtl/>
        </w:rPr>
        <w:t xml:space="preserve">مْ تَعْتَدُّ لِلثَّانِي فَقَالَ ثَلَاثَةَ قُرُوءٍ وَ إِنَّمَا تَسْتَبْرِئُ رَحِمَهَا بِثَلَاثَةِ قُرُوءٍ وَ تَحِلُّ لِلنَّاسِ </w:t>
      </w:r>
      <w:r>
        <w:rPr>
          <w:rFonts w:hint="cs"/>
          <w:color w:val="008000"/>
          <w:rtl/>
        </w:rPr>
        <w:t>ک</w:t>
      </w:r>
      <w:r w:rsidRPr="00F51CBB">
        <w:rPr>
          <w:rFonts w:hint="cs"/>
          <w:color w:val="008000"/>
          <w:rtl/>
        </w:rPr>
        <w:t>لِّهِمْ قَالَ زُرَارَةُ وَ ذَلِ</w:t>
      </w:r>
      <w:r>
        <w:rPr>
          <w:rFonts w:hint="cs"/>
          <w:color w:val="008000"/>
          <w:rtl/>
        </w:rPr>
        <w:t>ک</w:t>
      </w:r>
      <w:r w:rsidRPr="00F51CBB">
        <w:rPr>
          <w:rFonts w:hint="cs"/>
          <w:color w:val="008000"/>
          <w:rtl/>
        </w:rPr>
        <w:t xml:space="preserve"> أَنَّ أُنَاساً قَالُوا تَعْتَدُّ عِدَّتَيْنِ مِنْ </w:t>
      </w:r>
      <w:r>
        <w:rPr>
          <w:rFonts w:hint="cs"/>
          <w:color w:val="008000"/>
          <w:rtl/>
        </w:rPr>
        <w:t>ک</w:t>
      </w:r>
      <w:r w:rsidRPr="00F51CBB">
        <w:rPr>
          <w:rFonts w:hint="cs"/>
          <w:color w:val="008000"/>
          <w:rtl/>
        </w:rPr>
        <w:t>لِّ وَاحِدَةٍ عِدَّةً فَأَبَى ذَلِ</w:t>
      </w:r>
      <w:r>
        <w:rPr>
          <w:rFonts w:hint="cs"/>
          <w:color w:val="008000"/>
          <w:rtl/>
        </w:rPr>
        <w:t>ک</w:t>
      </w:r>
      <w:r w:rsidRPr="00F51CBB">
        <w:rPr>
          <w:rFonts w:hint="cs"/>
          <w:color w:val="008000"/>
          <w:rtl/>
        </w:rPr>
        <w:t xml:space="preserve"> أَبُو جَعْفَرٍ ع وَ قَالَ تَعْتَدُّ ثَلَاثَةَ قُرُوءٍ وَ تَحِلُّ لِلرِّجَالِ.</w:t>
      </w:r>
      <w:r>
        <w:rPr>
          <w:rStyle w:val="FootnoteReference"/>
          <w:color w:val="008000"/>
          <w:rtl/>
        </w:rPr>
        <w:footnoteReference w:id="7"/>
      </w:r>
      <w:r>
        <w:rPr>
          <w:rStyle w:val="FootnoteReference"/>
          <w:color w:val="008000"/>
          <w:rtl/>
        </w:rPr>
        <w:footnoteReference w:id="8"/>
      </w:r>
    </w:p>
    <w:p w:rsidR="00582EC5" w:rsidRDefault="000A7089" w:rsidP="006F10AC">
      <w:pPr>
        <w:jc w:val="both"/>
        <w:rPr>
          <w:rtl/>
        </w:rPr>
      </w:pPr>
      <w:r>
        <w:rPr>
          <w:rFonts w:hint="cs"/>
          <w:rtl/>
        </w:rPr>
        <w:t xml:space="preserve"> </w:t>
      </w:r>
      <w:r w:rsidR="006F10AC">
        <w:rPr>
          <w:rFonts w:hint="cs"/>
          <w:rtl/>
        </w:rPr>
        <w:t xml:space="preserve">در بعضی نقل ها به جای </w:t>
      </w:r>
      <w:r w:rsidR="006F10AC" w:rsidRPr="00F51CBB">
        <w:rPr>
          <w:rFonts w:hint="cs"/>
          <w:color w:val="008000"/>
          <w:rtl/>
        </w:rPr>
        <w:t>إِنَّمَا تَسْتَبْرِئُ رَحِمَهَا</w:t>
      </w:r>
      <w:r w:rsidR="006F10AC">
        <w:rPr>
          <w:rFonts w:hint="cs"/>
          <w:rtl/>
        </w:rPr>
        <w:t xml:space="preserve">، </w:t>
      </w:r>
      <w:r w:rsidR="006F10AC" w:rsidRPr="009A3AC2">
        <w:rPr>
          <w:rFonts w:hint="cs"/>
          <w:color w:val="008000"/>
          <w:rtl/>
        </w:rPr>
        <w:t>تَعْتَدُّ مِنْهُمَا جَمِيعاً ثَلَاثَةَ أَشْهُرٍ عِدَّةً وَاحِدَةً</w:t>
      </w:r>
      <w:r w:rsidR="000C27E9">
        <w:rPr>
          <w:rFonts w:hint="cs"/>
          <w:rtl/>
        </w:rPr>
        <w:t xml:space="preserve"> آمده است که موید همین مطلب است.</w:t>
      </w:r>
    </w:p>
    <w:p w:rsidR="00C54E10" w:rsidRDefault="006F10AC" w:rsidP="006F10AC">
      <w:pPr>
        <w:jc w:val="both"/>
        <w:rPr>
          <w:rtl/>
        </w:rPr>
      </w:pPr>
      <w:r>
        <w:rPr>
          <w:rFonts w:hint="cs"/>
          <w:rtl/>
        </w:rPr>
        <w:t xml:space="preserve"> </w:t>
      </w:r>
      <w:r w:rsidR="00F157B7">
        <w:rPr>
          <w:rFonts w:hint="cs"/>
          <w:rtl/>
        </w:rPr>
        <w:t>استعمال عده به جای استبراء در روایت اسحاق بن جریر آمده است:</w:t>
      </w:r>
    </w:p>
    <w:p w:rsidR="004004C8" w:rsidRPr="004004C8" w:rsidRDefault="004004C8" w:rsidP="004004C8">
      <w:pPr>
        <w:jc w:val="both"/>
        <w:rPr>
          <w:color w:val="008000"/>
        </w:rPr>
      </w:pPr>
      <w:r w:rsidRPr="004004C8">
        <w:rPr>
          <w:rFonts w:hint="cs"/>
          <w:rtl/>
        </w:rPr>
        <w:t xml:space="preserve">مُحَمَّدُ بْنُ يَحْيَى عَنْ بَعْضِ أَصْحَابِنَا عَنْ عُثْمَانَ بْنِ عِيسَى عَنْ إِسْحَاقَ بْنِ جَرِيرٍ عَنْ أَبِي عَبْدِ اللَّهِ ع قَالَ: </w:t>
      </w:r>
      <w:r w:rsidRPr="004004C8">
        <w:rPr>
          <w:rFonts w:hint="cs"/>
          <w:color w:val="008000"/>
          <w:rtl/>
        </w:rPr>
        <w:t>قُلْتُ لَهُ الرَّجُلُ يَفْجُرُ بِالْمَرْأَةِ ثُمَ‏ يَبْدُو لَهُ‏ فِي‏ تَزْوِيجِهَا هَلْ يَحِلُّ لَهُ ذَلِكَ قَالَ نَعَمْ إِذَا هُوَ اجْتَنَبَهَا حَتَّى تَنْقَضِيَ عِدَّتُهَا بِاسْتِبْرَاءِ رَحِمِهَا مِنْ مَاءِ الْفُجُورِ فَلَهُ أَنْ يَتَزَوَّجَهَا وَ إِنَّمَا يَجُوزُ لَهُ أَنْ يَتَزَوَّجَهَا بَعْدَ أَنْ يَقِفَ عَلَى تَوْبَتِهَا.</w:t>
      </w:r>
      <w:r>
        <w:rPr>
          <w:rStyle w:val="FootnoteReference"/>
          <w:color w:val="008000"/>
          <w:rtl/>
        </w:rPr>
        <w:footnoteReference w:id="9"/>
      </w:r>
    </w:p>
    <w:p w:rsidR="00C54E10" w:rsidRDefault="004004C8" w:rsidP="00672C2C">
      <w:pPr>
        <w:jc w:val="both"/>
        <w:rPr>
          <w:rtl/>
        </w:rPr>
      </w:pPr>
      <w:r>
        <w:rPr>
          <w:rFonts w:hint="cs"/>
          <w:rtl/>
        </w:rPr>
        <w:t xml:space="preserve">البته در این مورد انقضاء عده و استبراء رحم کنار هم به کار </w:t>
      </w:r>
      <w:r w:rsidR="00672C2C">
        <w:rPr>
          <w:rFonts w:hint="cs"/>
          <w:rtl/>
        </w:rPr>
        <w:t>رفته</w:t>
      </w:r>
      <w:r w:rsidR="002E0CCC">
        <w:rPr>
          <w:rFonts w:hint="cs"/>
          <w:rtl/>
        </w:rPr>
        <w:t xml:space="preserve"> اند.</w:t>
      </w:r>
    </w:p>
    <w:p w:rsidR="00C54E10" w:rsidRDefault="00395EE5" w:rsidP="00395EE5">
      <w:pPr>
        <w:pStyle w:val="Heading2"/>
        <w:rPr>
          <w:rtl/>
        </w:rPr>
      </w:pPr>
      <w:bookmarkStart w:id="2" w:name="_Toc62569328"/>
      <w:r>
        <w:rPr>
          <w:rFonts w:hint="cs"/>
          <w:rtl/>
        </w:rPr>
        <w:lastRenderedPageBreak/>
        <w:t xml:space="preserve">مساله‌ی بیست </w:t>
      </w:r>
      <w:r w:rsidR="00DF3643">
        <w:rPr>
          <w:rFonts w:hint="cs"/>
          <w:rtl/>
        </w:rPr>
        <w:t xml:space="preserve">و </w:t>
      </w:r>
      <w:r>
        <w:rPr>
          <w:rFonts w:hint="cs"/>
          <w:rtl/>
        </w:rPr>
        <w:t>چهارم</w:t>
      </w:r>
      <w:bookmarkEnd w:id="2"/>
    </w:p>
    <w:p w:rsidR="00F61705" w:rsidRPr="00F61705" w:rsidRDefault="00F61705" w:rsidP="00395EE5">
      <w:pPr>
        <w:jc w:val="both"/>
        <w:rPr>
          <w:color w:val="0000FF"/>
          <w:rtl/>
        </w:rPr>
      </w:pPr>
      <w:r w:rsidRPr="00F61705">
        <w:rPr>
          <w:rFonts w:hint="cs"/>
          <w:color w:val="0000FF"/>
          <w:rtl/>
        </w:rPr>
        <w:t>مسألة 24: لا فرق فيما مر من عدة الطلاق و الوفاة بين الحرة المسلمة و الذمية</w:t>
      </w:r>
      <w:r w:rsidRPr="00F61705">
        <w:rPr>
          <w:rFonts w:hint="cs"/>
          <w:color w:val="0000FF"/>
        </w:rPr>
        <w:t>‌</w:t>
      </w:r>
      <w:r w:rsidRPr="00F61705">
        <w:rPr>
          <w:rFonts w:hint="cs"/>
          <w:color w:val="0000FF"/>
          <w:rtl/>
        </w:rPr>
        <w:t xml:space="preserve"> على المشهور، و قيل و لم يعلم قائله أنّ الذمية في ع</w:t>
      </w:r>
      <w:r w:rsidR="00395EE5">
        <w:rPr>
          <w:rFonts w:hint="cs"/>
          <w:color w:val="0000FF"/>
          <w:rtl/>
        </w:rPr>
        <w:t xml:space="preserve">دة الطلاق كالأمة، لصحيحة زرارة </w:t>
      </w:r>
      <w:r w:rsidRPr="00F61705">
        <w:rPr>
          <w:rFonts w:hint="cs"/>
          <w:color w:val="0000FF"/>
          <w:rtl/>
        </w:rPr>
        <w:t>عن: أبى جعفر (ع) «سألته عن نصرانية كانت تحت نصراني فطلقها هل عليها عدة منه مثل عدة المسلمة، فقال: لا لأنّ أهل الكتاب مماليك للإمام، إلى ان قال: قلت: فما عدتها ان أراد المسلم أن يتزوجها، قال: عدتها عدة الأمة حيضتان أو خمسة و أربعون يوما قبل ان تسلم، إلى أن قال: قلت: فان مات عنها و هي نصرانية و هو نصراني فأراد رجل من المسلمين أن يتزوجها قال: لا يتزوجها المسلم حتى تعتد من النصراني أربعة أشهر و عشرا عدة المسلمة المتوفّى عنها زوجها الحديث». و المشهور أعرضوا عنها و طرحوها، لكن عن سيد المدارك في شرح النافع</w:t>
      </w:r>
      <w:r w:rsidR="00A51240">
        <w:rPr>
          <w:rStyle w:val="FootnoteReference"/>
          <w:color w:val="0000FF"/>
          <w:rtl/>
        </w:rPr>
        <w:footnoteReference w:id="10"/>
      </w:r>
      <w:r w:rsidRPr="00F61705">
        <w:rPr>
          <w:rFonts w:hint="cs"/>
          <w:color w:val="0000FF"/>
          <w:rtl/>
        </w:rPr>
        <w:t xml:space="preserve"> انّ المسألة محل تردد، و لا ريب انّ اعتدادها عدة المسلمة طريق الاحتياط «قلت» و هو كذلك لكن الأقوى المشهور، لعدم‌ مقاومتها بعد إعراض المشهور عنها للعمومات و المطلقات مع انّ مقتضى الاستصحاب</w:t>
      </w:r>
      <w:r w:rsidR="00A363CE">
        <w:rPr>
          <w:rStyle w:val="FootnoteReference"/>
          <w:color w:val="0000FF"/>
          <w:rtl/>
        </w:rPr>
        <w:footnoteReference w:id="11"/>
      </w:r>
      <w:r w:rsidRPr="00F61705">
        <w:rPr>
          <w:rFonts w:hint="cs"/>
          <w:color w:val="0000FF"/>
          <w:rtl/>
        </w:rPr>
        <w:t xml:space="preserve"> أيضا ما ذكروه.</w:t>
      </w:r>
      <w:r>
        <w:rPr>
          <w:rStyle w:val="FootnoteReference"/>
          <w:color w:val="0000FF"/>
          <w:rtl/>
        </w:rPr>
        <w:footnoteReference w:id="12"/>
      </w:r>
    </w:p>
    <w:p w:rsidR="00F61705" w:rsidRDefault="002F0559" w:rsidP="002F0559">
      <w:pPr>
        <w:jc w:val="both"/>
        <w:rPr>
          <w:rtl/>
        </w:rPr>
      </w:pPr>
      <w:r>
        <w:rPr>
          <w:rFonts w:hint="cs"/>
          <w:rtl/>
        </w:rPr>
        <w:t>مرحوم سید عده‌ی امه‌ی متوفی عنها زوجها را چهار ماه و ده روز دانسته است</w:t>
      </w:r>
      <w:r w:rsidR="00B3345F">
        <w:rPr>
          <w:rFonts w:hint="cs"/>
          <w:rtl/>
        </w:rPr>
        <w:t>. در این صورت عده‌ی وفات زن ذمی حتی در وفات نیز مانند امه خواهد بود.</w:t>
      </w:r>
    </w:p>
    <w:p w:rsidR="00A51240" w:rsidRDefault="00CB13DD" w:rsidP="009E6FED">
      <w:pPr>
        <w:jc w:val="both"/>
        <w:rPr>
          <w:rtl/>
        </w:rPr>
      </w:pPr>
      <w:r>
        <w:rPr>
          <w:rFonts w:hint="cs"/>
          <w:rtl/>
        </w:rPr>
        <w:t xml:space="preserve">از </w:t>
      </w:r>
      <w:r w:rsidR="009E6FED">
        <w:rPr>
          <w:rFonts w:hint="cs"/>
          <w:rtl/>
        </w:rPr>
        <w:t>صحیحه‌ی زراره</w:t>
      </w:r>
      <w:r>
        <w:rPr>
          <w:rFonts w:hint="cs"/>
          <w:rtl/>
        </w:rPr>
        <w:t xml:space="preserve"> استفاده می شود ازدواج با اهل کتاب صحیح است و فرد ظاهر </w:t>
      </w:r>
      <w:r w:rsidRPr="00F61705">
        <w:rPr>
          <w:rFonts w:hint="cs"/>
          <w:color w:val="0000FF"/>
          <w:rtl/>
        </w:rPr>
        <w:t>فما عدتها ان أراد المسلم أن يتزوجها</w:t>
      </w:r>
      <w:r>
        <w:rPr>
          <w:rFonts w:hint="cs"/>
          <w:rtl/>
        </w:rPr>
        <w:t xml:space="preserve"> ازدواج دائم است. اگر ازدواج دائم را با اهل کتاب صحیح ندانیم، روایت </w:t>
      </w:r>
      <w:r w:rsidR="002D2F38">
        <w:rPr>
          <w:rFonts w:hint="cs"/>
          <w:rtl/>
        </w:rPr>
        <w:t>از این جهت نیز اشکال خواهد داشت</w:t>
      </w:r>
      <w:r w:rsidR="00C52A87">
        <w:rPr>
          <w:rStyle w:val="FootnoteReference"/>
          <w:rtl/>
        </w:rPr>
        <w:footnoteReference w:id="13"/>
      </w:r>
      <w:r w:rsidR="002D2F38">
        <w:rPr>
          <w:rFonts w:hint="cs"/>
          <w:rtl/>
        </w:rPr>
        <w:t xml:space="preserve"> و بحث تبعض در حجیت پیش می آید.</w:t>
      </w:r>
    </w:p>
    <w:p w:rsidR="002F0559" w:rsidRDefault="005B6BFC" w:rsidP="005B6BFC">
      <w:pPr>
        <w:pStyle w:val="Heading2"/>
        <w:rPr>
          <w:rtl/>
        </w:rPr>
      </w:pPr>
      <w:bookmarkStart w:id="3" w:name="_Toc62569329"/>
      <w:r>
        <w:rPr>
          <w:rFonts w:hint="cs"/>
          <w:rtl/>
        </w:rPr>
        <w:t>مساله‌ی ششم</w:t>
      </w:r>
      <w:bookmarkEnd w:id="3"/>
    </w:p>
    <w:p w:rsidR="004013BF" w:rsidRPr="004013BF" w:rsidRDefault="004013BF" w:rsidP="004013BF">
      <w:pPr>
        <w:jc w:val="both"/>
        <w:rPr>
          <w:color w:val="0000FF"/>
          <w:rtl/>
        </w:rPr>
      </w:pPr>
      <w:r w:rsidRPr="004013BF">
        <w:rPr>
          <w:rFonts w:hint="cs"/>
          <w:color w:val="0000FF"/>
          <w:rtl/>
        </w:rPr>
        <w:t>مسألة 6: إذا وطئت شبهة ففي كون الحكم الاستبراء أو العدة وجهان</w:t>
      </w:r>
      <w:r w:rsidRPr="004013BF">
        <w:rPr>
          <w:rFonts w:hint="cs"/>
          <w:color w:val="0000FF"/>
        </w:rPr>
        <w:t>‌</w:t>
      </w:r>
      <w:r w:rsidRPr="004013BF">
        <w:rPr>
          <w:rFonts w:hint="cs"/>
          <w:color w:val="0000FF"/>
          <w:rtl/>
        </w:rPr>
        <w:t xml:space="preserve"> مقتضى الاستصحاب الثاني مع انّه أحوط.</w:t>
      </w:r>
      <w:r>
        <w:rPr>
          <w:rStyle w:val="FootnoteReference"/>
          <w:color w:val="0000FF"/>
          <w:rtl/>
        </w:rPr>
        <w:footnoteReference w:id="14"/>
      </w:r>
    </w:p>
    <w:p w:rsidR="00F61705" w:rsidRDefault="005B6BFC" w:rsidP="005B6BFC">
      <w:pPr>
        <w:pStyle w:val="Heading2"/>
        <w:rPr>
          <w:rtl/>
        </w:rPr>
      </w:pPr>
      <w:bookmarkStart w:id="4" w:name="_Toc62569330"/>
      <w:r>
        <w:rPr>
          <w:rFonts w:hint="cs"/>
          <w:rtl/>
        </w:rPr>
        <w:lastRenderedPageBreak/>
        <w:t>مساله‌ی بیست و ششم</w:t>
      </w:r>
      <w:bookmarkEnd w:id="4"/>
    </w:p>
    <w:p w:rsidR="005C6816" w:rsidRPr="005C6816" w:rsidRDefault="005C6816" w:rsidP="005C6816">
      <w:pPr>
        <w:jc w:val="both"/>
        <w:rPr>
          <w:color w:val="0000FF"/>
          <w:rtl/>
        </w:rPr>
      </w:pPr>
      <w:r w:rsidRPr="005C6816">
        <w:rPr>
          <w:rFonts w:hint="cs"/>
          <w:color w:val="0000FF"/>
          <w:rtl/>
        </w:rPr>
        <w:t>مسألة 26: لو وطئت الأمة بالشبهة فالظاهر انّ الحكم فيها الاستبراء</w:t>
      </w:r>
      <w:r w:rsidRPr="005C6816">
        <w:rPr>
          <w:rFonts w:hint="cs"/>
          <w:color w:val="0000FF"/>
        </w:rPr>
        <w:t>‌</w:t>
      </w:r>
      <w:r w:rsidRPr="005C6816">
        <w:rPr>
          <w:rFonts w:hint="cs"/>
          <w:color w:val="0000FF"/>
          <w:rtl/>
        </w:rPr>
        <w:t xml:space="preserve"> و لو كانت الشبهة بالعقد عليها، و كذا في كل مورد عقد عليها ثم بعد الوطء تبين بطلان العقد فما ذكروه من انّ عدة وطء الشبهة مثل عدة الطلاق انّما هو في الحرة.</w:t>
      </w:r>
      <w:r>
        <w:rPr>
          <w:rStyle w:val="FootnoteReference"/>
          <w:color w:val="0000FF"/>
          <w:rtl/>
        </w:rPr>
        <w:footnoteReference w:id="15"/>
      </w:r>
    </w:p>
    <w:p w:rsidR="00F61705" w:rsidRDefault="005B6BFC" w:rsidP="00BA20DB">
      <w:pPr>
        <w:jc w:val="both"/>
        <w:rPr>
          <w:rtl/>
        </w:rPr>
      </w:pPr>
      <w:r>
        <w:rPr>
          <w:rFonts w:hint="cs"/>
          <w:rtl/>
        </w:rPr>
        <w:t>کلام مرحوم سید در این دو مساله در مورد عده‌ی وطی به شبهه‌ی امه تنافی دارد.</w:t>
      </w:r>
    </w:p>
    <w:p w:rsidR="00F61705" w:rsidRDefault="006712DA" w:rsidP="006712DA">
      <w:pPr>
        <w:pStyle w:val="Heading1"/>
        <w:rPr>
          <w:rtl/>
        </w:rPr>
      </w:pPr>
      <w:bookmarkStart w:id="5" w:name="_Toc62569331"/>
      <w:r>
        <w:rPr>
          <w:rFonts w:hint="cs"/>
          <w:rtl/>
        </w:rPr>
        <w:t>فصل سوم کتاب العدد</w:t>
      </w:r>
      <w:bookmarkEnd w:id="5"/>
    </w:p>
    <w:p w:rsidR="005C6816" w:rsidRPr="00D64857" w:rsidRDefault="005C6816" w:rsidP="005C6816">
      <w:pPr>
        <w:jc w:val="both"/>
        <w:rPr>
          <w:color w:val="0000FF"/>
        </w:rPr>
      </w:pPr>
      <w:r w:rsidRPr="00D64857">
        <w:rPr>
          <w:rFonts w:hint="cs"/>
          <w:color w:val="0000FF"/>
          <w:rtl/>
        </w:rPr>
        <w:t>الفصل الثالث في عدة المتعة</w:t>
      </w:r>
      <w:r w:rsidRPr="00D64857">
        <w:rPr>
          <w:rFonts w:hint="cs"/>
          <w:color w:val="0000FF"/>
        </w:rPr>
        <w:t>‌</w:t>
      </w:r>
    </w:p>
    <w:p w:rsidR="005C6816" w:rsidRPr="00D64857" w:rsidRDefault="005C6816" w:rsidP="00242FDD">
      <w:pPr>
        <w:jc w:val="both"/>
        <w:rPr>
          <w:color w:val="0000FF"/>
          <w:rtl/>
        </w:rPr>
      </w:pPr>
      <w:r w:rsidRPr="00D64857">
        <w:rPr>
          <w:rFonts w:hint="cs"/>
          <w:color w:val="0000FF"/>
          <w:rtl/>
        </w:rPr>
        <w:t>مسألة 1: اختلفوا في عدة المتمتع بها</w:t>
      </w:r>
      <w:r w:rsidRPr="00D64857">
        <w:rPr>
          <w:rFonts w:hint="cs"/>
          <w:color w:val="0000FF"/>
        </w:rPr>
        <w:t>‌</w:t>
      </w:r>
      <w:r w:rsidR="00242FDD">
        <w:rPr>
          <w:rFonts w:hint="cs"/>
          <w:color w:val="0000FF"/>
          <w:rtl/>
        </w:rPr>
        <w:t xml:space="preserve"> </w:t>
      </w:r>
      <w:r w:rsidRPr="00D64857">
        <w:rPr>
          <w:rFonts w:hint="cs"/>
          <w:color w:val="0000FF"/>
          <w:rtl/>
        </w:rPr>
        <w:t>إذا كانت من ذوات الأقراء مع الدخول</w:t>
      </w:r>
      <w:r w:rsidR="00273DDA">
        <w:rPr>
          <w:rStyle w:val="FootnoteReference"/>
          <w:color w:val="0000FF"/>
          <w:rtl/>
        </w:rPr>
        <w:footnoteReference w:id="16"/>
      </w:r>
      <w:r w:rsidRPr="00D64857">
        <w:rPr>
          <w:rFonts w:hint="cs"/>
          <w:color w:val="0000FF"/>
          <w:rtl/>
        </w:rPr>
        <w:t xml:space="preserve"> و </w:t>
      </w:r>
      <w:r w:rsidR="006712DA">
        <w:rPr>
          <w:rFonts w:hint="cs"/>
          <w:color w:val="0000FF"/>
          <w:rtl/>
        </w:rPr>
        <w:t>عدم الحمل</w:t>
      </w:r>
      <w:r w:rsidR="00017020">
        <w:rPr>
          <w:rStyle w:val="FootnoteReference"/>
          <w:color w:val="0000FF"/>
          <w:rtl/>
        </w:rPr>
        <w:footnoteReference w:id="17"/>
      </w:r>
      <w:r w:rsidR="006712DA">
        <w:rPr>
          <w:rFonts w:hint="cs"/>
          <w:color w:val="0000FF"/>
          <w:rtl/>
        </w:rPr>
        <w:t xml:space="preserve"> و عدم اليأس</w:t>
      </w:r>
      <w:r w:rsidR="0022084A">
        <w:rPr>
          <w:rStyle w:val="FootnoteReference"/>
          <w:color w:val="0000FF"/>
          <w:rtl/>
        </w:rPr>
        <w:footnoteReference w:id="18"/>
      </w:r>
      <w:r w:rsidR="006712DA">
        <w:rPr>
          <w:rFonts w:hint="cs"/>
          <w:color w:val="0000FF"/>
          <w:rtl/>
        </w:rPr>
        <w:t xml:space="preserve"> على أقوال:</w:t>
      </w:r>
    </w:p>
    <w:p w:rsidR="005C6816" w:rsidRPr="00D64857" w:rsidRDefault="005C6816" w:rsidP="00242FDD">
      <w:pPr>
        <w:jc w:val="both"/>
        <w:rPr>
          <w:color w:val="0000FF"/>
          <w:rtl/>
        </w:rPr>
      </w:pPr>
      <w:r w:rsidRPr="00D64857">
        <w:rPr>
          <w:rFonts w:hint="cs"/>
          <w:color w:val="0000FF"/>
          <w:rtl/>
        </w:rPr>
        <w:t>أحدها: انّها حيضتان نسب إلى المشهور</w:t>
      </w:r>
      <w:r w:rsidRPr="00D64857">
        <w:rPr>
          <w:rFonts w:hint="cs"/>
          <w:color w:val="0000FF"/>
        </w:rPr>
        <w:t>‌</w:t>
      </w:r>
      <w:r w:rsidR="00242FDD">
        <w:rPr>
          <w:rFonts w:hint="cs"/>
          <w:color w:val="0000FF"/>
          <w:rtl/>
        </w:rPr>
        <w:t xml:space="preserve"> </w:t>
      </w:r>
      <w:r w:rsidRPr="00D64857">
        <w:rPr>
          <w:rFonts w:hint="cs"/>
          <w:color w:val="0000FF"/>
          <w:rtl/>
        </w:rPr>
        <w:t>و استدلوا بحسنة إسماعيل بن الفضل عن أبى عبد اللّه (ع): «فإذا انقضى الأجل بانت عنه بغير طلاق و يعطيها الشي‌ء اليسير و عدتها حيضتان». و خبر أبى بصير قال: سأله أبا جعفر (ع) «عن المتعة، قال: نزلت في القرآن</w:t>
      </w:r>
      <w:r w:rsidR="00B80513">
        <w:rPr>
          <w:rStyle w:val="FootnoteReference"/>
          <w:color w:val="0000FF"/>
          <w:rtl/>
        </w:rPr>
        <w:footnoteReference w:id="19"/>
      </w:r>
      <w:r w:rsidRPr="00D64857">
        <w:rPr>
          <w:rFonts w:hint="cs"/>
          <w:color w:val="0000FF"/>
          <w:rtl/>
        </w:rPr>
        <w:t xml:space="preserve"> إلى ان قال: فلا تحل لغيرك حتى تنقضي لها عدتها و عدتها حيضتان».</w:t>
      </w:r>
    </w:p>
    <w:p w:rsidR="005C6816" w:rsidRPr="00D64857" w:rsidRDefault="005C6816" w:rsidP="005C6816">
      <w:pPr>
        <w:jc w:val="both"/>
        <w:rPr>
          <w:color w:val="0000FF"/>
          <w:rtl/>
        </w:rPr>
      </w:pPr>
      <w:r w:rsidRPr="00D64857">
        <w:rPr>
          <w:rFonts w:hint="cs"/>
          <w:color w:val="0000FF"/>
          <w:rtl/>
        </w:rPr>
        <w:t>و قد يستدل: بما في صحيحة زرارة عن الباقر (ع) «انّ على المتعة ما على الأمة» بضميمة رواية محمّد بن الفضيل عن أبى الحسن الماضي (ع): قال «طلاق الأمة تطليقتان و عدتها حيضتان».</w:t>
      </w:r>
    </w:p>
    <w:p w:rsidR="005C6816" w:rsidRPr="00D64857" w:rsidRDefault="005C6816" w:rsidP="00D64857">
      <w:pPr>
        <w:jc w:val="both"/>
        <w:rPr>
          <w:color w:val="0000FF"/>
          <w:rtl/>
        </w:rPr>
      </w:pPr>
      <w:r w:rsidRPr="00D64857">
        <w:rPr>
          <w:rFonts w:hint="cs"/>
          <w:color w:val="0000FF"/>
          <w:rtl/>
        </w:rPr>
        <w:t>إذ يجتمع من الروايتين انّ عدة المتعة حيضتان «و فيه» انّ الظاهر بقرينة صدر رواية زرارة انّ المراد المماثلة بين المتعة و الأمة في الأشهر لا مطلقا، و هي عن أبى جعفر (ع) قال:</w:t>
      </w:r>
      <w:r w:rsidR="00D64857" w:rsidRPr="00D64857">
        <w:rPr>
          <w:rFonts w:hint="cs"/>
          <w:color w:val="0000FF"/>
          <w:rtl/>
        </w:rPr>
        <w:t xml:space="preserve"> </w:t>
      </w:r>
      <w:r w:rsidRPr="00D64857">
        <w:rPr>
          <w:rFonts w:hint="cs"/>
          <w:color w:val="0000FF"/>
          <w:rtl/>
        </w:rPr>
        <w:t>«و عدة المطلقة ثلاثة أشهر و الأمة المطلقة عليها نصف ما على الحرة و كذلك المتعة عليها مثل ما على الأمة»، لا أقل من الاحتمال المسقط للاستدلال.</w:t>
      </w:r>
    </w:p>
    <w:p w:rsidR="005C6816" w:rsidRPr="00D64857" w:rsidRDefault="005C6816" w:rsidP="00242FDD">
      <w:pPr>
        <w:jc w:val="both"/>
        <w:rPr>
          <w:color w:val="0000FF"/>
          <w:rtl/>
        </w:rPr>
      </w:pPr>
      <w:r w:rsidRPr="00D64857">
        <w:rPr>
          <w:rFonts w:hint="cs"/>
          <w:color w:val="0000FF"/>
          <w:rtl/>
        </w:rPr>
        <w:t>الثاني: انّها حيضة واحدة</w:t>
      </w:r>
      <w:r w:rsidRPr="00D64857">
        <w:rPr>
          <w:rFonts w:hint="cs"/>
          <w:color w:val="0000FF"/>
        </w:rPr>
        <w:t>‌</w:t>
      </w:r>
      <w:r w:rsidR="00242FDD">
        <w:rPr>
          <w:rFonts w:hint="cs"/>
          <w:color w:val="0000FF"/>
          <w:rtl/>
        </w:rPr>
        <w:t xml:space="preserve"> </w:t>
      </w:r>
      <w:r w:rsidRPr="00D64857">
        <w:rPr>
          <w:rFonts w:hint="cs"/>
          <w:color w:val="0000FF"/>
          <w:rtl/>
        </w:rPr>
        <w:t xml:space="preserve">و هو المحكي عن ابن أبى عقيل و يدل عليه صحيحة زرارة عن أبى عبد اللّه (ع) «عدة المتمتعة إن كانت تحيض فحيضة و إن كانت لا تحيض فشهر و نصف». و خبر عبد اللّه بن عمر قال: سألت أبا عبد اللّه (ع) «عن المتعة، إلى أن قال: فقلت: فكم عدتها فقال: خمسة و أربعون يوما أو حيضة مستقيمة». و خبر محمّد بن أبى نصر عن الرضا (ع) عن أبى </w:t>
      </w:r>
      <w:r w:rsidRPr="00D64857">
        <w:rPr>
          <w:rFonts w:hint="cs"/>
          <w:color w:val="0000FF"/>
          <w:rtl/>
        </w:rPr>
        <w:lastRenderedPageBreak/>
        <w:t>جعفر (ع) قال: «عدة المتعة حيضة، و قال: خمسة و أربعون يوما لبعض أصحابه». و الظاهر انّ المراد من قوله و قال: خمسة، إلى آخره انّه قال: عدتها حيضة، و قال: لبعض أصحابه خمسة و أربعون، و مراده في صورة عدم رؤية الحيض، و خبر الاحتجاج الوارد في المتعة في آخره «أقل العدة حيضة و طهرة تامة» لكن يمكن أن يستدل به للقول الأول بناء على كفاية المسمى في الحيضة الثانية فإن الطهر التام لا يتحقق إلّا بعد الدخول في الحيض.</w:t>
      </w:r>
    </w:p>
    <w:p w:rsidR="005C6816" w:rsidRPr="00D64857" w:rsidRDefault="005C6816" w:rsidP="00F66400">
      <w:pPr>
        <w:jc w:val="both"/>
        <w:rPr>
          <w:color w:val="0000FF"/>
          <w:rtl/>
        </w:rPr>
      </w:pPr>
      <w:r w:rsidRPr="00D64857">
        <w:rPr>
          <w:rFonts w:hint="cs"/>
          <w:color w:val="0000FF"/>
          <w:rtl/>
        </w:rPr>
        <w:t>الثالث: ما عن الصدوق في المقنعة من أنّها حيضة و نصف</w:t>
      </w:r>
      <w:r w:rsidRPr="00D64857">
        <w:rPr>
          <w:rFonts w:hint="cs"/>
          <w:color w:val="0000FF"/>
        </w:rPr>
        <w:t>‌</w:t>
      </w:r>
      <w:r w:rsidRPr="00D64857">
        <w:rPr>
          <w:rFonts w:hint="cs"/>
          <w:color w:val="0000FF"/>
          <w:rtl/>
        </w:rPr>
        <w:t>، و يدل عليه صحيح ابن الحجاج عن أبى عبد اللّه (ع) «عن المرأة يتزوجها الرجل متعة ثمّ يتوفى عنها هل عليها العدة، قال: تعتد أربعة أشهر و عشرا و إذا انقضت أيّامها و هو حي فحيضة و نصف مثل ما يجب على الأمة». و يمكن أن يكون المراد من حيضة و نصف الكناية عن شهر و نصف و إلّا فليس في الأمة كذلك.</w:t>
      </w:r>
    </w:p>
    <w:p w:rsidR="005C6816" w:rsidRPr="00D64857" w:rsidRDefault="005C6816" w:rsidP="00564C31">
      <w:pPr>
        <w:jc w:val="both"/>
        <w:rPr>
          <w:color w:val="0000FF"/>
          <w:rtl/>
        </w:rPr>
      </w:pPr>
      <w:r w:rsidRPr="00D64857">
        <w:rPr>
          <w:rFonts w:hint="cs"/>
          <w:color w:val="0000FF"/>
          <w:rtl/>
        </w:rPr>
        <w:t>الرابع: انّها طهران</w:t>
      </w:r>
      <w:r w:rsidRPr="00D64857">
        <w:rPr>
          <w:rFonts w:hint="cs"/>
          <w:color w:val="0000FF"/>
        </w:rPr>
        <w:t>‌</w:t>
      </w:r>
      <w:r w:rsidR="00564C31">
        <w:rPr>
          <w:rFonts w:hint="cs"/>
          <w:color w:val="0000FF"/>
          <w:rtl/>
        </w:rPr>
        <w:t xml:space="preserve"> </w:t>
      </w:r>
      <w:r w:rsidRPr="00D64857">
        <w:rPr>
          <w:rFonts w:hint="cs"/>
          <w:color w:val="0000FF"/>
          <w:rtl/>
        </w:rPr>
        <w:t>و هو المحكي عن المفيد و الحلّي و المختلف و هو ظاهر الشهيد في المسالك و لا دليل على هذا القول أصلا، نعم استدل له في المسالك بحسنة زرارة عن الباقر (ع) «إن كان حرّ تحته أمة فطلاقها تطليقتان و عدتها قرءان». منضمة إلى ما في الرواية المتقدمة من انّ المتعة عليها مثل ما على الأمة بعد دعوى انّ القرء بمعنى الطهر، و لا يخفى ما فيه، فهذا القول ساقط كسابقه و يبقى الأولان و الثاني، و إن كان إخباره أزيد من الأول إلّا انّ الأقوى هو الأول لرجحانه بالشهرة و شذوذ الثاني، مع انّ مقتضى الاستصحاب أيضا على فرض التكافؤ هو الأول، و إن كان يمكن الجمع بينهما بحمل‌</w:t>
      </w:r>
      <w:r w:rsidR="00D64857" w:rsidRPr="00D64857">
        <w:rPr>
          <w:rFonts w:hint="cs"/>
          <w:color w:val="0000FF"/>
          <w:rtl/>
        </w:rPr>
        <w:t xml:space="preserve"> </w:t>
      </w:r>
      <w:r w:rsidRPr="00D64857">
        <w:rPr>
          <w:rFonts w:hint="cs"/>
          <w:color w:val="0000FF"/>
          <w:rtl/>
        </w:rPr>
        <w:t>أخبار الأول على الاستحباب لكنه بعيد، ثمّ انّ الظاهر انّ المراد الحيضتان الكاملتان فلا يكفى المسمى في الأولى أو الثانية أو كلتيهما.</w:t>
      </w:r>
    </w:p>
    <w:p w:rsidR="00BA20DB" w:rsidRPr="006162A2" w:rsidRDefault="00BA20DB" w:rsidP="00BA20DB">
      <w:pPr>
        <w:jc w:val="both"/>
        <w:rPr>
          <w:rtl/>
        </w:rPr>
      </w:pPr>
    </w:p>
    <w:sectPr w:rsidR="00BA20DB"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77" w:rsidRDefault="00A53977" w:rsidP="008B750B">
      <w:pPr>
        <w:spacing w:line="240" w:lineRule="auto"/>
      </w:pPr>
      <w:r>
        <w:separator/>
      </w:r>
    </w:p>
  </w:endnote>
  <w:endnote w:type="continuationSeparator" w:id="0">
    <w:p w:rsidR="00A53977" w:rsidRDefault="00A5397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C5" w:rsidRDefault="00582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82EC5" w:rsidRPr="006D44C1" w:rsidTr="0020241A">
      <w:tc>
        <w:tcPr>
          <w:tcW w:w="3382" w:type="dxa"/>
          <w:tcBorders>
            <w:top w:val="nil"/>
            <w:left w:val="nil"/>
            <w:bottom w:val="nil"/>
            <w:right w:val="nil"/>
          </w:tcBorders>
        </w:tcPr>
        <w:p w:rsidR="00582EC5" w:rsidRDefault="00582EC5"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82EC5" w:rsidRDefault="00582EC5" w:rsidP="006D44C1">
          <w:pPr>
            <w:pStyle w:val="Footer"/>
            <w:jc w:val="right"/>
            <w:rPr>
              <w:rtl/>
            </w:rPr>
          </w:pPr>
          <w:r>
            <w:rPr>
              <w:rFonts w:hint="cs"/>
              <w:rtl/>
            </w:rPr>
            <w:t xml:space="preserve">صفحه </w:t>
          </w:r>
          <w:r>
            <w:fldChar w:fldCharType="begin"/>
          </w:r>
          <w:r>
            <w:instrText>PAGE   \* MERGEFORMAT</w:instrText>
          </w:r>
          <w:r>
            <w:fldChar w:fldCharType="separate"/>
          </w:r>
          <w:r w:rsidR="008D4405" w:rsidRPr="008D4405">
            <w:rPr>
              <w:noProof/>
              <w:rtl/>
              <w:lang w:val="fa-IR"/>
            </w:rPr>
            <w:t>1</w:t>
          </w:r>
          <w:r>
            <w:rPr>
              <w:noProof/>
            </w:rPr>
            <w:fldChar w:fldCharType="end"/>
          </w:r>
        </w:p>
      </w:tc>
      <w:tc>
        <w:tcPr>
          <w:tcW w:w="4786" w:type="dxa"/>
          <w:tcBorders>
            <w:top w:val="nil"/>
            <w:left w:val="nil"/>
            <w:bottom w:val="nil"/>
            <w:right w:val="nil"/>
          </w:tcBorders>
          <w:vAlign w:val="center"/>
        </w:tcPr>
        <w:p w:rsidR="00582EC5" w:rsidRPr="006D44C1" w:rsidRDefault="00582EC5" w:rsidP="001B6799">
          <w:pPr>
            <w:pStyle w:val="Footer"/>
            <w:bidi w:val="0"/>
            <w:rPr>
              <w:color w:val="808080" w:themeColor="background1" w:themeShade="80"/>
              <w:rtl/>
            </w:rPr>
          </w:pPr>
          <w:bookmarkStart w:id="13" w:name="BokAdres"/>
          <w:bookmarkEnd w:id="13"/>
          <w:r>
            <w:rPr>
              <w:color w:val="808080" w:themeColor="background1" w:themeShade="80"/>
            </w:rPr>
            <w:t>F1js1_13991106-060_mk3_mfeb.ir</w:t>
          </w:r>
        </w:p>
      </w:tc>
    </w:tr>
  </w:tbl>
  <w:p w:rsidR="00582EC5" w:rsidRDefault="00582EC5"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C5" w:rsidRDefault="00582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77" w:rsidRDefault="00A53977" w:rsidP="008B750B">
      <w:pPr>
        <w:spacing w:line="240" w:lineRule="auto"/>
      </w:pPr>
      <w:r>
        <w:separator/>
      </w:r>
    </w:p>
  </w:footnote>
  <w:footnote w:type="continuationSeparator" w:id="0">
    <w:p w:rsidR="00A53977" w:rsidRDefault="00A53977" w:rsidP="008B750B">
      <w:pPr>
        <w:spacing w:line="240" w:lineRule="auto"/>
      </w:pPr>
      <w:r>
        <w:continuationSeparator/>
      </w:r>
    </w:p>
  </w:footnote>
  <w:footnote w:id="1">
    <w:p w:rsidR="00582EC5" w:rsidRDefault="00582EC5">
      <w:pPr>
        <w:pStyle w:val="FootnoteText"/>
      </w:pPr>
      <w:r>
        <w:rPr>
          <w:rStyle w:val="FootnoteReference"/>
        </w:rPr>
        <w:footnoteRef/>
      </w:r>
      <w:r>
        <w:rPr>
          <w:rtl/>
        </w:rPr>
        <w:t xml:space="preserve"> </w:t>
      </w:r>
      <w:r>
        <w:rPr>
          <w:rFonts w:hint="cs"/>
          <w:rtl/>
        </w:rPr>
        <w:t>یک حیض</w:t>
      </w:r>
    </w:p>
  </w:footnote>
  <w:footnote w:id="2">
    <w:p w:rsidR="00582EC5" w:rsidRDefault="00582EC5">
      <w:pPr>
        <w:pStyle w:val="FootnoteText"/>
      </w:pPr>
      <w:r>
        <w:rPr>
          <w:rStyle w:val="FootnoteReference"/>
        </w:rPr>
        <w:footnoteRef/>
      </w:r>
      <w:r>
        <w:rPr>
          <w:rtl/>
        </w:rPr>
        <w:t xml:space="preserve"> </w:t>
      </w:r>
      <w:r>
        <w:rPr>
          <w:rFonts w:hint="cs"/>
          <w:rtl/>
        </w:rPr>
        <w:t>در جایی که علم به برائت رحم وجود دارد. مثلا کسی که امه ای را خریده است در صورتی که فروشنده یک حیض استبراء کرده باشد، لازم نیست خریدار نیز استبراء کند؛ گر چه مستحب است.</w:t>
      </w:r>
    </w:p>
  </w:footnote>
  <w:footnote w:id="3">
    <w:p w:rsidR="00582EC5" w:rsidRDefault="00582EC5">
      <w:pPr>
        <w:pStyle w:val="FootnoteText"/>
      </w:pPr>
      <w:r>
        <w:rPr>
          <w:rStyle w:val="FootnoteReference"/>
        </w:rPr>
        <w:footnoteRef/>
      </w:r>
      <w:r>
        <w:rPr>
          <w:rtl/>
        </w:rPr>
        <w:t xml:space="preserve"> </w:t>
      </w:r>
      <w:r>
        <w:rPr>
          <w:rFonts w:hint="cs"/>
          <w:rtl/>
        </w:rPr>
        <w:t>مثلا مردی سال هاست که دیگر با همسرش مباشرت نمی کند، در صورت طلاق هسرش، زن باید عده نگه دارد.</w:t>
      </w:r>
    </w:p>
  </w:footnote>
  <w:footnote w:id="4">
    <w:p w:rsidR="00582EC5" w:rsidRPr="00BA20DB" w:rsidRDefault="00582EC5" w:rsidP="00BA20DB">
      <w:pPr>
        <w:pStyle w:val="FootnoteText"/>
      </w:pPr>
      <w:r w:rsidRPr="00BA20DB">
        <w:footnoteRef/>
      </w:r>
      <w:r w:rsidRPr="00BA20DB">
        <w:rPr>
          <w:rtl/>
        </w:rPr>
        <w:t xml:space="preserve"> </w:t>
      </w:r>
      <w:hyperlink r:id="rId1" w:history="1">
        <w:r w:rsidRPr="00BA20DB">
          <w:rPr>
            <w:rStyle w:val="Hyperlink"/>
            <w:rFonts w:hint="cs"/>
            <w:rtl/>
          </w:rPr>
          <w:t>تکملة</w:t>
        </w:r>
        <w:r w:rsidRPr="00BA20DB">
          <w:rPr>
            <w:rStyle w:val="Hyperlink"/>
            <w:rtl/>
          </w:rPr>
          <w:t xml:space="preserve"> </w:t>
        </w:r>
        <w:r w:rsidRPr="00BA20DB">
          <w:rPr>
            <w:rStyle w:val="Hyperlink"/>
            <w:rFonts w:hint="cs"/>
            <w:rtl/>
          </w:rPr>
          <w:t>العروة</w:t>
        </w:r>
        <w:r w:rsidRPr="00BA20DB">
          <w:rPr>
            <w:rStyle w:val="Hyperlink"/>
            <w:rtl/>
          </w:rPr>
          <w:t xml:space="preserve"> </w:t>
        </w:r>
        <w:r w:rsidRPr="00BA20DB">
          <w:rPr>
            <w:rStyle w:val="Hyperlink"/>
            <w:rFonts w:hint="cs"/>
            <w:rtl/>
          </w:rPr>
          <w:t>الوثقی،</w:t>
        </w:r>
        <w:r w:rsidRPr="00BA20DB">
          <w:rPr>
            <w:rStyle w:val="Hyperlink"/>
            <w:rtl/>
          </w:rPr>
          <w:t xml:space="preserve"> </w:t>
        </w:r>
        <w:r w:rsidRPr="00BA20DB">
          <w:rPr>
            <w:rStyle w:val="Hyperlink"/>
            <w:rFonts w:hint="cs"/>
            <w:rtl/>
          </w:rPr>
          <w:t>السید</w:t>
        </w:r>
        <w:r w:rsidRPr="00BA20DB">
          <w:rPr>
            <w:rStyle w:val="Hyperlink"/>
            <w:rtl/>
          </w:rPr>
          <w:t xml:space="preserve"> </w:t>
        </w:r>
        <w:r w:rsidRPr="00BA20DB">
          <w:rPr>
            <w:rStyle w:val="Hyperlink"/>
            <w:rFonts w:hint="cs"/>
            <w:rtl/>
          </w:rPr>
          <w:t>محمد</w:t>
        </w:r>
        <w:r w:rsidRPr="00BA20DB">
          <w:rPr>
            <w:rStyle w:val="Hyperlink"/>
            <w:rtl/>
          </w:rPr>
          <w:t xml:space="preserve"> </w:t>
        </w:r>
        <w:r w:rsidRPr="00BA20DB">
          <w:rPr>
            <w:rStyle w:val="Hyperlink"/>
            <w:rFonts w:hint="cs"/>
            <w:rtl/>
          </w:rPr>
          <w:t>کاظم</w:t>
        </w:r>
        <w:r w:rsidRPr="00BA20DB">
          <w:rPr>
            <w:rStyle w:val="Hyperlink"/>
            <w:rtl/>
          </w:rPr>
          <w:t xml:space="preserve"> </w:t>
        </w:r>
        <w:r w:rsidRPr="00BA20DB">
          <w:rPr>
            <w:rStyle w:val="Hyperlink"/>
            <w:rFonts w:hint="cs"/>
            <w:rtl/>
          </w:rPr>
          <w:t>الطباطبائی</w:t>
        </w:r>
        <w:r w:rsidRPr="00BA20DB">
          <w:rPr>
            <w:rStyle w:val="Hyperlink"/>
            <w:rtl/>
          </w:rPr>
          <w:t xml:space="preserve"> </w:t>
        </w:r>
        <w:r w:rsidRPr="00BA20DB">
          <w:rPr>
            <w:rStyle w:val="Hyperlink"/>
            <w:rFonts w:hint="cs"/>
            <w:rtl/>
          </w:rPr>
          <w:t>الیزدی،</w:t>
        </w:r>
        <w:r w:rsidRPr="00BA20DB">
          <w:rPr>
            <w:rStyle w:val="Hyperlink"/>
            <w:rtl/>
          </w:rPr>
          <w:t xml:space="preserve"> </w:t>
        </w:r>
        <w:r w:rsidRPr="00BA20DB">
          <w:rPr>
            <w:rStyle w:val="Hyperlink"/>
            <w:rFonts w:hint="cs"/>
            <w:rtl/>
          </w:rPr>
          <w:t>ج</w:t>
        </w:r>
        <w:r w:rsidRPr="00BA20DB">
          <w:rPr>
            <w:rStyle w:val="Hyperlink"/>
            <w:rtl/>
          </w:rPr>
          <w:t>1</w:t>
        </w:r>
        <w:r w:rsidRPr="00BA20DB">
          <w:rPr>
            <w:rStyle w:val="Hyperlink"/>
            <w:rFonts w:hint="cs"/>
            <w:rtl/>
          </w:rPr>
          <w:t>،</w:t>
        </w:r>
        <w:r w:rsidRPr="00BA20DB">
          <w:rPr>
            <w:rStyle w:val="Hyperlink"/>
            <w:rtl/>
          </w:rPr>
          <w:t xml:space="preserve"> </w:t>
        </w:r>
        <w:r w:rsidRPr="00BA20DB">
          <w:rPr>
            <w:rStyle w:val="Hyperlink"/>
            <w:rFonts w:hint="cs"/>
            <w:rtl/>
          </w:rPr>
          <w:t>ص</w:t>
        </w:r>
        <w:r w:rsidRPr="00BA20DB">
          <w:rPr>
            <w:rStyle w:val="Hyperlink"/>
            <w:rtl/>
          </w:rPr>
          <w:t>79.</w:t>
        </w:r>
      </w:hyperlink>
    </w:p>
  </w:footnote>
  <w:footnote w:id="5">
    <w:p w:rsidR="00582EC5" w:rsidRPr="004013BF" w:rsidRDefault="00582EC5" w:rsidP="00C54E10">
      <w:pPr>
        <w:pStyle w:val="FootnoteText"/>
      </w:pPr>
      <w:r w:rsidRPr="004013BF">
        <w:footnoteRef/>
      </w:r>
      <w:r w:rsidRPr="004013BF">
        <w:rPr>
          <w:rtl/>
        </w:rPr>
        <w:t xml:space="preserve"> </w:t>
      </w:r>
      <w:hyperlink r:id="rId2" w:history="1">
        <w:r w:rsidRPr="004013BF">
          <w:rPr>
            <w:rStyle w:val="Hyperlink"/>
            <w:rFonts w:hint="cs"/>
            <w:rtl/>
          </w:rPr>
          <w:t>تکملة</w:t>
        </w:r>
        <w:r w:rsidRPr="004013BF">
          <w:rPr>
            <w:rStyle w:val="Hyperlink"/>
            <w:rtl/>
          </w:rPr>
          <w:t xml:space="preserve"> </w:t>
        </w:r>
        <w:r w:rsidRPr="004013BF">
          <w:rPr>
            <w:rStyle w:val="Hyperlink"/>
            <w:rFonts w:hint="cs"/>
            <w:rtl/>
          </w:rPr>
          <w:t>العروة</w:t>
        </w:r>
        <w:r w:rsidRPr="004013BF">
          <w:rPr>
            <w:rStyle w:val="Hyperlink"/>
            <w:rtl/>
          </w:rPr>
          <w:t xml:space="preserve"> </w:t>
        </w:r>
        <w:r w:rsidRPr="004013BF">
          <w:rPr>
            <w:rStyle w:val="Hyperlink"/>
            <w:rFonts w:hint="cs"/>
            <w:rtl/>
          </w:rPr>
          <w:t>الوثقی،</w:t>
        </w:r>
        <w:r w:rsidRPr="004013BF">
          <w:rPr>
            <w:rStyle w:val="Hyperlink"/>
            <w:rtl/>
          </w:rPr>
          <w:t xml:space="preserve"> </w:t>
        </w:r>
        <w:r w:rsidRPr="004013BF">
          <w:rPr>
            <w:rStyle w:val="Hyperlink"/>
            <w:rFonts w:hint="cs"/>
            <w:rtl/>
          </w:rPr>
          <w:t>السید</w:t>
        </w:r>
        <w:r w:rsidRPr="004013BF">
          <w:rPr>
            <w:rStyle w:val="Hyperlink"/>
            <w:rtl/>
          </w:rPr>
          <w:t xml:space="preserve"> </w:t>
        </w:r>
        <w:r w:rsidRPr="004013BF">
          <w:rPr>
            <w:rStyle w:val="Hyperlink"/>
            <w:rFonts w:hint="cs"/>
            <w:rtl/>
          </w:rPr>
          <w:t>محمد</w:t>
        </w:r>
        <w:r w:rsidRPr="004013BF">
          <w:rPr>
            <w:rStyle w:val="Hyperlink"/>
            <w:rtl/>
          </w:rPr>
          <w:t xml:space="preserve"> </w:t>
        </w:r>
        <w:r w:rsidRPr="004013BF">
          <w:rPr>
            <w:rStyle w:val="Hyperlink"/>
            <w:rFonts w:hint="cs"/>
            <w:rtl/>
          </w:rPr>
          <w:t>کاظم</w:t>
        </w:r>
        <w:r w:rsidRPr="004013BF">
          <w:rPr>
            <w:rStyle w:val="Hyperlink"/>
            <w:rtl/>
          </w:rPr>
          <w:t xml:space="preserve"> </w:t>
        </w:r>
        <w:r w:rsidRPr="004013BF">
          <w:rPr>
            <w:rStyle w:val="Hyperlink"/>
            <w:rFonts w:hint="cs"/>
            <w:rtl/>
          </w:rPr>
          <w:t>الطباطبائی</w:t>
        </w:r>
        <w:r w:rsidRPr="004013BF">
          <w:rPr>
            <w:rStyle w:val="Hyperlink"/>
            <w:rtl/>
          </w:rPr>
          <w:t xml:space="preserve"> </w:t>
        </w:r>
        <w:r w:rsidRPr="004013BF">
          <w:rPr>
            <w:rStyle w:val="Hyperlink"/>
            <w:rFonts w:hint="cs"/>
            <w:rtl/>
          </w:rPr>
          <w:t>الیزدی،</w:t>
        </w:r>
        <w:r w:rsidRPr="004013BF">
          <w:rPr>
            <w:rStyle w:val="Hyperlink"/>
            <w:rtl/>
          </w:rPr>
          <w:t xml:space="preserve"> </w:t>
        </w:r>
        <w:r w:rsidRPr="004013BF">
          <w:rPr>
            <w:rStyle w:val="Hyperlink"/>
            <w:rFonts w:hint="cs"/>
            <w:rtl/>
          </w:rPr>
          <w:t>ج</w:t>
        </w:r>
        <w:r w:rsidRPr="004013BF">
          <w:rPr>
            <w:rStyle w:val="Hyperlink"/>
            <w:rtl/>
          </w:rPr>
          <w:t>1</w:t>
        </w:r>
        <w:r w:rsidRPr="004013BF">
          <w:rPr>
            <w:rStyle w:val="Hyperlink"/>
            <w:rFonts w:hint="cs"/>
            <w:rtl/>
          </w:rPr>
          <w:t>،</w:t>
        </w:r>
        <w:r w:rsidRPr="004013BF">
          <w:rPr>
            <w:rStyle w:val="Hyperlink"/>
            <w:rtl/>
          </w:rPr>
          <w:t xml:space="preserve"> </w:t>
        </w:r>
        <w:r w:rsidRPr="004013BF">
          <w:rPr>
            <w:rStyle w:val="Hyperlink"/>
            <w:rFonts w:hint="cs"/>
            <w:rtl/>
          </w:rPr>
          <w:t>ص</w:t>
        </w:r>
        <w:r w:rsidRPr="004013BF">
          <w:rPr>
            <w:rStyle w:val="Hyperlink"/>
            <w:rtl/>
          </w:rPr>
          <w:t>81</w:t>
        </w:r>
        <w:r w:rsidRPr="004013BF">
          <w:rPr>
            <w:rStyle w:val="Hyperlink"/>
          </w:rPr>
          <w:t>.</w:t>
        </w:r>
      </w:hyperlink>
    </w:p>
  </w:footnote>
  <w:footnote w:id="6">
    <w:p w:rsidR="00582EC5" w:rsidRPr="00C54E10" w:rsidRDefault="00582EC5" w:rsidP="00C54E10">
      <w:pPr>
        <w:pStyle w:val="FootnoteText"/>
      </w:pPr>
      <w:r w:rsidRPr="00C54E10">
        <w:footnoteRef/>
      </w:r>
      <w:r w:rsidRPr="00C54E10">
        <w:rPr>
          <w:rtl/>
        </w:rPr>
        <w:t xml:space="preserve"> </w:t>
      </w:r>
      <w:hyperlink r:id="rId3" w:history="1">
        <w:r w:rsidRPr="00C54E10">
          <w:rPr>
            <w:rStyle w:val="Hyperlink"/>
            <w:rFonts w:hint="cs"/>
            <w:rtl/>
          </w:rPr>
          <w:t>تکملة</w:t>
        </w:r>
        <w:r w:rsidRPr="00C54E10">
          <w:rPr>
            <w:rStyle w:val="Hyperlink"/>
            <w:rtl/>
          </w:rPr>
          <w:t xml:space="preserve"> </w:t>
        </w:r>
        <w:r w:rsidRPr="00C54E10">
          <w:rPr>
            <w:rStyle w:val="Hyperlink"/>
            <w:rFonts w:hint="cs"/>
            <w:rtl/>
          </w:rPr>
          <w:t>العروة</w:t>
        </w:r>
        <w:r w:rsidRPr="00C54E10">
          <w:rPr>
            <w:rStyle w:val="Hyperlink"/>
            <w:rtl/>
          </w:rPr>
          <w:t xml:space="preserve"> </w:t>
        </w:r>
        <w:r w:rsidRPr="00C54E10">
          <w:rPr>
            <w:rStyle w:val="Hyperlink"/>
            <w:rFonts w:hint="cs"/>
            <w:rtl/>
          </w:rPr>
          <w:t>الوثقی،</w:t>
        </w:r>
        <w:r w:rsidRPr="00C54E10">
          <w:rPr>
            <w:rStyle w:val="Hyperlink"/>
            <w:rtl/>
          </w:rPr>
          <w:t xml:space="preserve"> </w:t>
        </w:r>
        <w:r w:rsidRPr="00C54E10">
          <w:rPr>
            <w:rStyle w:val="Hyperlink"/>
            <w:rFonts w:hint="cs"/>
            <w:rtl/>
          </w:rPr>
          <w:t>السید</w:t>
        </w:r>
        <w:r w:rsidRPr="00C54E10">
          <w:rPr>
            <w:rStyle w:val="Hyperlink"/>
            <w:rtl/>
          </w:rPr>
          <w:t xml:space="preserve"> </w:t>
        </w:r>
        <w:r w:rsidRPr="00C54E10">
          <w:rPr>
            <w:rStyle w:val="Hyperlink"/>
            <w:rFonts w:hint="cs"/>
            <w:rtl/>
          </w:rPr>
          <w:t>محمد</w:t>
        </w:r>
        <w:r w:rsidRPr="00C54E10">
          <w:rPr>
            <w:rStyle w:val="Hyperlink"/>
            <w:rtl/>
          </w:rPr>
          <w:t xml:space="preserve"> </w:t>
        </w:r>
        <w:r w:rsidRPr="00C54E10">
          <w:rPr>
            <w:rStyle w:val="Hyperlink"/>
            <w:rFonts w:hint="cs"/>
            <w:rtl/>
          </w:rPr>
          <w:t>کاظم</w:t>
        </w:r>
        <w:r w:rsidRPr="00C54E10">
          <w:rPr>
            <w:rStyle w:val="Hyperlink"/>
            <w:rtl/>
          </w:rPr>
          <w:t xml:space="preserve"> </w:t>
        </w:r>
        <w:r w:rsidRPr="00C54E10">
          <w:rPr>
            <w:rStyle w:val="Hyperlink"/>
            <w:rFonts w:hint="cs"/>
            <w:rtl/>
          </w:rPr>
          <w:t>الطباطبائی</w:t>
        </w:r>
        <w:r w:rsidRPr="00C54E10">
          <w:rPr>
            <w:rStyle w:val="Hyperlink"/>
            <w:rtl/>
          </w:rPr>
          <w:t xml:space="preserve"> </w:t>
        </w:r>
        <w:r w:rsidRPr="00C54E10">
          <w:rPr>
            <w:rStyle w:val="Hyperlink"/>
            <w:rFonts w:hint="cs"/>
            <w:rtl/>
          </w:rPr>
          <w:t>الیزدی،</w:t>
        </w:r>
        <w:r w:rsidRPr="00C54E10">
          <w:rPr>
            <w:rStyle w:val="Hyperlink"/>
            <w:rtl/>
          </w:rPr>
          <w:t xml:space="preserve"> </w:t>
        </w:r>
        <w:r w:rsidRPr="00C54E10">
          <w:rPr>
            <w:rStyle w:val="Hyperlink"/>
            <w:rFonts w:hint="cs"/>
            <w:rtl/>
          </w:rPr>
          <w:t>ج</w:t>
        </w:r>
        <w:r w:rsidRPr="00C54E10">
          <w:rPr>
            <w:rStyle w:val="Hyperlink"/>
            <w:rtl/>
          </w:rPr>
          <w:t>1</w:t>
        </w:r>
        <w:r w:rsidRPr="00C54E10">
          <w:rPr>
            <w:rStyle w:val="Hyperlink"/>
            <w:rFonts w:hint="cs"/>
            <w:rtl/>
          </w:rPr>
          <w:t>،</w:t>
        </w:r>
        <w:r w:rsidRPr="00C54E10">
          <w:rPr>
            <w:rStyle w:val="Hyperlink"/>
            <w:rtl/>
          </w:rPr>
          <w:t xml:space="preserve"> </w:t>
        </w:r>
        <w:r w:rsidRPr="00C54E10">
          <w:rPr>
            <w:rStyle w:val="Hyperlink"/>
            <w:rFonts w:hint="cs"/>
            <w:rtl/>
          </w:rPr>
          <w:t>ص</w:t>
        </w:r>
        <w:r w:rsidRPr="00C54E10">
          <w:rPr>
            <w:rStyle w:val="Hyperlink"/>
            <w:rtl/>
          </w:rPr>
          <w:t>85</w:t>
        </w:r>
        <w:r w:rsidRPr="00C54E10">
          <w:rPr>
            <w:rStyle w:val="Hyperlink"/>
          </w:rPr>
          <w:t>.</w:t>
        </w:r>
      </w:hyperlink>
    </w:p>
  </w:footnote>
  <w:footnote w:id="7">
    <w:p w:rsidR="00582EC5" w:rsidRPr="00F51CBB" w:rsidRDefault="00582EC5" w:rsidP="006F10AC">
      <w:pPr>
        <w:pStyle w:val="FootnoteText"/>
      </w:pPr>
      <w:r w:rsidRPr="00F51CBB">
        <w:footnoteRef/>
      </w:r>
      <w:r w:rsidRPr="00F51CBB">
        <w:rPr>
          <w:rtl/>
        </w:rPr>
        <w:t xml:space="preserve"> </w:t>
      </w:r>
      <w:hyperlink r:id="rId4" w:history="1">
        <w:r w:rsidRPr="00F51CBB">
          <w:rPr>
            <w:rStyle w:val="Hyperlink"/>
            <w:rtl/>
          </w:rPr>
          <w:t>تهذ</w:t>
        </w:r>
        <w:r w:rsidRPr="00F51CBB">
          <w:rPr>
            <w:rStyle w:val="Hyperlink"/>
            <w:rFonts w:hint="cs"/>
            <w:rtl/>
          </w:rPr>
          <w:t>ی</w:t>
        </w:r>
        <w:r w:rsidRPr="00F51CBB">
          <w:rPr>
            <w:rStyle w:val="Hyperlink"/>
            <w:rFonts w:hint="eastAsia"/>
            <w:rtl/>
          </w:rPr>
          <w:t>ب</w:t>
        </w:r>
        <w:r w:rsidRPr="00F51CBB">
          <w:rPr>
            <w:rStyle w:val="Hyperlink"/>
            <w:rtl/>
          </w:rPr>
          <w:t xml:space="preserve"> الاحکام، ش</w:t>
        </w:r>
        <w:r w:rsidRPr="00F51CBB">
          <w:rPr>
            <w:rStyle w:val="Hyperlink"/>
            <w:rFonts w:hint="cs"/>
            <w:rtl/>
          </w:rPr>
          <w:t>ی</w:t>
        </w:r>
        <w:r w:rsidRPr="00F51CBB">
          <w:rPr>
            <w:rStyle w:val="Hyperlink"/>
            <w:rFonts w:hint="eastAsia"/>
            <w:rtl/>
          </w:rPr>
          <w:t>خ</w:t>
        </w:r>
        <w:r w:rsidRPr="00F51CBB">
          <w:rPr>
            <w:rStyle w:val="Hyperlink"/>
            <w:rtl/>
          </w:rPr>
          <w:t xml:space="preserve"> طوس</w:t>
        </w:r>
        <w:r w:rsidRPr="00F51CBB">
          <w:rPr>
            <w:rStyle w:val="Hyperlink"/>
            <w:rFonts w:hint="cs"/>
            <w:rtl/>
          </w:rPr>
          <w:t>ی</w:t>
        </w:r>
        <w:r w:rsidRPr="00F51CBB">
          <w:rPr>
            <w:rStyle w:val="Hyperlink"/>
            <w:rFonts w:hint="eastAsia"/>
            <w:rtl/>
          </w:rPr>
          <w:t>،</w:t>
        </w:r>
        <w:r w:rsidRPr="00F51CBB">
          <w:rPr>
            <w:rStyle w:val="Hyperlink"/>
            <w:rtl/>
          </w:rPr>
          <w:t xml:space="preserve"> ج7، ص489.</w:t>
        </w:r>
      </w:hyperlink>
    </w:p>
  </w:footnote>
  <w:footnote w:id="8">
    <w:p w:rsidR="00582EC5" w:rsidRDefault="00582EC5" w:rsidP="006F10AC">
      <w:pPr>
        <w:pStyle w:val="FootnoteText"/>
      </w:pPr>
      <w:r>
        <w:rPr>
          <w:rStyle w:val="FootnoteReference"/>
        </w:rPr>
        <w:footnoteRef/>
      </w:r>
      <w:r>
        <w:rPr>
          <w:rtl/>
        </w:rPr>
        <w:t xml:space="preserve"> </w:t>
      </w:r>
      <w:r>
        <w:rPr>
          <w:rFonts w:hint="cs"/>
          <w:rtl/>
        </w:rPr>
        <w:t>روایت 37910 جامع احادیث الشیعه</w:t>
      </w:r>
    </w:p>
  </w:footnote>
  <w:footnote w:id="9">
    <w:p w:rsidR="004004C8" w:rsidRPr="004004C8" w:rsidRDefault="004004C8" w:rsidP="004004C8">
      <w:pPr>
        <w:pStyle w:val="FootnoteText"/>
      </w:pPr>
      <w:r w:rsidRPr="004004C8">
        <w:footnoteRef/>
      </w:r>
      <w:r w:rsidRPr="004004C8">
        <w:rPr>
          <w:rtl/>
        </w:rPr>
        <w:t xml:space="preserve"> </w:t>
      </w:r>
      <w:hyperlink r:id="rId5" w:history="1">
        <w:r w:rsidRPr="004004C8">
          <w:rPr>
            <w:rStyle w:val="Hyperlink"/>
            <w:rFonts w:hint="cs"/>
            <w:rtl/>
          </w:rPr>
          <w:t>الکافی،</w:t>
        </w:r>
        <w:r w:rsidRPr="004004C8">
          <w:rPr>
            <w:rStyle w:val="Hyperlink"/>
            <w:rtl/>
          </w:rPr>
          <w:t xml:space="preserve"> </w:t>
        </w:r>
        <w:r w:rsidRPr="004004C8">
          <w:rPr>
            <w:rStyle w:val="Hyperlink"/>
            <w:rFonts w:hint="cs"/>
            <w:rtl/>
          </w:rPr>
          <w:t>محمد</w:t>
        </w:r>
        <w:r w:rsidRPr="004004C8">
          <w:rPr>
            <w:rStyle w:val="Hyperlink"/>
            <w:rtl/>
          </w:rPr>
          <w:t xml:space="preserve"> </w:t>
        </w:r>
        <w:r w:rsidRPr="004004C8">
          <w:rPr>
            <w:rStyle w:val="Hyperlink"/>
            <w:rFonts w:hint="cs"/>
            <w:rtl/>
          </w:rPr>
          <w:t>بن</w:t>
        </w:r>
        <w:r w:rsidRPr="004004C8">
          <w:rPr>
            <w:rStyle w:val="Hyperlink"/>
            <w:rtl/>
          </w:rPr>
          <w:t xml:space="preserve"> </w:t>
        </w:r>
        <w:r w:rsidRPr="004004C8">
          <w:rPr>
            <w:rStyle w:val="Hyperlink"/>
            <w:rFonts w:hint="cs"/>
            <w:rtl/>
          </w:rPr>
          <w:t>یعقوب</w:t>
        </w:r>
        <w:r w:rsidRPr="004004C8">
          <w:rPr>
            <w:rStyle w:val="Hyperlink"/>
            <w:rtl/>
          </w:rPr>
          <w:t xml:space="preserve"> </w:t>
        </w:r>
        <w:r w:rsidRPr="004004C8">
          <w:rPr>
            <w:rStyle w:val="Hyperlink"/>
            <w:rFonts w:hint="cs"/>
            <w:rtl/>
          </w:rPr>
          <w:t>کلینی،</w:t>
        </w:r>
        <w:r w:rsidRPr="004004C8">
          <w:rPr>
            <w:rStyle w:val="Hyperlink"/>
            <w:rtl/>
          </w:rPr>
          <w:t xml:space="preserve"> </w:t>
        </w:r>
        <w:r w:rsidRPr="004004C8">
          <w:rPr>
            <w:rStyle w:val="Hyperlink"/>
            <w:rFonts w:hint="cs"/>
            <w:rtl/>
          </w:rPr>
          <w:t>ج</w:t>
        </w:r>
        <w:r w:rsidRPr="004004C8">
          <w:rPr>
            <w:rStyle w:val="Hyperlink"/>
            <w:rtl/>
          </w:rPr>
          <w:t>5</w:t>
        </w:r>
        <w:r w:rsidRPr="004004C8">
          <w:rPr>
            <w:rStyle w:val="Hyperlink"/>
            <w:rFonts w:hint="cs"/>
            <w:rtl/>
          </w:rPr>
          <w:t>،</w:t>
        </w:r>
        <w:r w:rsidRPr="004004C8">
          <w:rPr>
            <w:rStyle w:val="Hyperlink"/>
            <w:rtl/>
          </w:rPr>
          <w:t xml:space="preserve"> </w:t>
        </w:r>
        <w:r w:rsidRPr="004004C8">
          <w:rPr>
            <w:rStyle w:val="Hyperlink"/>
            <w:rFonts w:hint="cs"/>
            <w:rtl/>
          </w:rPr>
          <w:t>ص</w:t>
        </w:r>
        <w:r w:rsidRPr="004004C8">
          <w:rPr>
            <w:rStyle w:val="Hyperlink"/>
            <w:rtl/>
          </w:rPr>
          <w:t>356.</w:t>
        </w:r>
      </w:hyperlink>
    </w:p>
  </w:footnote>
  <w:footnote w:id="10">
    <w:p w:rsidR="00A51240" w:rsidRDefault="00A51240">
      <w:pPr>
        <w:pStyle w:val="FootnoteText"/>
      </w:pPr>
      <w:r>
        <w:rPr>
          <w:rStyle w:val="FootnoteReference"/>
        </w:rPr>
        <w:footnoteRef/>
      </w:r>
      <w:r>
        <w:rPr>
          <w:rtl/>
        </w:rPr>
        <w:t xml:space="preserve"> </w:t>
      </w:r>
      <w:r w:rsidR="007B1D23">
        <w:rPr>
          <w:rFonts w:hint="cs"/>
          <w:rtl/>
        </w:rPr>
        <w:t>شرح نافع همان ن</w:t>
      </w:r>
      <w:r>
        <w:rPr>
          <w:rFonts w:hint="cs"/>
          <w:rtl/>
        </w:rPr>
        <w:t>هایة المرام</w:t>
      </w:r>
      <w:r w:rsidR="007B1D23">
        <w:rPr>
          <w:rFonts w:hint="cs"/>
          <w:rtl/>
        </w:rPr>
        <w:t xml:space="preserve"> است.</w:t>
      </w:r>
    </w:p>
  </w:footnote>
  <w:footnote w:id="11">
    <w:p w:rsidR="00A363CE" w:rsidRDefault="00A363CE">
      <w:pPr>
        <w:pStyle w:val="FootnoteText"/>
      </w:pPr>
      <w:r>
        <w:rPr>
          <w:rStyle w:val="FootnoteReference"/>
        </w:rPr>
        <w:footnoteRef/>
      </w:r>
      <w:r>
        <w:rPr>
          <w:rtl/>
        </w:rPr>
        <w:t xml:space="preserve"> </w:t>
      </w:r>
      <w:r>
        <w:rPr>
          <w:rFonts w:hint="cs"/>
          <w:rtl/>
        </w:rPr>
        <w:t>استصحاب در صورتی جاری است که اماره نباشد و با وجود عمومات و مطلقات نوبت به استصحاب نمی رسد. در این جا هم اگر به روایت عمل کنیم، استصحاب جاری نمی شود.</w:t>
      </w:r>
    </w:p>
  </w:footnote>
  <w:footnote w:id="12">
    <w:p w:rsidR="00582EC5" w:rsidRPr="00F61705" w:rsidRDefault="00582EC5" w:rsidP="00F61705">
      <w:pPr>
        <w:pStyle w:val="FootnoteText"/>
      </w:pPr>
      <w:r w:rsidRPr="00F61705">
        <w:footnoteRef/>
      </w:r>
      <w:r w:rsidRPr="00F61705">
        <w:rPr>
          <w:rtl/>
        </w:rPr>
        <w:t xml:space="preserve"> </w:t>
      </w:r>
      <w:hyperlink r:id="rId6" w:history="1">
        <w:r w:rsidRPr="00F61705">
          <w:rPr>
            <w:rStyle w:val="Hyperlink"/>
            <w:rFonts w:hint="cs"/>
            <w:rtl/>
          </w:rPr>
          <w:t>تکملة</w:t>
        </w:r>
        <w:r w:rsidRPr="00F61705">
          <w:rPr>
            <w:rStyle w:val="Hyperlink"/>
            <w:rtl/>
          </w:rPr>
          <w:t xml:space="preserve"> </w:t>
        </w:r>
        <w:r w:rsidRPr="00F61705">
          <w:rPr>
            <w:rStyle w:val="Hyperlink"/>
            <w:rFonts w:hint="cs"/>
            <w:rtl/>
          </w:rPr>
          <w:t>العروة</w:t>
        </w:r>
        <w:r w:rsidRPr="00F61705">
          <w:rPr>
            <w:rStyle w:val="Hyperlink"/>
            <w:rtl/>
          </w:rPr>
          <w:t xml:space="preserve"> </w:t>
        </w:r>
        <w:r w:rsidRPr="00F61705">
          <w:rPr>
            <w:rStyle w:val="Hyperlink"/>
            <w:rFonts w:hint="cs"/>
            <w:rtl/>
          </w:rPr>
          <w:t>الوثقی،</w:t>
        </w:r>
        <w:r w:rsidRPr="00F61705">
          <w:rPr>
            <w:rStyle w:val="Hyperlink"/>
            <w:rtl/>
          </w:rPr>
          <w:t xml:space="preserve"> </w:t>
        </w:r>
        <w:r w:rsidRPr="00F61705">
          <w:rPr>
            <w:rStyle w:val="Hyperlink"/>
            <w:rFonts w:hint="cs"/>
            <w:rtl/>
          </w:rPr>
          <w:t>السید</w:t>
        </w:r>
        <w:r w:rsidRPr="00F61705">
          <w:rPr>
            <w:rStyle w:val="Hyperlink"/>
            <w:rtl/>
          </w:rPr>
          <w:t xml:space="preserve"> </w:t>
        </w:r>
        <w:r w:rsidRPr="00F61705">
          <w:rPr>
            <w:rStyle w:val="Hyperlink"/>
            <w:rFonts w:hint="cs"/>
            <w:rtl/>
          </w:rPr>
          <w:t>محمد</w:t>
        </w:r>
        <w:r w:rsidRPr="00F61705">
          <w:rPr>
            <w:rStyle w:val="Hyperlink"/>
            <w:rtl/>
          </w:rPr>
          <w:t xml:space="preserve"> </w:t>
        </w:r>
        <w:r w:rsidRPr="00F61705">
          <w:rPr>
            <w:rStyle w:val="Hyperlink"/>
            <w:rFonts w:hint="cs"/>
            <w:rtl/>
          </w:rPr>
          <w:t>کاظم</w:t>
        </w:r>
        <w:r w:rsidRPr="00F61705">
          <w:rPr>
            <w:rStyle w:val="Hyperlink"/>
            <w:rtl/>
          </w:rPr>
          <w:t xml:space="preserve"> </w:t>
        </w:r>
        <w:r w:rsidRPr="00F61705">
          <w:rPr>
            <w:rStyle w:val="Hyperlink"/>
            <w:rFonts w:hint="cs"/>
            <w:rtl/>
          </w:rPr>
          <w:t>الطباطبائی</w:t>
        </w:r>
        <w:r w:rsidRPr="00F61705">
          <w:rPr>
            <w:rStyle w:val="Hyperlink"/>
            <w:rtl/>
          </w:rPr>
          <w:t xml:space="preserve"> </w:t>
        </w:r>
        <w:r w:rsidRPr="00F61705">
          <w:rPr>
            <w:rStyle w:val="Hyperlink"/>
            <w:rFonts w:hint="cs"/>
            <w:rtl/>
          </w:rPr>
          <w:t>الیزدی،</w:t>
        </w:r>
        <w:r w:rsidRPr="00F61705">
          <w:rPr>
            <w:rStyle w:val="Hyperlink"/>
            <w:rtl/>
          </w:rPr>
          <w:t xml:space="preserve"> </w:t>
        </w:r>
        <w:r w:rsidRPr="00F61705">
          <w:rPr>
            <w:rStyle w:val="Hyperlink"/>
            <w:rFonts w:hint="cs"/>
            <w:rtl/>
          </w:rPr>
          <w:t>ج</w:t>
        </w:r>
        <w:r w:rsidRPr="00F61705">
          <w:rPr>
            <w:rStyle w:val="Hyperlink"/>
            <w:rtl/>
          </w:rPr>
          <w:t>1</w:t>
        </w:r>
        <w:r w:rsidRPr="00F61705">
          <w:rPr>
            <w:rStyle w:val="Hyperlink"/>
            <w:rFonts w:hint="cs"/>
            <w:rtl/>
          </w:rPr>
          <w:t>،</w:t>
        </w:r>
        <w:r w:rsidRPr="00F61705">
          <w:rPr>
            <w:rStyle w:val="Hyperlink"/>
            <w:rtl/>
          </w:rPr>
          <w:t xml:space="preserve"> </w:t>
        </w:r>
        <w:r w:rsidRPr="00F61705">
          <w:rPr>
            <w:rStyle w:val="Hyperlink"/>
            <w:rFonts w:hint="cs"/>
            <w:rtl/>
          </w:rPr>
          <w:t>ص</w:t>
        </w:r>
        <w:r w:rsidRPr="00F61705">
          <w:rPr>
            <w:rStyle w:val="Hyperlink"/>
            <w:rtl/>
          </w:rPr>
          <w:t>87</w:t>
        </w:r>
        <w:r w:rsidRPr="00F61705">
          <w:rPr>
            <w:rStyle w:val="Hyperlink"/>
          </w:rPr>
          <w:t>.</w:t>
        </w:r>
      </w:hyperlink>
    </w:p>
  </w:footnote>
  <w:footnote w:id="13">
    <w:p w:rsidR="00C52A87" w:rsidRDefault="00C52A87">
      <w:pPr>
        <w:pStyle w:val="FootnoteText"/>
      </w:pPr>
      <w:r>
        <w:rPr>
          <w:rStyle w:val="FootnoteReference"/>
        </w:rPr>
        <w:footnoteRef/>
      </w:r>
      <w:r>
        <w:rPr>
          <w:rtl/>
        </w:rPr>
        <w:t xml:space="preserve"> </w:t>
      </w:r>
      <w:r>
        <w:rPr>
          <w:rFonts w:hint="cs"/>
          <w:rtl/>
        </w:rPr>
        <w:t>البته آیت الله والد ازدواج دائم با اهل کتاب را نیز صحیح می داند.</w:t>
      </w:r>
    </w:p>
  </w:footnote>
  <w:footnote w:id="14">
    <w:p w:rsidR="00582EC5" w:rsidRPr="004013BF" w:rsidRDefault="00582EC5" w:rsidP="004013BF">
      <w:pPr>
        <w:pStyle w:val="FootnoteText"/>
      </w:pPr>
      <w:r w:rsidRPr="004013BF">
        <w:footnoteRef/>
      </w:r>
      <w:r w:rsidRPr="004013BF">
        <w:rPr>
          <w:rtl/>
        </w:rPr>
        <w:t xml:space="preserve"> </w:t>
      </w:r>
      <w:hyperlink r:id="rId7" w:history="1">
        <w:r w:rsidRPr="004013BF">
          <w:rPr>
            <w:rStyle w:val="Hyperlink"/>
            <w:rFonts w:hint="cs"/>
            <w:rtl/>
          </w:rPr>
          <w:t>تکملة</w:t>
        </w:r>
        <w:r w:rsidRPr="004013BF">
          <w:rPr>
            <w:rStyle w:val="Hyperlink"/>
            <w:rtl/>
          </w:rPr>
          <w:t xml:space="preserve"> </w:t>
        </w:r>
        <w:r w:rsidRPr="004013BF">
          <w:rPr>
            <w:rStyle w:val="Hyperlink"/>
            <w:rFonts w:hint="cs"/>
            <w:rtl/>
          </w:rPr>
          <w:t>العروة</w:t>
        </w:r>
        <w:r w:rsidRPr="004013BF">
          <w:rPr>
            <w:rStyle w:val="Hyperlink"/>
            <w:rtl/>
          </w:rPr>
          <w:t xml:space="preserve"> </w:t>
        </w:r>
        <w:r w:rsidRPr="004013BF">
          <w:rPr>
            <w:rStyle w:val="Hyperlink"/>
            <w:rFonts w:hint="cs"/>
            <w:rtl/>
          </w:rPr>
          <w:t>الوثقی،</w:t>
        </w:r>
        <w:r w:rsidRPr="004013BF">
          <w:rPr>
            <w:rStyle w:val="Hyperlink"/>
            <w:rtl/>
          </w:rPr>
          <w:t xml:space="preserve"> </w:t>
        </w:r>
        <w:r w:rsidRPr="004013BF">
          <w:rPr>
            <w:rStyle w:val="Hyperlink"/>
            <w:rFonts w:hint="cs"/>
            <w:rtl/>
          </w:rPr>
          <w:t>السید</w:t>
        </w:r>
        <w:r w:rsidRPr="004013BF">
          <w:rPr>
            <w:rStyle w:val="Hyperlink"/>
            <w:rtl/>
          </w:rPr>
          <w:t xml:space="preserve"> </w:t>
        </w:r>
        <w:r w:rsidRPr="004013BF">
          <w:rPr>
            <w:rStyle w:val="Hyperlink"/>
            <w:rFonts w:hint="cs"/>
            <w:rtl/>
          </w:rPr>
          <w:t>محمد</w:t>
        </w:r>
        <w:r w:rsidRPr="004013BF">
          <w:rPr>
            <w:rStyle w:val="Hyperlink"/>
            <w:rtl/>
          </w:rPr>
          <w:t xml:space="preserve"> </w:t>
        </w:r>
        <w:r w:rsidRPr="004013BF">
          <w:rPr>
            <w:rStyle w:val="Hyperlink"/>
            <w:rFonts w:hint="cs"/>
            <w:rtl/>
          </w:rPr>
          <w:t>کاظم</w:t>
        </w:r>
        <w:r w:rsidRPr="004013BF">
          <w:rPr>
            <w:rStyle w:val="Hyperlink"/>
            <w:rtl/>
          </w:rPr>
          <w:t xml:space="preserve"> </w:t>
        </w:r>
        <w:r w:rsidRPr="004013BF">
          <w:rPr>
            <w:rStyle w:val="Hyperlink"/>
            <w:rFonts w:hint="cs"/>
            <w:rtl/>
          </w:rPr>
          <w:t>الطباطبائی</w:t>
        </w:r>
        <w:r w:rsidRPr="004013BF">
          <w:rPr>
            <w:rStyle w:val="Hyperlink"/>
            <w:rtl/>
          </w:rPr>
          <w:t xml:space="preserve"> </w:t>
        </w:r>
        <w:r w:rsidRPr="004013BF">
          <w:rPr>
            <w:rStyle w:val="Hyperlink"/>
            <w:rFonts w:hint="cs"/>
            <w:rtl/>
          </w:rPr>
          <w:t>الیزدی،</w:t>
        </w:r>
        <w:r w:rsidRPr="004013BF">
          <w:rPr>
            <w:rStyle w:val="Hyperlink"/>
            <w:rtl/>
          </w:rPr>
          <w:t xml:space="preserve"> </w:t>
        </w:r>
        <w:r w:rsidRPr="004013BF">
          <w:rPr>
            <w:rStyle w:val="Hyperlink"/>
            <w:rFonts w:hint="cs"/>
            <w:rtl/>
          </w:rPr>
          <w:t>ج</w:t>
        </w:r>
        <w:r w:rsidRPr="004013BF">
          <w:rPr>
            <w:rStyle w:val="Hyperlink"/>
            <w:rtl/>
          </w:rPr>
          <w:t>1</w:t>
        </w:r>
        <w:r w:rsidRPr="004013BF">
          <w:rPr>
            <w:rStyle w:val="Hyperlink"/>
            <w:rFonts w:hint="cs"/>
            <w:rtl/>
          </w:rPr>
          <w:t>،</w:t>
        </w:r>
        <w:r w:rsidRPr="004013BF">
          <w:rPr>
            <w:rStyle w:val="Hyperlink"/>
            <w:rtl/>
          </w:rPr>
          <w:t xml:space="preserve"> </w:t>
        </w:r>
        <w:r w:rsidRPr="004013BF">
          <w:rPr>
            <w:rStyle w:val="Hyperlink"/>
            <w:rFonts w:hint="cs"/>
            <w:rtl/>
          </w:rPr>
          <w:t>ص</w:t>
        </w:r>
        <w:r w:rsidRPr="004013BF">
          <w:rPr>
            <w:rStyle w:val="Hyperlink"/>
            <w:rtl/>
          </w:rPr>
          <w:t>81</w:t>
        </w:r>
        <w:r w:rsidRPr="004013BF">
          <w:rPr>
            <w:rStyle w:val="Hyperlink"/>
          </w:rPr>
          <w:t>.</w:t>
        </w:r>
      </w:hyperlink>
    </w:p>
  </w:footnote>
  <w:footnote w:id="15">
    <w:p w:rsidR="00582EC5" w:rsidRPr="005C6816" w:rsidRDefault="00582EC5" w:rsidP="005C6816">
      <w:pPr>
        <w:pStyle w:val="FootnoteText"/>
      </w:pPr>
      <w:r w:rsidRPr="005C6816">
        <w:footnoteRef/>
      </w:r>
      <w:r w:rsidRPr="005C6816">
        <w:rPr>
          <w:rtl/>
        </w:rPr>
        <w:t xml:space="preserve"> </w:t>
      </w:r>
      <w:hyperlink r:id="rId8" w:history="1">
        <w:r w:rsidRPr="005C6816">
          <w:rPr>
            <w:rStyle w:val="Hyperlink"/>
            <w:rFonts w:hint="cs"/>
            <w:rtl/>
          </w:rPr>
          <w:t>تکملة</w:t>
        </w:r>
        <w:r w:rsidRPr="005C6816">
          <w:rPr>
            <w:rStyle w:val="Hyperlink"/>
            <w:rtl/>
          </w:rPr>
          <w:t xml:space="preserve"> </w:t>
        </w:r>
        <w:r w:rsidRPr="005C6816">
          <w:rPr>
            <w:rStyle w:val="Hyperlink"/>
            <w:rFonts w:hint="cs"/>
            <w:rtl/>
          </w:rPr>
          <w:t>العروة</w:t>
        </w:r>
        <w:r w:rsidRPr="005C6816">
          <w:rPr>
            <w:rStyle w:val="Hyperlink"/>
            <w:rtl/>
          </w:rPr>
          <w:t xml:space="preserve"> </w:t>
        </w:r>
        <w:r w:rsidRPr="005C6816">
          <w:rPr>
            <w:rStyle w:val="Hyperlink"/>
            <w:rFonts w:hint="cs"/>
            <w:rtl/>
          </w:rPr>
          <w:t>الوثقی،</w:t>
        </w:r>
        <w:r w:rsidRPr="005C6816">
          <w:rPr>
            <w:rStyle w:val="Hyperlink"/>
            <w:rtl/>
          </w:rPr>
          <w:t xml:space="preserve"> </w:t>
        </w:r>
        <w:r w:rsidRPr="005C6816">
          <w:rPr>
            <w:rStyle w:val="Hyperlink"/>
            <w:rFonts w:hint="cs"/>
            <w:rtl/>
          </w:rPr>
          <w:t>السید</w:t>
        </w:r>
        <w:r w:rsidRPr="005C6816">
          <w:rPr>
            <w:rStyle w:val="Hyperlink"/>
            <w:rtl/>
          </w:rPr>
          <w:t xml:space="preserve"> </w:t>
        </w:r>
        <w:r w:rsidRPr="005C6816">
          <w:rPr>
            <w:rStyle w:val="Hyperlink"/>
            <w:rFonts w:hint="cs"/>
            <w:rtl/>
          </w:rPr>
          <w:t>محمد</w:t>
        </w:r>
        <w:r w:rsidRPr="005C6816">
          <w:rPr>
            <w:rStyle w:val="Hyperlink"/>
            <w:rtl/>
          </w:rPr>
          <w:t xml:space="preserve"> </w:t>
        </w:r>
        <w:r w:rsidRPr="005C6816">
          <w:rPr>
            <w:rStyle w:val="Hyperlink"/>
            <w:rFonts w:hint="cs"/>
            <w:rtl/>
          </w:rPr>
          <w:t>کاظم</w:t>
        </w:r>
        <w:r w:rsidRPr="005C6816">
          <w:rPr>
            <w:rStyle w:val="Hyperlink"/>
            <w:rtl/>
          </w:rPr>
          <w:t xml:space="preserve"> </w:t>
        </w:r>
        <w:r w:rsidRPr="005C6816">
          <w:rPr>
            <w:rStyle w:val="Hyperlink"/>
            <w:rFonts w:hint="cs"/>
            <w:rtl/>
          </w:rPr>
          <w:t>الطباطبائی</w:t>
        </w:r>
        <w:r w:rsidRPr="005C6816">
          <w:rPr>
            <w:rStyle w:val="Hyperlink"/>
            <w:rtl/>
          </w:rPr>
          <w:t xml:space="preserve"> </w:t>
        </w:r>
        <w:r w:rsidRPr="005C6816">
          <w:rPr>
            <w:rStyle w:val="Hyperlink"/>
            <w:rFonts w:hint="cs"/>
            <w:rtl/>
          </w:rPr>
          <w:t>الیزدی،</w:t>
        </w:r>
        <w:r w:rsidRPr="005C6816">
          <w:rPr>
            <w:rStyle w:val="Hyperlink"/>
            <w:rtl/>
          </w:rPr>
          <w:t xml:space="preserve"> </w:t>
        </w:r>
        <w:r w:rsidRPr="005C6816">
          <w:rPr>
            <w:rStyle w:val="Hyperlink"/>
            <w:rFonts w:hint="cs"/>
            <w:rtl/>
          </w:rPr>
          <w:t>ج</w:t>
        </w:r>
        <w:r w:rsidRPr="005C6816">
          <w:rPr>
            <w:rStyle w:val="Hyperlink"/>
            <w:rtl/>
          </w:rPr>
          <w:t>1</w:t>
        </w:r>
        <w:r w:rsidRPr="005C6816">
          <w:rPr>
            <w:rStyle w:val="Hyperlink"/>
            <w:rFonts w:hint="cs"/>
            <w:rtl/>
          </w:rPr>
          <w:t>،</w:t>
        </w:r>
        <w:r w:rsidRPr="005C6816">
          <w:rPr>
            <w:rStyle w:val="Hyperlink"/>
            <w:rtl/>
          </w:rPr>
          <w:t xml:space="preserve"> </w:t>
        </w:r>
        <w:r w:rsidRPr="005C6816">
          <w:rPr>
            <w:rStyle w:val="Hyperlink"/>
            <w:rFonts w:hint="cs"/>
            <w:rtl/>
          </w:rPr>
          <w:t>ص</w:t>
        </w:r>
        <w:r w:rsidRPr="005C6816">
          <w:rPr>
            <w:rStyle w:val="Hyperlink"/>
            <w:rtl/>
          </w:rPr>
          <w:t>88</w:t>
        </w:r>
        <w:r w:rsidRPr="005C6816">
          <w:rPr>
            <w:rStyle w:val="Hyperlink"/>
          </w:rPr>
          <w:t>.</w:t>
        </w:r>
      </w:hyperlink>
    </w:p>
  </w:footnote>
  <w:footnote w:id="16">
    <w:p w:rsidR="00273DDA" w:rsidRDefault="00273DDA">
      <w:pPr>
        <w:pStyle w:val="FootnoteText"/>
      </w:pPr>
      <w:r>
        <w:rPr>
          <w:rStyle w:val="FootnoteReference"/>
        </w:rPr>
        <w:footnoteRef/>
      </w:r>
      <w:r>
        <w:rPr>
          <w:rtl/>
        </w:rPr>
        <w:t xml:space="preserve"> </w:t>
      </w:r>
      <w:r>
        <w:rPr>
          <w:rFonts w:hint="cs"/>
          <w:rtl/>
        </w:rPr>
        <w:t>در صورت عدم دخول عده ثابت نمی شود.</w:t>
      </w:r>
    </w:p>
  </w:footnote>
  <w:footnote w:id="17">
    <w:p w:rsidR="00017020" w:rsidRDefault="00017020">
      <w:pPr>
        <w:pStyle w:val="FootnoteText"/>
      </w:pPr>
      <w:r>
        <w:rPr>
          <w:rStyle w:val="FootnoteReference"/>
        </w:rPr>
        <w:footnoteRef/>
      </w:r>
      <w:r>
        <w:rPr>
          <w:rtl/>
        </w:rPr>
        <w:t xml:space="preserve"> </w:t>
      </w:r>
      <w:r>
        <w:rPr>
          <w:rFonts w:hint="cs"/>
          <w:rtl/>
        </w:rPr>
        <w:t>در صورت حمل، انقضای عده به وضع حمل است.</w:t>
      </w:r>
    </w:p>
  </w:footnote>
  <w:footnote w:id="18">
    <w:p w:rsidR="0022084A" w:rsidRDefault="0022084A">
      <w:pPr>
        <w:pStyle w:val="FootnoteText"/>
      </w:pPr>
      <w:r>
        <w:rPr>
          <w:rStyle w:val="FootnoteReference"/>
        </w:rPr>
        <w:footnoteRef/>
      </w:r>
      <w:r>
        <w:rPr>
          <w:rtl/>
        </w:rPr>
        <w:t xml:space="preserve"> </w:t>
      </w:r>
      <w:r>
        <w:rPr>
          <w:rFonts w:hint="cs"/>
          <w:rtl/>
        </w:rPr>
        <w:t>یائسه عده ندارد.</w:t>
      </w:r>
    </w:p>
  </w:footnote>
  <w:footnote w:id="19">
    <w:p w:rsidR="00B80513" w:rsidRDefault="00B80513">
      <w:pPr>
        <w:pStyle w:val="FootnoteText"/>
        <w:rPr>
          <w:rtl/>
        </w:rPr>
      </w:pPr>
      <w:r>
        <w:rPr>
          <w:rStyle w:val="FootnoteReference"/>
        </w:rPr>
        <w:footnoteRef/>
      </w:r>
      <w:r>
        <w:rPr>
          <w:rtl/>
        </w:rPr>
        <w:t xml:space="preserve"> </w:t>
      </w:r>
      <w:r>
        <w:rPr>
          <w:rFonts w:hint="cs"/>
          <w:rtl/>
        </w:rPr>
        <w:t>آیه 24 سوره نساء</w:t>
      </w:r>
    </w:p>
    <w:p w:rsidR="00D30B00" w:rsidRDefault="00D30B00" w:rsidP="00D30B00">
      <w:pPr>
        <w:pStyle w:val="FootnoteText"/>
      </w:pPr>
      <w:r w:rsidRPr="00D30B00">
        <w:rPr>
          <w:rFonts w:hint="cs"/>
          <w:rtl/>
        </w:rPr>
        <w:t xml:space="preserve">فَمَا اسْتَمْتَعْتُمْ بِهِ مِنْهُنَّ فَآتُوهُنَّ أُجُورَهُنَّ فَرِيضَةً وَ لاَ جُنَاحَ عَلَيْكُمْ فِيمَا تَرَاضَيْتُمْ بِهِ مِنْ بَعْدِ الْفَرِيضَةِ إِنَّ اللَّهَ كَانَ عَلِيماً حَكِيماً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C5" w:rsidRDefault="00582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C5" w:rsidRPr="001D2E9A" w:rsidRDefault="00582EC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6" w:name="BokNum"/>
    <w:bookmarkEnd w:id="6"/>
    <w:r>
      <w:rPr>
        <w:b/>
        <w:bCs/>
        <w:sz w:val="20"/>
        <w:szCs w:val="24"/>
        <w:rtl/>
      </w:rPr>
      <w:t>060</w:t>
    </w:r>
    <w:r>
      <w:rPr>
        <w:rFonts w:hint="cs"/>
        <w:b/>
        <w:bCs/>
        <w:sz w:val="20"/>
        <w:szCs w:val="24"/>
        <w:rtl/>
      </w:rPr>
      <w:tab/>
    </w:r>
    <w:r w:rsidRPr="00C32A7E">
      <w:rPr>
        <w:rFonts w:hint="cs"/>
        <w:b/>
        <w:bCs/>
        <w:color w:val="632423" w:themeColor="accent2" w:themeShade="80"/>
        <w:sz w:val="20"/>
        <w:szCs w:val="24"/>
        <w:rtl/>
      </w:rPr>
      <w:t xml:space="preserve">درس خارج </w:t>
    </w:r>
    <w:bookmarkStart w:id="7" w:name="Bokdars"/>
    <w:bookmarkEnd w:id="7"/>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8" w:name="Bokostad"/>
    <w:bookmarkEnd w:id="8"/>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9" w:name="BokTarikh"/>
    <w:bookmarkEnd w:id="9"/>
    <w:r>
      <w:rPr>
        <w:sz w:val="24"/>
        <w:szCs w:val="24"/>
        <w:rtl/>
      </w:rPr>
      <w:t>6 /11 /1399</w:t>
    </w:r>
  </w:p>
  <w:p w:rsidR="00582EC5" w:rsidRPr="00F16B53" w:rsidRDefault="00582EC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0" w:name="BokSabj"/>
    <w:bookmarkEnd w:id="10"/>
    <w:r>
      <w:rPr>
        <w:rFonts w:hint="cs"/>
        <w:color w:val="000000" w:themeColor="text1"/>
        <w:sz w:val="24"/>
        <w:szCs w:val="24"/>
        <w:rtl/>
      </w:rPr>
      <w:t>فصل</w:t>
    </w:r>
    <w:r>
      <w:rPr>
        <w:color w:val="000000" w:themeColor="text1"/>
        <w:sz w:val="24"/>
        <w:szCs w:val="24"/>
        <w:rtl/>
      </w:rPr>
      <w:t xml:space="preserve"> </w:t>
    </w:r>
    <w:r>
      <w:rPr>
        <w:rFonts w:hint="cs"/>
        <w:color w:val="000000" w:themeColor="text1"/>
        <w:sz w:val="24"/>
        <w:szCs w:val="24"/>
        <w:rtl/>
      </w:rPr>
      <w:t>دوم</w:t>
    </w:r>
    <w:r>
      <w:rPr>
        <w:color w:val="000000" w:themeColor="text1"/>
        <w:sz w:val="24"/>
        <w:szCs w:val="24"/>
        <w:rtl/>
      </w:rPr>
      <w:t xml:space="preserve"> </w:t>
    </w:r>
    <w:r>
      <w:rPr>
        <w:rFonts w:hint="cs"/>
        <w:color w:val="000000" w:themeColor="text1"/>
        <w:sz w:val="24"/>
        <w:szCs w:val="24"/>
        <w:rtl/>
      </w:rPr>
      <w:t>تکمله</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1" w:name="Bokmoqarer"/>
    <w:bookmarkEnd w:id="11"/>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2" w:name="BokSabj2"/>
    <w:bookmarkEnd w:id="12"/>
    <w:r>
      <w:rPr>
        <w:rFonts w:hint="cs"/>
        <w:sz w:val="24"/>
        <w:szCs w:val="24"/>
        <w:rtl/>
      </w:rPr>
      <w:t>عده</w:t>
    </w:r>
    <w:r>
      <w:rPr>
        <w:sz w:val="24"/>
        <w:szCs w:val="24"/>
        <w:rtl/>
      </w:rPr>
      <w:t xml:space="preserve"> </w:t>
    </w:r>
    <w:r>
      <w:rPr>
        <w:rFonts w:hint="cs"/>
        <w:sz w:val="24"/>
        <w:szCs w:val="24"/>
        <w:rtl/>
      </w:rPr>
      <w:t>اماء</w:t>
    </w:r>
    <w:r>
      <w:rPr>
        <w:sz w:val="24"/>
        <w:szCs w:val="24"/>
        <w:rtl/>
      </w:rPr>
      <w:t xml:space="preserve"> </w:t>
    </w:r>
    <w:r>
      <w:rPr>
        <w:rFonts w:hint="cs"/>
        <w:sz w:val="24"/>
        <w:szCs w:val="24"/>
        <w:rtl/>
      </w:rPr>
      <w:t>و</w:t>
    </w:r>
    <w:r>
      <w:rPr>
        <w:sz w:val="24"/>
        <w:szCs w:val="24"/>
        <w:rtl/>
      </w:rPr>
      <w:t xml:space="preserve"> </w:t>
    </w:r>
    <w:r>
      <w:rPr>
        <w:rFonts w:hint="cs"/>
        <w:sz w:val="24"/>
        <w:szCs w:val="24"/>
        <w:rtl/>
      </w:rPr>
      <w:t>استبراء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C5" w:rsidRDefault="00582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020"/>
    <w:rsid w:val="00025777"/>
    <w:rsid w:val="00025B70"/>
    <w:rsid w:val="000353D7"/>
    <w:rsid w:val="00055496"/>
    <w:rsid w:val="00080A41"/>
    <w:rsid w:val="0008299B"/>
    <w:rsid w:val="000913AA"/>
    <w:rsid w:val="00094847"/>
    <w:rsid w:val="00096C63"/>
    <w:rsid w:val="000A7089"/>
    <w:rsid w:val="000A7C14"/>
    <w:rsid w:val="000B5DB5"/>
    <w:rsid w:val="000C27E9"/>
    <w:rsid w:val="000C3947"/>
    <w:rsid w:val="000D2A37"/>
    <w:rsid w:val="000D30E9"/>
    <w:rsid w:val="000D6818"/>
    <w:rsid w:val="000E335E"/>
    <w:rsid w:val="000F16CF"/>
    <w:rsid w:val="000F5BAC"/>
    <w:rsid w:val="00102585"/>
    <w:rsid w:val="00114AB7"/>
    <w:rsid w:val="00116B2B"/>
    <w:rsid w:val="00124E3D"/>
    <w:rsid w:val="00127E95"/>
    <w:rsid w:val="00130659"/>
    <w:rsid w:val="0013067A"/>
    <w:rsid w:val="001347C7"/>
    <w:rsid w:val="001356B0"/>
    <w:rsid w:val="00151937"/>
    <w:rsid w:val="00174A61"/>
    <w:rsid w:val="00181844"/>
    <w:rsid w:val="001837E9"/>
    <w:rsid w:val="00187DFA"/>
    <w:rsid w:val="001A1BC1"/>
    <w:rsid w:val="001A1EA5"/>
    <w:rsid w:val="001A2574"/>
    <w:rsid w:val="001A27D7"/>
    <w:rsid w:val="001A294E"/>
    <w:rsid w:val="001A4ED8"/>
    <w:rsid w:val="001B2488"/>
    <w:rsid w:val="001B585B"/>
    <w:rsid w:val="001B6799"/>
    <w:rsid w:val="001C1362"/>
    <w:rsid w:val="001D2E9A"/>
    <w:rsid w:val="001D597F"/>
    <w:rsid w:val="001E3FD4"/>
    <w:rsid w:val="0020241A"/>
    <w:rsid w:val="00203821"/>
    <w:rsid w:val="00211632"/>
    <w:rsid w:val="0021630D"/>
    <w:rsid w:val="0022084A"/>
    <w:rsid w:val="0024121B"/>
    <w:rsid w:val="00242FDD"/>
    <w:rsid w:val="00247D2F"/>
    <w:rsid w:val="00256560"/>
    <w:rsid w:val="00273DDA"/>
    <w:rsid w:val="0027605E"/>
    <w:rsid w:val="00281E00"/>
    <w:rsid w:val="00294A52"/>
    <w:rsid w:val="002B575F"/>
    <w:rsid w:val="002B729B"/>
    <w:rsid w:val="002C23B5"/>
    <w:rsid w:val="002C53A2"/>
    <w:rsid w:val="002D0040"/>
    <w:rsid w:val="002D2F38"/>
    <w:rsid w:val="002D2FA8"/>
    <w:rsid w:val="002E0CCC"/>
    <w:rsid w:val="002E220F"/>
    <w:rsid w:val="002F0559"/>
    <w:rsid w:val="00307311"/>
    <w:rsid w:val="0032100F"/>
    <w:rsid w:val="0033402C"/>
    <w:rsid w:val="00340521"/>
    <w:rsid w:val="00345C73"/>
    <w:rsid w:val="00354A99"/>
    <w:rsid w:val="00360311"/>
    <w:rsid w:val="00361922"/>
    <w:rsid w:val="0037339B"/>
    <w:rsid w:val="00386C11"/>
    <w:rsid w:val="00395EE5"/>
    <w:rsid w:val="00397466"/>
    <w:rsid w:val="003A6148"/>
    <w:rsid w:val="003C33F6"/>
    <w:rsid w:val="003C3D2E"/>
    <w:rsid w:val="003C43A5"/>
    <w:rsid w:val="003E1C5C"/>
    <w:rsid w:val="003E6650"/>
    <w:rsid w:val="003F5B46"/>
    <w:rsid w:val="004004C8"/>
    <w:rsid w:val="00401363"/>
    <w:rsid w:val="004013BF"/>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4C31"/>
    <w:rsid w:val="00580C24"/>
    <w:rsid w:val="00582EC5"/>
    <w:rsid w:val="005968EF"/>
    <w:rsid w:val="00596C1E"/>
    <w:rsid w:val="005A2E26"/>
    <w:rsid w:val="005B6BFC"/>
    <w:rsid w:val="005B7BCA"/>
    <w:rsid w:val="005C0DAE"/>
    <w:rsid w:val="005C188E"/>
    <w:rsid w:val="005C6816"/>
    <w:rsid w:val="005D2349"/>
    <w:rsid w:val="005E1B60"/>
    <w:rsid w:val="005E5507"/>
    <w:rsid w:val="005E607B"/>
    <w:rsid w:val="005F0A8D"/>
    <w:rsid w:val="00601229"/>
    <w:rsid w:val="00603B67"/>
    <w:rsid w:val="006162A2"/>
    <w:rsid w:val="006240DA"/>
    <w:rsid w:val="00625806"/>
    <w:rsid w:val="0063256E"/>
    <w:rsid w:val="00633F04"/>
    <w:rsid w:val="00635219"/>
    <w:rsid w:val="00635EC0"/>
    <w:rsid w:val="00640B58"/>
    <w:rsid w:val="00651B02"/>
    <w:rsid w:val="00651B19"/>
    <w:rsid w:val="00660A29"/>
    <w:rsid w:val="006712DA"/>
    <w:rsid w:val="00672C2C"/>
    <w:rsid w:val="00695519"/>
    <w:rsid w:val="006A4134"/>
    <w:rsid w:val="006A5DDA"/>
    <w:rsid w:val="006A6701"/>
    <w:rsid w:val="006B21F4"/>
    <w:rsid w:val="006B3753"/>
    <w:rsid w:val="006B4698"/>
    <w:rsid w:val="006B7AD6"/>
    <w:rsid w:val="006C50FD"/>
    <w:rsid w:val="006D0A85"/>
    <w:rsid w:val="006D1DD4"/>
    <w:rsid w:val="006D4014"/>
    <w:rsid w:val="006D44C1"/>
    <w:rsid w:val="006E5651"/>
    <w:rsid w:val="006E59AA"/>
    <w:rsid w:val="006E5B85"/>
    <w:rsid w:val="006F026A"/>
    <w:rsid w:val="006F10AC"/>
    <w:rsid w:val="0070265B"/>
    <w:rsid w:val="00704813"/>
    <w:rsid w:val="0072290D"/>
    <w:rsid w:val="00723D6D"/>
    <w:rsid w:val="00724537"/>
    <w:rsid w:val="00731724"/>
    <w:rsid w:val="0073474B"/>
    <w:rsid w:val="00735511"/>
    <w:rsid w:val="00737208"/>
    <w:rsid w:val="00744DE6"/>
    <w:rsid w:val="00762452"/>
    <w:rsid w:val="00762505"/>
    <w:rsid w:val="007639E0"/>
    <w:rsid w:val="00775507"/>
    <w:rsid w:val="00783473"/>
    <w:rsid w:val="0078594B"/>
    <w:rsid w:val="00795E02"/>
    <w:rsid w:val="007979D0"/>
    <w:rsid w:val="007A4E18"/>
    <w:rsid w:val="007A7B8C"/>
    <w:rsid w:val="007B1D23"/>
    <w:rsid w:val="007C1640"/>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57E7"/>
    <w:rsid w:val="0085276D"/>
    <w:rsid w:val="00863390"/>
    <w:rsid w:val="0086385C"/>
    <w:rsid w:val="00871916"/>
    <w:rsid w:val="008956DD"/>
    <w:rsid w:val="008A510E"/>
    <w:rsid w:val="008A522A"/>
    <w:rsid w:val="008B4464"/>
    <w:rsid w:val="008B750B"/>
    <w:rsid w:val="008C3162"/>
    <w:rsid w:val="008D1F14"/>
    <w:rsid w:val="008D4405"/>
    <w:rsid w:val="008E3924"/>
    <w:rsid w:val="008F13F7"/>
    <w:rsid w:val="008F5B4D"/>
    <w:rsid w:val="00907425"/>
    <w:rsid w:val="00923C34"/>
    <w:rsid w:val="00924152"/>
    <w:rsid w:val="0092513D"/>
    <w:rsid w:val="00927A9F"/>
    <w:rsid w:val="009335CC"/>
    <w:rsid w:val="00935A55"/>
    <w:rsid w:val="00941CEB"/>
    <w:rsid w:val="0094720F"/>
    <w:rsid w:val="0095079E"/>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6FED"/>
    <w:rsid w:val="009F2EEF"/>
    <w:rsid w:val="009F7E07"/>
    <w:rsid w:val="00A01522"/>
    <w:rsid w:val="00A10A11"/>
    <w:rsid w:val="00A13C6A"/>
    <w:rsid w:val="00A16244"/>
    <w:rsid w:val="00A17B09"/>
    <w:rsid w:val="00A363CE"/>
    <w:rsid w:val="00A457C6"/>
    <w:rsid w:val="00A46AD0"/>
    <w:rsid w:val="00A47063"/>
    <w:rsid w:val="00A473A8"/>
    <w:rsid w:val="00A505BD"/>
    <w:rsid w:val="00A51240"/>
    <w:rsid w:val="00A513F0"/>
    <w:rsid w:val="00A53977"/>
    <w:rsid w:val="00A60A4C"/>
    <w:rsid w:val="00A61AC8"/>
    <w:rsid w:val="00A6366F"/>
    <w:rsid w:val="00A65D4C"/>
    <w:rsid w:val="00A70512"/>
    <w:rsid w:val="00AA1F60"/>
    <w:rsid w:val="00AA40D7"/>
    <w:rsid w:val="00AB5F7D"/>
    <w:rsid w:val="00AC0C50"/>
    <w:rsid w:val="00AC6FE2"/>
    <w:rsid w:val="00AD11C9"/>
    <w:rsid w:val="00AF3925"/>
    <w:rsid w:val="00B1296B"/>
    <w:rsid w:val="00B2292F"/>
    <w:rsid w:val="00B3345F"/>
    <w:rsid w:val="00B43169"/>
    <w:rsid w:val="00B501A8"/>
    <w:rsid w:val="00B55AE4"/>
    <w:rsid w:val="00B70B46"/>
    <w:rsid w:val="00B739B0"/>
    <w:rsid w:val="00B80513"/>
    <w:rsid w:val="00B814A3"/>
    <w:rsid w:val="00B96F38"/>
    <w:rsid w:val="00BA1B16"/>
    <w:rsid w:val="00BA20DB"/>
    <w:rsid w:val="00BC716B"/>
    <w:rsid w:val="00BD0E74"/>
    <w:rsid w:val="00BD5F8C"/>
    <w:rsid w:val="00BE29DD"/>
    <w:rsid w:val="00C066AF"/>
    <w:rsid w:val="00C077BD"/>
    <w:rsid w:val="00C10E06"/>
    <w:rsid w:val="00C145B8"/>
    <w:rsid w:val="00C2438F"/>
    <w:rsid w:val="00C31AF0"/>
    <w:rsid w:val="00C32A7E"/>
    <w:rsid w:val="00C34F28"/>
    <w:rsid w:val="00C368DF"/>
    <w:rsid w:val="00C442C5"/>
    <w:rsid w:val="00C52A87"/>
    <w:rsid w:val="00C54E10"/>
    <w:rsid w:val="00C57B5C"/>
    <w:rsid w:val="00C57C7C"/>
    <w:rsid w:val="00C61049"/>
    <w:rsid w:val="00C63FFE"/>
    <w:rsid w:val="00C91EB6"/>
    <w:rsid w:val="00CA10B0"/>
    <w:rsid w:val="00CA2F8E"/>
    <w:rsid w:val="00CA3EE2"/>
    <w:rsid w:val="00CA7FD5"/>
    <w:rsid w:val="00CB13DD"/>
    <w:rsid w:val="00CB3287"/>
    <w:rsid w:val="00CB33E2"/>
    <w:rsid w:val="00CB4E68"/>
    <w:rsid w:val="00CC2733"/>
    <w:rsid w:val="00CD0050"/>
    <w:rsid w:val="00CE7481"/>
    <w:rsid w:val="00CF0A8F"/>
    <w:rsid w:val="00D048CE"/>
    <w:rsid w:val="00D10998"/>
    <w:rsid w:val="00D15CBD"/>
    <w:rsid w:val="00D216B5"/>
    <w:rsid w:val="00D221CB"/>
    <w:rsid w:val="00D23391"/>
    <w:rsid w:val="00D30B00"/>
    <w:rsid w:val="00D31805"/>
    <w:rsid w:val="00D552B9"/>
    <w:rsid w:val="00D64857"/>
    <w:rsid w:val="00D735B2"/>
    <w:rsid w:val="00D74021"/>
    <w:rsid w:val="00D76D01"/>
    <w:rsid w:val="00D922A9"/>
    <w:rsid w:val="00D9394A"/>
    <w:rsid w:val="00DB0CBB"/>
    <w:rsid w:val="00DB66C1"/>
    <w:rsid w:val="00DB67CC"/>
    <w:rsid w:val="00DC3783"/>
    <w:rsid w:val="00DE1070"/>
    <w:rsid w:val="00DF3643"/>
    <w:rsid w:val="00E00219"/>
    <w:rsid w:val="00E0316B"/>
    <w:rsid w:val="00E25E10"/>
    <w:rsid w:val="00E50B41"/>
    <w:rsid w:val="00E5219B"/>
    <w:rsid w:val="00E52D07"/>
    <w:rsid w:val="00E5518B"/>
    <w:rsid w:val="00E609FE"/>
    <w:rsid w:val="00E630BE"/>
    <w:rsid w:val="00E67E82"/>
    <w:rsid w:val="00E75920"/>
    <w:rsid w:val="00E80D96"/>
    <w:rsid w:val="00E871FA"/>
    <w:rsid w:val="00E936A4"/>
    <w:rsid w:val="00E954BB"/>
    <w:rsid w:val="00EA45E7"/>
    <w:rsid w:val="00EA741F"/>
    <w:rsid w:val="00EB78E3"/>
    <w:rsid w:val="00EB7BE3"/>
    <w:rsid w:val="00EC1C4B"/>
    <w:rsid w:val="00EC735A"/>
    <w:rsid w:val="00ED5F38"/>
    <w:rsid w:val="00EF27FE"/>
    <w:rsid w:val="00F07FB6"/>
    <w:rsid w:val="00F149D0"/>
    <w:rsid w:val="00F157B7"/>
    <w:rsid w:val="00F16B53"/>
    <w:rsid w:val="00F25ECD"/>
    <w:rsid w:val="00F318BE"/>
    <w:rsid w:val="00F33297"/>
    <w:rsid w:val="00F343FB"/>
    <w:rsid w:val="00F359FE"/>
    <w:rsid w:val="00F42159"/>
    <w:rsid w:val="00F4256E"/>
    <w:rsid w:val="00F42EE1"/>
    <w:rsid w:val="00F60F1F"/>
    <w:rsid w:val="00F61705"/>
    <w:rsid w:val="00F64141"/>
    <w:rsid w:val="00F652FD"/>
    <w:rsid w:val="00F66400"/>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4351066">
      <w:bodyDiv w:val="1"/>
      <w:marLeft w:val="0"/>
      <w:marRight w:val="0"/>
      <w:marTop w:val="0"/>
      <w:marBottom w:val="0"/>
      <w:divBdr>
        <w:top w:val="none" w:sz="0" w:space="0" w:color="auto"/>
        <w:left w:val="none" w:sz="0" w:space="0" w:color="auto"/>
        <w:bottom w:val="none" w:sz="0" w:space="0" w:color="auto"/>
        <w:right w:val="none" w:sz="0" w:space="0" w:color="auto"/>
      </w:divBdr>
    </w:div>
    <w:div w:id="139271574">
      <w:bodyDiv w:val="1"/>
      <w:marLeft w:val="0"/>
      <w:marRight w:val="0"/>
      <w:marTop w:val="0"/>
      <w:marBottom w:val="0"/>
      <w:divBdr>
        <w:top w:val="none" w:sz="0" w:space="0" w:color="auto"/>
        <w:left w:val="none" w:sz="0" w:space="0" w:color="auto"/>
        <w:bottom w:val="none" w:sz="0" w:space="0" w:color="auto"/>
        <w:right w:val="none" w:sz="0" w:space="0" w:color="auto"/>
      </w:divBdr>
    </w:div>
    <w:div w:id="19493123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501910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5629657">
      <w:bodyDiv w:val="1"/>
      <w:marLeft w:val="0"/>
      <w:marRight w:val="0"/>
      <w:marTop w:val="0"/>
      <w:marBottom w:val="0"/>
      <w:divBdr>
        <w:top w:val="none" w:sz="0" w:space="0" w:color="auto"/>
        <w:left w:val="none" w:sz="0" w:space="0" w:color="auto"/>
        <w:bottom w:val="none" w:sz="0" w:space="0" w:color="auto"/>
        <w:right w:val="none" w:sz="0" w:space="0" w:color="auto"/>
      </w:divBdr>
    </w:div>
    <w:div w:id="59456044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98688488">
      <w:bodyDiv w:val="1"/>
      <w:marLeft w:val="0"/>
      <w:marRight w:val="0"/>
      <w:marTop w:val="0"/>
      <w:marBottom w:val="0"/>
      <w:divBdr>
        <w:top w:val="none" w:sz="0" w:space="0" w:color="auto"/>
        <w:left w:val="none" w:sz="0" w:space="0" w:color="auto"/>
        <w:bottom w:val="none" w:sz="0" w:space="0" w:color="auto"/>
        <w:right w:val="none" w:sz="0" w:space="0" w:color="auto"/>
      </w:divBdr>
    </w:div>
    <w:div w:id="877667772">
      <w:bodyDiv w:val="1"/>
      <w:marLeft w:val="0"/>
      <w:marRight w:val="0"/>
      <w:marTop w:val="0"/>
      <w:marBottom w:val="0"/>
      <w:divBdr>
        <w:top w:val="none" w:sz="0" w:space="0" w:color="auto"/>
        <w:left w:val="none" w:sz="0" w:space="0" w:color="auto"/>
        <w:bottom w:val="none" w:sz="0" w:space="0" w:color="auto"/>
        <w:right w:val="none" w:sz="0" w:space="0" w:color="auto"/>
      </w:divBdr>
    </w:div>
    <w:div w:id="906695965">
      <w:bodyDiv w:val="1"/>
      <w:marLeft w:val="0"/>
      <w:marRight w:val="0"/>
      <w:marTop w:val="0"/>
      <w:marBottom w:val="0"/>
      <w:divBdr>
        <w:top w:val="none" w:sz="0" w:space="0" w:color="auto"/>
        <w:left w:val="none" w:sz="0" w:space="0" w:color="auto"/>
        <w:bottom w:val="none" w:sz="0" w:space="0" w:color="auto"/>
        <w:right w:val="none" w:sz="0" w:space="0" w:color="auto"/>
      </w:divBdr>
    </w:div>
    <w:div w:id="118544304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5309989">
      <w:bodyDiv w:val="1"/>
      <w:marLeft w:val="0"/>
      <w:marRight w:val="0"/>
      <w:marTop w:val="0"/>
      <w:marBottom w:val="0"/>
      <w:divBdr>
        <w:top w:val="none" w:sz="0" w:space="0" w:color="auto"/>
        <w:left w:val="none" w:sz="0" w:space="0" w:color="auto"/>
        <w:bottom w:val="none" w:sz="0" w:space="0" w:color="auto"/>
        <w:right w:val="none" w:sz="0" w:space="0" w:color="auto"/>
      </w:divBdr>
    </w:div>
    <w:div w:id="126487291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14516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5213415">
      <w:bodyDiv w:val="1"/>
      <w:marLeft w:val="0"/>
      <w:marRight w:val="0"/>
      <w:marTop w:val="0"/>
      <w:marBottom w:val="0"/>
      <w:divBdr>
        <w:top w:val="none" w:sz="0" w:space="0" w:color="auto"/>
        <w:left w:val="none" w:sz="0" w:space="0" w:color="auto"/>
        <w:bottom w:val="none" w:sz="0" w:space="0" w:color="auto"/>
        <w:right w:val="none" w:sz="0" w:space="0" w:color="auto"/>
      </w:divBdr>
    </w:div>
    <w:div w:id="1722944112">
      <w:bodyDiv w:val="1"/>
      <w:marLeft w:val="0"/>
      <w:marRight w:val="0"/>
      <w:marTop w:val="0"/>
      <w:marBottom w:val="0"/>
      <w:divBdr>
        <w:top w:val="none" w:sz="0" w:space="0" w:color="auto"/>
        <w:left w:val="none" w:sz="0" w:space="0" w:color="auto"/>
        <w:bottom w:val="none" w:sz="0" w:space="0" w:color="auto"/>
        <w:right w:val="none" w:sz="0" w:space="0" w:color="auto"/>
      </w:divBdr>
    </w:div>
    <w:div w:id="178298890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489971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1/1/88/26" TargetMode="External"/><Relationship Id="rId3" Type="http://schemas.openxmlformats.org/officeDocument/2006/relationships/hyperlink" Target="http://lib.eshia.ir/10081/1/85/19" TargetMode="External"/><Relationship Id="rId7" Type="http://schemas.openxmlformats.org/officeDocument/2006/relationships/hyperlink" Target="http://lib.eshia.ir/10081/1/81/6" TargetMode="External"/><Relationship Id="rId2" Type="http://schemas.openxmlformats.org/officeDocument/2006/relationships/hyperlink" Target="http://lib.eshia.ir/10081/1/81/6" TargetMode="External"/><Relationship Id="rId1" Type="http://schemas.openxmlformats.org/officeDocument/2006/relationships/hyperlink" Target="http://lib.eshia.ir/10081/1/79/&#1575;&#1604;&#1601;&#1589;&#1604;" TargetMode="External"/><Relationship Id="rId6" Type="http://schemas.openxmlformats.org/officeDocument/2006/relationships/hyperlink" Target="http://lib.eshia.ir/10081/1/87/24" TargetMode="External"/><Relationship Id="rId5" Type="http://schemas.openxmlformats.org/officeDocument/2006/relationships/hyperlink" Target="http://lib.eshia.ir/11005/5/356/&#1740;&#1601;&#1580;&#1585;" TargetMode="External"/><Relationship Id="rId4" Type="http://schemas.openxmlformats.org/officeDocument/2006/relationships/hyperlink" Target="http://lib.eshia.ir/10083/7/489/&#1578;&#1587;&#1578;&#1576;&#1585;&#157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8934-435F-4B40-8498-21F8BF3A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531</TotalTime>
  <Pages>5</Pages>
  <Words>1141</Words>
  <Characters>6510</Characters>
  <Application>Microsoft Office Word</Application>
  <DocSecurity>0</DocSecurity>
  <Lines>54</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7636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53</cp:revision>
  <cp:lastPrinted>2021-01-26T12:45:00Z</cp:lastPrinted>
  <dcterms:created xsi:type="dcterms:W3CDTF">2021-01-25T13:52:00Z</dcterms:created>
  <dcterms:modified xsi:type="dcterms:W3CDTF">2021-02-14T15:29:00Z</dcterms:modified>
  <cp:contentStatus>ویرایش 2.5</cp:contentStatus>
  <cp:version>2.7</cp:version>
</cp:coreProperties>
</file>