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93" w:rsidRDefault="008F4393" w:rsidP="008F4393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  <w:rtl/>
        </w:rPr>
        <w:t>درس خارج فقه استاد سید محمد جواد شبیری</w:t>
      </w:r>
    </w:p>
    <w:p w:rsidR="008F4393" w:rsidRDefault="008F4393" w:rsidP="008F4393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جلسه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32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7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– 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2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1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/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10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/ 1399 </w:t>
      </w:r>
      <w:r w:rsidRPr="009537D0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زمان آغاز عده وفات</w:t>
      </w:r>
      <w:r w:rsidRPr="009537D0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 xml:space="preserve"> 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/عده‌ی وفات</w:t>
      </w:r>
      <w:r w:rsidRPr="005F6BC4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/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 xml:space="preserve"> </w:t>
      </w:r>
      <w:r w:rsidRPr="005F6BC4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تکمله</w:t>
      </w:r>
      <w:r w:rsidRPr="005F6BC4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‌ی</w:t>
      </w:r>
      <w:r w:rsidRPr="005F6BC4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عروه</w:t>
      </w:r>
      <w:r w:rsidRPr="00A6366F">
        <w:rPr>
          <w:rFonts w:hint="cs"/>
          <w:rtl/>
        </w:rPr>
        <w:t xml:space="preserve"> 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/ اقوال فقها در عده</w:t>
      </w:r>
    </w:p>
    <w:p w:rsidR="008F5B4D" w:rsidRPr="009C66D5" w:rsidRDefault="008F5B4D" w:rsidP="008F5B4D">
      <w:pPr>
        <w:rPr>
          <w:rStyle w:val="Emphasis"/>
          <w:b/>
          <w:bCs w:val="0"/>
          <w:rtl/>
        </w:rPr>
      </w:pPr>
      <w:bookmarkStart w:id="0" w:name="_GoBack"/>
      <w:bookmarkEnd w:id="0"/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8B6A43" w:rsidRDefault="008B6A43" w:rsidP="008B6A43">
      <w:pPr>
        <w:pStyle w:val="Heading1"/>
        <w:rPr>
          <w:rtl/>
        </w:rPr>
      </w:pPr>
      <w:bookmarkStart w:id="1" w:name="_Toc61620240"/>
      <w:bookmarkStart w:id="2" w:name="_Toc61729926"/>
      <w:r>
        <w:rPr>
          <w:rFonts w:hint="cs"/>
          <w:rtl/>
        </w:rPr>
        <w:t>مساله</w:t>
      </w:r>
      <w:r>
        <w:rPr>
          <w:rFonts w:hint="eastAsia"/>
          <w:rtl/>
        </w:rPr>
        <w:t>‌</w:t>
      </w:r>
      <w:r>
        <w:rPr>
          <w:rFonts w:hint="cs"/>
          <w:rtl/>
        </w:rPr>
        <w:t>ی سی و هفتم تکمله</w:t>
      </w:r>
      <w:r>
        <w:rPr>
          <w:rFonts w:hint="eastAsia"/>
          <w:rtl/>
        </w:rPr>
        <w:t>‌</w:t>
      </w:r>
      <w:r>
        <w:rPr>
          <w:rFonts w:hint="cs"/>
          <w:rtl/>
        </w:rPr>
        <w:t>ی عروه</w:t>
      </w:r>
      <w:bookmarkEnd w:id="1"/>
      <w:bookmarkEnd w:id="2"/>
    </w:p>
    <w:p w:rsidR="003A6148" w:rsidRPr="008B6A43" w:rsidRDefault="008B6A43" w:rsidP="008B6A43">
      <w:pPr>
        <w:jc w:val="both"/>
        <w:rPr>
          <w:color w:val="0000FF"/>
          <w:rtl/>
        </w:rPr>
      </w:pPr>
      <w:r w:rsidRPr="000858FC">
        <w:rPr>
          <w:rFonts w:hint="cs"/>
          <w:color w:val="0000FF"/>
          <w:rtl/>
        </w:rPr>
        <w:t>مسألة 37: الظاهر عدم الفرق في الزوج بين البالغ و غيره و المجنون و العاقل</w:t>
      </w:r>
      <w:r w:rsidRPr="000858FC">
        <w:rPr>
          <w:rFonts w:hint="cs"/>
          <w:color w:val="0000FF"/>
        </w:rPr>
        <w:t>‌</w:t>
      </w:r>
      <w:r w:rsidRPr="000858FC">
        <w:rPr>
          <w:rFonts w:hint="cs"/>
          <w:color w:val="0000FF"/>
          <w:rtl/>
        </w:rPr>
        <w:t>، و أمّا الزوجة إذا كانت مجنونة أو صغيرة فعدتها من حين الوفاة لعدم الاعتبار بعلمها و عدمه فلا يجب عليهما الاعتداد بعد البلوغ و الإفاقة، و جعل المناط بلوغ الخبر إلى الولي و عدمه بعيد، مع انّ مقتضى الأصل و القاعدة كون العدة من حين تحقق السبب و أيضا لا يبعد دعوى انصراف الأخبار عنهما.</w:t>
      </w:r>
      <w:r>
        <w:rPr>
          <w:rStyle w:val="FootnoteReference"/>
          <w:color w:val="0000FF"/>
          <w:rtl/>
        </w:rPr>
        <w:footnoteReference w:id="1"/>
      </w:r>
    </w:p>
    <w:p w:rsidR="00247D2F" w:rsidRPr="003A6148" w:rsidRDefault="00247D2F" w:rsidP="00A72CAA">
      <w:pPr>
        <w:pBdr>
          <w:bottom w:val="double" w:sz="6" w:space="1" w:color="auto"/>
        </w:pBdr>
        <w:jc w:val="both"/>
      </w:pPr>
    </w:p>
    <w:p w:rsidR="008F5B4D" w:rsidRDefault="008F5B4D" w:rsidP="00A72CAA">
      <w:pPr>
        <w:jc w:val="both"/>
      </w:pPr>
    </w:p>
    <w:p w:rsidR="003E6650" w:rsidRDefault="008B6A43" w:rsidP="00A72CAA">
      <w:pPr>
        <w:jc w:val="both"/>
        <w:rPr>
          <w:rtl/>
        </w:rPr>
      </w:pPr>
      <w:r>
        <w:rPr>
          <w:rFonts w:hint="cs"/>
          <w:rtl/>
        </w:rPr>
        <w:t>عبارت مرحوم سید در مساله</w:t>
      </w:r>
      <w:r>
        <w:rPr>
          <w:rFonts w:hint="eastAsia"/>
          <w:rtl/>
        </w:rPr>
        <w:t>‌</w:t>
      </w:r>
      <w:r>
        <w:rPr>
          <w:rFonts w:hint="cs"/>
          <w:rtl/>
        </w:rPr>
        <w:t>ی سی و هفتم، ناظر به کلام صاحب جواهر می باشد.</w:t>
      </w:r>
      <w:r w:rsidR="00DA488D">
        <w:rPr>
          <w:rFonts w:hint="cs"/>
          <w:rtl/>
        </w:rPr>
        <w:t xml:space="preserve"> صاحب جواهر مناط را در مرحله</w:t>
      </w:r>
      <w:r w:rsidR="00DA488D">
        <w:rPr>
          <w:rFonts w:hint="eastAsia"/>
          <w:rtl/>
        </w:rPr>
        <w:t>‌</w:t>
      </w:r>
      <w:r w:rsidR="00DA488D">
        <w:rPr>
          <w:rFonts w:hint="cs"/>
          <w:rtl/>
        </w:rPr>
        <w:t>ی اول بلوغ خبر به ولی دانسته است. سپس بحثی را مطرح می کند که اگر خبر موت زوج به ولی زوجه نرسید، آیا بعد از بلوغ یا افاقه</w:t>
      </w:r>
      <w:r w:rsidR="00DA488D">
        <w:rPr>
          <w:rFonts w:hint="eastAsia"/>
          <w:rtl/>
        </w:rPr>
        <w:t>‌</w:t>
      </w:r>
      <w:r w:rsidR="00DA488D">
        <w:rPr>
          <w:rFonts w:hint="cs"/>
          <w:rtl/>
        </w:rPr>
        <w:t>ی</w:t>
      </w:r>
      <w:r w:rsidR="006B625C">
        <w:rPr>
          <w:rFonts w:hint="cs"/>
          <w:rtl/>
        </w:rPr>
        <w:t xml:space="preserve"> زوجه، اعتداد واجب است یا خیر؟</w:t>
      </w:r>
    </w:p>
    <w:p w:rsidR="006B625C" w:rsidRDefault="00774722" w:rsidP="00A72CAA">
      <w:pPr>
        <w:jc w:val="both"/>
        <w:rPr>
          <w:rtl/>
        </w:rPr>
      </w:pPr>
      <w:r>
        <w:rPr>
          <w:rFonts w:hint="cs"/>
          <w:rtl/>
        </w:rPr>
        <w:t>بعید نیست در صغیره و مجنون</w:t>
      </w:r>
      <w:r w:rsidR="004A5A1A">
        <w:rPr>
          <w:rFonts w:hint="cs"/>
          <w:rtl/>
        </w:rPr>
        <w:t>، ملاک</w:t>
      </w:r>
      <w:r w:rsidR="003E18D5">
        <w:rPr>
          <w:rFonts w:hint="cs"/>
          <w:rtl/>
        </w:rPr>
        <w:t>،</w:t>
      </w:r>
      <w:r>
        <w:rPr>
          <w:rFonts w:hint="cs"/>
          <w:rtl/>
        </w:rPr>
        <w:t xml:space="preserve"> بلوغ خبر به ولی باشد</w:t>
      </w:r>
      <w:r w:rsidR="00487170">
        <w:rPr>
          <w:rFonts w:hint="cs"/>
          <w:rtl/>
        </w:rPr>
        <w:t>. اگر در مورد صغیره و مجنون حداد را واجب بدانیم</w:t>
      </w:r>
      <w:r w:rsidR="00C86360">
        <w:rPr>
          <w:rFonts w:hint="cs"/>
          <w:rtl/>
        </w:rPr>
        <w:t>، مطلب روشن تر خواهد بود؛ اما اگر حداد را در صغیره و مجنون واجب ندانیم، ملاحظه</w:t>
      </w:r>
      <w:r w:rsidR="00C86360">
        <w:rPr>
          <w:rFonts w:hint="eastAsia"/>
          <w:rtl/>
        </w:rPr>
        <w:t>‌</w:t>
      </w:r>
      <w:r w:rsidR="00C86360">
        <w:rPr>
          <w:rFonts w:hint="cs"/>
          <w:rtl/>
        </w:rPr>
        <w:t>ی زمان موت یا زمان بلوغ و افاقه در شروع عده، در مساله</w:t>
      </w:r>
      <w:r w:rsidR="00C86360">
        <w:rPr>
          <w:rFonts w:hint="eastAsia"/>
          <w:rtl/>
        </w:rPr>
        <w:t>‌</w:t>
      </w:r>
      <w:r w:rsidR="00C86360">
        <w:rPr>
          <w:rFonts w:hint="cs"/>
          <w:rtl/>
        </w:rPr>
        <w:t>ی بعد بحث خواهد شد.</w:t>
      </w:r>
    </w:p>
    <w:p w:rsidR="005B6A2F" w:rsidRDefault="005B6A2F" w:rsidP="00A72CAA">
      <w:pPr>
        <w:jc w:val="both"/>
        <w:rPr>
          <w:rtl/>
        </w:rPr>
      </w:pPr>
      <w:r>
        <w:rPr>
          <w:rFonts w:hint="cs"/>
          <w:rtl/>
        </w:rPr>
        <w:t>آقای سید محمد سعید حکیم می فرماید: احوط وجوبا در مواردی که حداد واجب نیست، آغاز عده از زمان بلوغ خبر می باشد.</w:t>
      </w:r>
    </w:p>
    <w:p w:rsidR="006158C5" w:rsidRDefault="006158C5" w:rsidP="00206F9F">
      <w:pPr>
        <w:jc w:val="both"/>
        <w:rPr>
          <w:rtl/>
        </w:rPr>
      </w:pPr>
      <w:r>
        <w:rPr>
          <w:rFonts w:hint="cs"/>
          <w:rtl/>
        </w:rPr>
        <w:t>به نظر می رسد احتیاط وجوبی، خالی از وجه نیست. تناسبات حکم و موضوع اقتضا می کند که عده نگه داشتن زن، نوعی احترام گذاشتن به شوهر می باشد.</w:t>
      </w:r>
      <w:r w:rsidR="00F62425">
        <w:rPr>
          <w:rFonts w:hint="cs"/>
          <w:rtl/>
        </w:rPr>
        <w:t xml:space="preserve"> </w:t>
      </w:r>
      <w:r w:rsidR="00206F9F">
        <w:rPr>
          <w:rFonts w:hint="cs"/>
          <w:rtl/>
        </w:rPr>
        <w:t>انقضای عده</w:t>
      </w:r>
      <w:r w:rsidR="00206F9F">
        <w:rPr>
          <w:rFonts w:hint="eastAsia"/>
          <w:rtl/>
        </w:rPr>
        <w:t>‌</w:t>
      </w:r>
      <w:r w:rsidR="00206F9F">
        <w:rPr>
          <w:rFonts w:hint="cs"/>
          <w:rtl/>
        </w:rPr>
        <w:t xml:space="preserve">ی </w:t>
      </w:r>
      <w:r w:rsidR="00F62425">
        <w:rPr>
          <w:rFonts w:hint="cs"/>
          <w:rtl/>
        </w:rPr>
        <w:t xml:space="preserve">زنی که از موت شوهرش اطلاع ندارد، </w:t>
      </w:r>
      <w:r w:rsidR="00206F9F">
        <w:rPr>
          <w:rFonts w:hint="cs"/>
          <w:rtl/>
        </w:rPr>
        <w:t>دشوار است. ظاهرا ملاک این عده، رعایت احترام شوهر توسط زن می باشد.</w:t>
      </w:r>
    </w:p>
    <w:p w:rsidR="00E765A9" w:rsidRDefault="00E765A9" w:rsidP="00206F9F">
      <w:pPr>
        <w:jc w:val="both"/>
        <w:rPr>
          <w:rtl/>
        </w:rPr>
      </w:pPr>
      <w:r>
        <w:rPr>
          <w:rFonts w:hint="cs"/>
          <w:rtl/>
        </w:rPr>
        <w:t>تعلیل به حداد در روایات ناظر به یک امر ارتکازی است و بیان گر این است که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وفات به این مناط است که زن بتواند بر شوهرش سوگواری کند و ناظر به یک امر تعبدی نیست.</w:t>
      </w:r>
    </w:p>
    <w:p w:rsidR="00E765A9" w:rsidRDefault="00E765A9" w:rsidP="005F7D8C">
      <w:pPr>
        <w:jc w:val="both"/>
        <w:rPr>
          <w:rtl/>
        </w:rPr>
      </w:pPr>
      <w:r>
        <w:rPr>
          <w:rFonts w:hint="cs"/>
          <w:rtl/>
        </w:rPr>
        <w:lastRenderedPageBreak/>
        <w:t xml:space="preserve">تناسبات حکم و موضوع اقتضا می کند شارع مقدس به احترام شوهر عده را بر زن واجب کرده </w:t>
      </w:r>
      <w:r w:rsidR="005F7D8C">
        <w:rPr>
          <w:rFonts w:hint="cs"/>
          <w:rtl/>
        </w:rPr>
        <w:t>باشد</w:t>
      </w:r>
      <w:r>
        <w:rPr>
          <w:rFonts w:hint="cs"/>
          <w:rtl/>
        </w:rPr>
        <w:t>. احترام یک عنوان قصدی است و بدون قصد محقق نمی شود.</w:t>
      </w:r>
    </w:p>
    <w:p w:rsidR="002F5D08" w:rsidRDefault="002F5D08" w:rsidP="007A0E2A">
      <w:pPr>
        <w:jc w:val="both"/>
        <w:rPr>
          <w:rtl/>
        </w:rPr>
      </w:pPr>
      <w:r>
        <w:rPr>
          <w:rFonts w:hint="cs"/>
          <w:rtl/>
        </w:rPr>
        <w:t xml:space="preserve">بین اعتداد مطلقه و اعتداد متوفی عنها زوجها </w:t>
      </w:r>
      <w:r w:rsidR="007A0E2A">
        <w:rPr>
          <w:rFonts w:hint="cs"/>
          <w:rtl/>
        </w:rPr>
        <w:t>تفاوت وجود دارد</w:t>
      </w:r>
      <w:r>
        <w:rPr>
          <w:rFonts w:hint="cs"/>
          <w:rtl/>
        </w:rPr>
        <w:t>؛ عده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مطلقه برای برائت رحم می باشد تا </w:t>
      </w:r>
      <w:r w:rsidR="00497450">
        <w:rPr>
          <w:rFonts w:hint="cs"/>
          <w:rtl/>
        </w:rPr>
        <w:t>احتمال حاملگی منتفی شود که بدون اطلاع زن نیز سپری می شود؛ اما عده</w:t>
      </w:r>
      <w:r w:rsidR="00497450">
        <w:rPr>
          <w:rFonts w:hint="eastAsia"/>
          <w:rtl/>
        </w:rPr>
        <w:t>‌</w:t>
      </w:r>
      <w:r w:rsidR="00497450">
        <w:rPr>
          <w:rFonts w:hint="cs"/>
          <w:rtl/>
        </w:rPr>
        <w:t>ی وفات یک نوع حرمت نگه داشتن و احترام به شوهر است و در جایی که زن از موت شوهر بی اطلاع است</w:t>
      </w:r>
      <w:r w:rsidR="006358FC">
        <w:rPr>
          <w:rFonts w:hint="cs"/>
          <w:rtl/>
        </w:rPr>
        <w:t>، سپری نمی شود.</w:t>
      </w:r>
      <w:r w:rsidR="000B399C">
        <w:rPr>
          <w:rFonts w:hint="cs"/>
          <w:rtl/>
        </w:rPr>
        <w:t xml:space="preserve"> به همین دلیل ملاک</w:t>
      </w:r>
      <w:r w:rsidR="00423DAC">
        <w:rPr>
          <w:rFonts w:hint="cs"/>
          <w:rtl/>
        </w:rPr>
        <w:t>،</w:t>
      </w:r>
      <w:r w:rsidR="000B399C">
        <w:rPr>
          <w:rFonts w:hint="cs"/>
          <w:rtl/>
        </w:rPr>
        <w:t xml:space="preserve"> بلوغ خبر می باشد.</w:t>
      </w:r>
    </w:p>
    <w:p w:rsidR="00E50778" w:rsidRDefault="00E50778" w:rsidP="00E765A9">
      <w:pPr>
        <w:jc w:val="both"/>
        <w:rPr>
          <w:rtl/>
        </w:rPr>
      </w:pPr>
      <w:r>
        <w:rPr>
          <w:rFonts w:hint="cs"/>
          <w:rtl/>
        </w:rPr>
        <w:t xml:space="preserve">البته صاحب جواهر مقتضای اصل و قاعده را </w:t>
      </w:r>
      <w:r w:rsidR="00A5685E">
        <w:rPr>
          <w:rFonts w:hint="cs"/>
          <w:rtl/>
        </w:rPr>
        <w:t>شروع عده از حین تحقق سبب می داند و در هر موردی که در اطلاق ادله شک شود،</w:t>
      </w:r>
      <w:r w:rsidR="00614277">
        <w:rPr>
          <w:rFonts w:hint="cs"/>
          <w:rtl/>
        </w:rPr>
        <w:t xml:space="preserve"> به اصل و قاعده تمسک می کند.</w:t>
      </w:r>
    </w:p>
    <w:p w:rsidR="00614277" w:rsidRDefault="00614277" w:rsidP="00E765A9">
      <w:pPr>
        <w:jc w:val="both"/>
        <w:rPr>
          <w:rtl/>
        </w:rPr>
      </w:pPr>
      <w:r>
        <w:rPr>
          <w:rFonts w:hint="cs"/>
          <w:rtl/>
        </w:rPr>
        <w:t>با توجه به تناسبات حکم و موضوع بعید است در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وفات اصل و قاعده، شروع عده از حین وفات باشد.</w:t>
      </w:r>
      <w:r w:rsidR="00774F04">
        <w:rPr>
          <w:rFonts w:hint="cs"/>
          <w:rtl/>
        </w:rPr>
        <w:t xml:space="preserve"> ممکن است اصل و قاعده را در عده</w:t>
      </w:r>
      <w:r w:rsidR="00774F04">
        <w:rPr>
          <w:rFonts w:hint="eastAsia"/>
          <w:rtl/>
        </w:rPr>
        <w:t>‌</w:t>
      </w:r>
      <w:r w:rsidR="00774F04">
        <w:rPr>
          <w:rFonts w:hint="cs"/>
          <w:rtl/>
        </w:rPr>
        <w:t>ی وفات از حین بلوغ خبر بدانیم.</w:t>
      </w:r>
    </w:p>
    <w:p w:rsidR="009D5F61" w:rsidRPr="001A27D7" w:rsidRDefault="009D5F61" w:rsidP="009D5F61">
      <w:pPr>
        <w:pStyle w:val="Heading1"/>
        <w:rPr>
          <w:rtl/>
        </w:rPr>
      </w:pPr>
      <w:bookmarkStart w:id="3" w:name="_Toc61729927"/>
      <w:r>
        <w:rPr>
          <w:rFonts w:hint="cs"/>
          <w:rtl/>
        </w:rPr>
        <w:t>مساله</w:t>
      </w:r>
      <w:r>
        <w:rPr>
          <w:rFonts w:hint="eastAsia"/>
          <w:rtl/>
        </w:rPr>
        <w:t>‌</w:t>
      </w:r>
      <w:r>
        <w:rPr>
          <w:rFonts w:hint="cs"/>
          <w:rtl/>
        </w:rPr>
        <w:t>ی سی و هشتم تکمله</w:t>
      </w:r>
      <w:r>
        <w:rPr>
          <w:rFonts w:hint="eastAsia"/>
          <w:rtl/>
        </w:rPr>
        <w:t>‌</w:t>
      </w:r>
      <w:r>
        <w:rPr>
          <w:rFonts w:hint="cs"/>
          <w:rtl/>
        </w:rPr>
        <w:t>ی عروه</w:t>
      </w:r>
      <w:bookmarkEnd w:id="3"/>
    </w:p>
    <w:p w:rsidR="00A72CAA" w:rsidRPr="00A72CAA" w:rsidRDefault="00A72CAA" w:rsidP="00A72CAA">
      <w:pPr>
        <w:jc w:val="both"/>
        <w:rPr>
          <w:color w:val="0000FF"/>
          <w:rtl/>
        </w:rPr>
      </w:pPr>
      <w:r w:rsidRPr="00A72CAA">
        <w:rPr>
          <w:rFonts w:hint="cs"/>
          <w:color w:val="0000FF"/>
          <w:rtl/>
        </w:rPr>
        <w:t>مسألة 38: التفصيل المذكور مختص بالزوجة</w:t>
      </w:r>
      <w:r w:rsidRPr="00A72CAA">
        <w:rPr>
          <w:rFonts w:hint="cs"/>
          <w:color w:val="0000FF"/>
        </w:rPr>
        <w:t>‌</w:t>
      </w:r>
      <w:r w:rsidRPr="00A72CAA">
        <w:rPr>
          <w:rFonts w:hint="cs"/>
          <w:color w:val="0000FF"/>
          <w:rtl/>
        </w:rPr>
        <w:t xml:space="preserve"> فلا يشمل أم الولد التي مات سيدها، و لا الأمة المحللة إذا مات المحلل له، بناء على وجوب العدة عليها بموته، ثمّ انّ الزوجة منصرفة إلى الدائمة فشمول الحكم للمنقطعة مشكل خصوصا إذا قلنا بعدم وجوب الحداد عليها.</w:t>
      </w:r>
      <w:r>
        <w:rPr>
          <w:rStyle w:val="FootnoteReference"/>
          <w:color w:val="0000FF"/>
          <w:rtl/>
        </w:rPr>
        <w:footnoteReference w:id="2"/>
      </w:r>
    </w:p>
    <w:p w:rsidR="001A1EA5" w:rsidRDefault="00B962FF" w:rsidP="00A72CAA">
      <w:pPr>
        <w:jc w:val="both"/>
        <w:rPr>
          <w:rtl/>
        </w:rPr>
      </w:pPr>
      <w:r>
        <w:rPr>
          <w:rFonts w:hint="cs"/>
          <w:rtl/>
        </w:rPr>
        <w:t xml:space="preserve">مرحوم سید یزدی می فرماید: تفصیل بین حاضر و غائب </w:t>
      </w:r>
      <w:r w:rsidR="0027586A">
        <w:rPr>
          <w:rFonts w:hint="cs"/>
          <w:rtl/>
        </w:rPr>
        <w:t>مختص به زوجه می باشد و شامل ام ولدی که سیدش می میرد و باید عده نگه دارد و همچنین امه</w:t>
      </w:r>
      <w:r w:rsidR="0027586A">
        <w:rPr>
          <w:rFonts w:hint="eastAsia"/>
          <w:rtl/>
        </w:rPr>
        <w:t>‌</w:t>
      </w:r>
      <w:r w:rsidR="0027586A">
        <w:rPr>
          <w:rFonts w:hint="cs"/>
          <w:rtl/>
        </w:rPr>
        <w:t>ی محلله ای که محلل له از دنیا رفته باشد ( بنا بر این که بر امه</w:t>
      </w:r>
      <w:r w:rsidR="0027586A">
        <w:rPr>
          <w:rFonts w:hint="eastAsia"/>
          <w:rtl/>
        </w:rPr>
        <w:t>‌</w:t>
      </w:r>
      <w:r w:rsidR="0027586A">
        <w:rPr>
          <w:rFonts w:hint="cs"/>
          <w:rtl/>
        </w:rPr>
        <w:t>ی محلله عده واجب باشد)</w:t>
      </w:r>
      <w:r w:rsidR="00F93067">
        <w:rPr>
          <w:rFonts w:hint="cs"/>
          <w:rtl/>
        </w:rPr>
        <w:t>، نمی شود و در این موارد آغاز عده از زمان وفات سید و محلل له می باشد.</w:t>
      </w:r>
    </w:p>
    <w:p w:rsidR="00380268" w:rsidRDefault="00380268" w:rsidP="00A72CAA">
      <w:pPr>
        <w:jc w:val="both"/>
        <w:rPr>
          <w:rtl/>
        </w:rPr>
      </w:pPr>
      <w:r>
        <w:rPr>
          <w:rFonts w:hint="cs"/>
          <w:rtl/>
        </w:rPr>
        <w:t>وجهی که صاحب جواهر بیان کرده است تمسک به اصل و قاعده است که آغاز عده از حین تحقق سبب است</w:t>
      </w:r>
      <w:r w:rsidR="006D0AD4">
        <w:rPr>
          <w:rFonts w:hint="cs"/>
          <w:rtl/>
        </w:rPr>
        <w:t>.</w:t>
      </w:r>
    </w:p>
    <w:p w:rsidR="006D0AD4" w:rsidRDefault="006D0AD4" w:rsidP="00A72CAA">
      <w:pPr>
        <w:jc w:val="both"/>
        <w:rPr>
          <w:rtl/>
        </w:rPr>
      </w:pPr>
      <w:r>
        <w:rPr>
          <w:rFonts w:hint="cs"/>
          <w:rtl/>
        </w:rPr>
        <w:t>گفتیم در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وفات نمی توان گفت اصل و قاعده، شروع عده از حین وفات باشد.</w:t>
      </w:r>
    </w:p>
    <w:p w:rsidR="002563E1" w:rsidRDefault="002563E1" w:rsidP="00A72CAA">
      <w:pPr>
        <w:jc w:val="both"/>
        <w:rPr>
          <w:rtl/>
        </w:rPr>
      </w:pPr>
      <w:r>
        <w:rPr>
          <w:rFonts w:hint="cs"/>
          <w:rtl/>
        </w:rPr>
        <w:t>در ام ولد نیز ممکن است گفته شود،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وفات از حین بلوغ خبر باشد؛ زیرا عده اش به جهت احترام به سید می باشد. به همین دلیل احتیاط در چنین مواردی بعید نیست.</w:t>
      </w:r>
    </w:p>
    <w:p w:rsidR="00A72CAA" w:rsidRDefault="00BA7C38" w:rsidP="00A72CAA">
      <w:pPr>
        <w:jc w:val="both"/>
        <w:rPr>
          <w:rtl/>
        </w:rPr>
      </w:pPr>
      <w:r>
        <w:rPr>
          <w:rFonts w:hint="cs"/>
          <w:rtl/>
        </w:rPr>
        <w:t xml:space="preserve">سپس مرحوم سید می فرماید: </w:t>
      </w:r>
      <w:r w:rsidR="00715E8C">
        <w:rPr>
          <w:rFonts w:hint="cs"/>
          <w:rtl/>
        </w:rPr>
        <w:t>زوجه به زوجه</w:t>
      </w:r>
      <w:r w:rsidR="00715E8C">
        <w:rPr>
          <w:rFonts w:hint="eastAsia"/>
          <w:rtl/>
        </w:rPr>
        <w:t>‌</w:t>
      </w:r>
      <w:r w:rsidR="00715E8C">
        <w:rPr>
          <w:rFonts w:hint="cs"/>
          <w:rtl/>
        </w:rPr>
        <w:t>ی دائم انصراف دارد؛ در نتیجه شمول حکم نسبت به زوجه</w:t>
      </w:r>
      <w:r w:rsidR="00715E8C">
        <w:rPr>
          <w:rFonts w:hint="eastAsia"/>
          <w:rtl/>
        </w:rPr>
        <w:t>‌</w:t>
      </w:r>
      <w:r w:rsidR="00715E8C">
        <w:rPr>
          <w:rFonts w:hint="cs"/>
          <w:rtl/>
        </w:rPr>
        <w:t xml:space="preserve">ی منقطعه </w:t>
      </w:r>
      <w:r w:rsidR="00BD4DC1">
        <w:rPr>
          <w:rFonts w:hint="cs"/>
          <w:rtl/>
        </w:rPr>
        <w:t>مشکل است؛ به خصوص اگر حداد را در منقطعه واجب ندانیم.</w:t>
      </w:r>
    </w:p>
    <w:p w:rsidR="00BF2EBE" w:rsidRDefault="00BF2EBE" w:rsidP="00A72CAA">
      <w:pPr>
        <w:jc w:val="both"/>
        <w:rPr>
          <w:rtl/>
        </w:rPr>
      </w:pPr>
      <w:r>
        <w:rPr>
          <w:rFonts w:hint="cs"/>
          <w:rtl/>
        </w:rPr>
        <w:lastRenderedPageBreak/>
        <w:t>دو مرحله بحث در این مورد وجود دارد:</w:t>
      </w:r>
    </w:p>
    <w:p w:rsidR="00BF2EBE" w:rsidRDefault="00BF2EBE" w:rsidP="00BF2EBE">
      <w:pPr>
        <w:pStyle w:val="ListParagraph"/>
        <w:numPr>
          <w:ilvl w:val="0"/>
          <w:numId w:val="16"/>
        </w:numPr>
        <w:jc w:val="both"/>
        <w:rPr>
          <w:rtl/>
        </w:rPr>
      </w:pPr>
      <w:r>
        <w:rPr>
          <w:rFonts w:hint="cs"/>
          <w:rtl/>
        </w:rPr>
        <w:t>آیا زوجه منصف به دائمه است؟</w:t>
      </w:r>
    </w:p>
    <w:p w:rsidR="00A72CAA" w:rsidRDefault="00BF2EBE" w:rsidP="00A72CAA">
      <w:pPr>
        <w:jc w:val="both"/>
        <w:rPr>
          <w:rtl/>
        </w:rPr>
      </w:pPr>
      <w:r>
        <w:rPr>
          <w:rFonts w:hint="cs"/>
          <w:rtl/>
        </w:rPr>
        <w:t>این بحث در کلام فقها مطرح شده است.</w:t>
      </w:r>
    </w:p>
    <w:p w:rsidR="00BF2EBE" w:rsidRDefault="00A163D7" w:rsidP="00A72CAA">
      <w:pPr>
        <w:jc w:val="both"/>
        <w:rPr>
          <w:rtl/>
        </w:rPr>
      </w:pPr>
      <w:r>
        <w:rPr>
          <w:rFonts w:hint="cs"/>
          <w:rtl/>
        </w:rPr>
        <w:t>صاحب مدارک احتمال انصراف را مطرح کرده است:</w:t>
      </w:r>
    </w:p>
    <w:p w:rsidR="00A163D7" w:rsidRPr="00A163D7" w:rsidRDefault="00A163D7" w:rsidP="00A163D7">
      <w:pPr>
        <w:jc w:val="both"/>
        <w:rPr>
          <w:color w:val="000080"/>
        </w:rPr>
      </w:pPr>
      <w:r w:rsidRPr="00A163D7">
        <w:rPr>
          <w:rFonts w:hint="cs"/>
          <w:color w:val="000080"/>
          <w:rtl/>
        </w:rPr>
        <w:t>و يحتمل اختصاصه بالدائم، لأنها التي ينصرف إليها الذهن عند الإطلاق.</w:t>
      </w:r>
      <w:r>
        <w:rPr>
          <w:rStyle w:val="FootnoteReference"/>
          <w:color w:val="000080"/>
          <w:rtl/>
        </w:rPr>
        <w:footnoteReference w:id="3"/>
      </w:r>
    </w:p>
    <w:p w:rsidR="00A163D7" w:rsidRDefault="00F07E9D" w:rsidP="00A72CAA">
      <w:pPr>
        <w:jc w:val="both"/>
        <w:rPr>
          <w:rtl/>
        </w:rPr>
      </w:pPr>
      <w:r>
        <w:rPr>
          <w:rFonts w:hint="cs"/>
          <w:rtl/>
        </w:rPr>
        <w:t>آقا جمال خوانساری می فرماید:</w:t>
      </w:r>
    </w:p>
    <w:p w:rsidR="00F07E9D" w:rsidRPr="00F07E9D" w:rsidRDefault="00F07E9D" w:rsidP="00F07E9D">
      <w:pPr>
        <w:jc w:val="both"/>
        <w:rPr>
          <w:color w:val="000080"/>
        </w:rPr>
      </w:pPr>
      <w:r w:rsidRPr="00F07E9D">
        <w:rPr>
          <w:rFonts w:hint="cs"/>
          <w:color w:val="000080"/>
          <w:rtl/>
        </w:rPr>
        <w:t>و للتامّل فيه مجال اذ المتبادر منه عرفا هو الدائم</w:t>
      </w:r>
      <w:r>
        <w:rPr>
          <w:rStyle w:val="FootnoteReference"/>
          <w:color w:val="000080"/>
          <w:rtl/>
        </w:rPr>
        <w:footnoteReference w:id="4"/>
      </w:r>
    </w:p>
    <w:p w:rsidR="00F07E9D" w:rsidRDefault="001138AE" w:rsidP="00A72CAA">
      <w:pPr>
        <w:jc w:val="both"/>
        <w:rPr>
          <w:rtl/>
        </w:rPr>
      </w:pPr>
      <w:r>
        <w:rPr>
          <w:rFonts w:hint="cs"/>
          <w:rtl/>
        </w:rPr>
        <w:t>صاحب ریاض می فرماید:</w:t>
      </w:r>
    </w:p>
    <w:p w:rsidR="001138AE" w:rsidRPr="001138AE" w:rsidRDefault="001138AE" w:rsidP="001138AE">
      <w:pPr>
        <w:jc w:val="both"/>
        <w:rPr>
          <w:color w:val="000080"/>
        </w:rPr>
      </w:pPr>
      <w:r w:rsidRPr="001138AE">
        <w:rPr>
          <w:rFonts w:hint="cs"/>
          <w:color w:val="000080"/>
          <w:rtl/>
        </w:rPr>
        <w:t>لعدم انصراف الإطلاق إلى نحو المتمتع بها</w:t>
      </w:r>
      <w:r>
        <w:rPr>
          <w:rStyle w:val="FootnoteReference"/>
          <w:color w:val="000080"/>
          <w:rtl/>
        </w:rPr>
        <w:footnoteReference w:id="5"/>
      </w:r>
    </w:p>
    <w:p w:rsidR="001138AE" w:rsidRDefault="00C14F12" w:rsidP="00A72CAA">
      <w:pPr>
        <w:jc w:val="both"/>
        <w:rPr>
          <w:rtl/>
        </w:rPr>
      </w:pPr>
      <w:r>
        <w:rPr>
          <w:rFonts w:hint="cs"/>
          <w:rtl/>
        </w:rPr>
        <w:t>در غنائم الایام می فرماید:</w:t>
      </w:r>
    </w:p>
    <w:p w:rsidR="00C64CA3" w:rsidRPr="00C64CA3" w:rsidRDefault="00C64CA3" w:rsidP="00C64CA3">
      <w:pPr>
        <w:jc w:val="both"/>
        <w:rPr>
          <w:color w:val="000080"/>
        </w:rPr>
      </w:pPr>
      <w:r w:rsidRPr="00C64CA3">
        <w:rPr>
          <w:rFonts w:hint="cs"/>
          <w:color w:val="000080"/>
          <w:rtl/>
        </w:rPr>
        <w:t>إنّ إطلاق النصّ و الفتوى يقتضي عدم الفرق بين الدائمة و المنقطعة، و الحرة و الأمة، و المطيعة و الناشزة، و التعليل بوجوب المؤنة عليل، فلا يضرّ النشوز في ذلك. نعم يمكن منع انصراف المنقطعة من إطلاق النصّ</w:t>
      </w:r>
      <w:r>
        <w:rPr>
          <w:rStyle w:val="FootnoteReference"/>
          <w:color w:val="000080"/>
          <w:rtl/>
        </w:rPr>
        <w:footnoteReference w:id="6"/>
      </w:r>
    </w:p>
    <w:p w:rsidR="00C14F12" w:rsidRDefault="00F71B58" w:rsidP="00A72CAA">
      <w:pPr>
        <w:jc w:val="both"/>
        <w:rPr>
          <w:rtl/>
        </w:rPr>
      </w:pPr>
      <w:r>
        <w:rPr>
          <w:rFonts w:hint="cs"/>
          <w:rtl/>
        </w:rPr>
        <w:t>در کلام سایر فقها نیز به این بحث اشاره شده است.</w:t>
      </w:r>
      <w:r>
        <w:rPr>
          <w:rStyle w:val="FootnoteReference"/>
          <w:rtl/>
        </w:rPr>
        <w:footnoteReference w:id="7"/>
      </w:r>
    </w:p>
    <w:p w:rsidR="00A72CAA" w:rsidRDefault="00EF2297" w:rsidP="00A72CAA">
      <w:pPr>
        <w:jc w:val="both"/>
        <w:rPr>
          <w:rtl/>
        </w:rPr>
      </w:pPr>
      <w:r>
        <w:rPr>
          <w:rFonts w:hint="cs"/>
          <w:rtl/>
        </w:rPr>
        <w:t>در بعضی کتب تصریح به عدم انصراف شده است.</w:t>
      </w:r>
      <w:r>
        <w:rPr>
          <w:rStyle w:val="FootnoteReference"/>
          <w:rtl/>
        </w:rPr>
        <w:footnoteReference w:id="8"/>
      </w:r>
    </w:p>
    <w:p w:rsidR="00A72CAA" w:rsidRDefault="008D2984" w:rsidP="00A72CAA">
      <w:pPr>
        <w:jc w:val="both"/>
        <w:rPr>
          <w:rtl/>
        </w:rPr>
      </w:pPr>
      <w:r>
        <w:rPr>
          <w:rFonts w:hint="cs"/>
          <w:rtl/>
        </w:rPr>
        <w:lastRenderedPageBreak/>
        <w:t>کلید واژه</w:t>
      </w:r>
      <w:r>
        <w:rPr>
          <w:rFonts w:hint="eastAsia"/>
          <w:rtl/>
        </w:rPr>
        <w:t>‌</w:t>
      </w:r>
      <w:r>
        <w:rPr>
          <w:rFonts w:hint="cs"/>
          <w:rtl/>
        </w:rPr>
        <w:t>ی «بین الدائم» برای جستجوی کلام فقها مناسب است.</w:t>
      </w:r>
    </w:p>
    <w:p w:rsidR="00A72CAA" w:rsidRDefault="008D2984" w:rsidP="00A72CAA">
      <w:pPr>
        <w:jc w:val="both"/>
        <w:rPr>
          <w:rtl/>
        </w:rPr>
      </w:pPr>
      <w:r>
        <w:rPr>
          <w:rFonts w:hint="cs"/>
          <w:rtl/>
        </w:rPr>
        <w:t>آیت الله والد در کتاب نکاح جلد یازدهم درس شماره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433 این بحث را مطرح کرده و وجه انصراف را بیان کرده است و در نهایت عدم انصراف را اختیار کرده است. این بحث ایشان را </w:t>
      </w:r>
      <w:r w:rsidR="00322ABB">
        <w:rPr>
          <w:rFonts w:hint="cs"/>
          <w:rtl/>
        </w:rPr>
        <w:t>در مجله</w:t>
      </w:r>
      <w:r w:rsidR="00322ABB">
        <w:rPr>
          <w:rFonts w:hint="eastAsia"/>
          <w:rtl/>
        </w:rPr>
        <w:t>‌</w:t>
      </w:r>
      <w:r w:rsidR="00322ABB">
        <w:rPr>
          <w:rFonts w:hint="cs"/>
          <w:rtl/>
        </w:rPr>
        <w:t>ی فقه اهل بیت شماره</w:t>
      </w:r>
      <w:r w:rsidR="00322ABB">
        <w:rPr>
          <w:rFonts w:hint="eastAsia"/>
          <w:rtl/>
        </w:rPr>
        <w:t>‌</w:t>
      </w:r>
      <w:r w:rsidR="00322ABB">
        <w:rPr>
          <w:rFonts w:hint="cs"/>
          <w:rtl/>
        </w:rPr>
        <w:t>ی 56، صفحه</w:t>
      </w:r>
      <w:r w:rsidR="00322ABB">
        <w:rPr>
          <w:rFonts w:hint="eastAsia"/>
          <w:rtl/>
        </w:rPr>
        <w:t>‌</w:t>
      </w:r>
      <w:r w:rsidR="00322ABB">
        <w:rPr>
          <w:rFonts w:hint="cs"/>
          <w:rtl/>
        </w:rPr>
        <w:t>ی 25 در مقاله ای که در مورد تزویج اهل کتاب است، بیان کرده ام.</w:t>
      </w:r>
    </w:p>
    <w:p w:rsidR="00322ABB" w:rsidRDefault="00322ABB" w:rsidP="00322ABB">
      <w:pPr>
        <w:jc w:val="both"/>
        <w:rPr>
          <w:rtl/>
        </w:rPr>
      </w:pPr>
      <w:r>
        <w:rPr>
          <w:rFonts w:hint="cs"/>
          <w:rtl/>
        </w:rPr>
        <w:t>آیت الله والد به خاطر روایت بزنطی عدم انصراف را اختیار کرده است؛ اما مشکل است از روایت بزنطی عدم انصراف را نتیجه گرفت. این روایت در مورد آیه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</w:t>
      </w:r>
      <w:r>
        <w:rPr>
          <w:rFonts w:cs="Calibri"/>
          <w:rtl/>
        </w:rPr>
        <w:t>﴿</w:t>
      </w:r>
      <w:r w:rsidRPr="00322ABB">
        <w:rPr>
          <w:rFonts w:hint="cs"/>
          <w:color w:val="008000"/>
          <w:rtl/>
        </w:rPr>
        <w:t>فَانْكِحُوهُنَّ بِإِذْنِ أَهْلِهِ</w:t>
      </w:r>
      <w:r>
        <w:rPr>
          <w:rFonts w:hint="cs"/>
          <w:color w:val="008000"/>
          <w:rtl/>
        </w:rPr>
        <w:t>ن</w:t>
      </w:r>
      <w:r w:rsidRPr="00322ABB">
        <w:rPr>
          <w:rFonts w:cs="Calibri"/>
          <w:color w:val="008000"/>
          <w:rtl/>
        </w:rPr>
        <w:t>﴾</w:t>
      </w:r>
      <w:r>
        <w:rPr>
          <w:rFonts w:hint="cs"/>
          <w:rtl/>
        </w:rPr>
        <w:t xml:space="preserve"> می باشد. در این آیه خصوصیاتی هست که نمی تواند شامل نکاح موقت نشود. معلوم نیست استدلال به اطلاق آیه باشد؛ ممکن است استدلال به خاطر خصوصیات محفوف به این کلام باشد.</w:t>
      </w:r>
    </w:p>
    <w:p w:rsidR="00F02710" w:rsidRDefault="00F02710" w:rsidP="00322ABB">
      <w:pPr>
        <w:jc w:val="both"/>
        <w:rPr>
          <w:rtl/>
        </w:rPr>
      </w:pPr>
      <w:r>
        <w:rPr>
          <w:rFonts w:hint="cs"/>
          <w:rtl/>
        </w:rPr>
        <w:t>انصراف و عدم انصرا</w:t>
      </w:r>
      <w:r w:rsidR="00EB529E">
        <w:rPr>
          <w:rFonts w:hint="cs"/>
          <w:rtl/>
        </w:rPr>
        <w:t>ف، تابع تناسبات حکم و موضوع است؛ یعنی نمی توان به طور کلی حکم به انصراف یا عدم انصراف کرد.</w:t>
      </w:r>
      <w:r w:rsidR="00A32960">
        <w:rPr>
          <w:rFonts w:hint="cs"/>
          <w:rtl/>
        </w:rPr>
        <w:t xml:space="preserve"> در ما نحن فیه اگر حداد را بر زوجه</w:t>
      </w:r>
      <w:r w:rsidR="00A32960">
        <w:rPr>
          <w:rFonts w:hint="eastAsia"/>
          <w:rtl/>
        </w:rPr>
        <w:t>‌</w:t>
      </w:r>
      <w:r w:rsidR="00A32960">
        <w:rPr>
          <w:rFonts w:hint="cs"/>
          <w:rtl/>
        </w:rPr>
        <w:t>ی متمتع بها واجب بدانیم</w:t>
      </w:r>
      <w:r w:rsidR="00482C96">
        <w:rPr>
          <w:rFonts w:hint="cs"/>
          <w:rtl/>
        </w:rPr>
        <w:t>، وجه قابل توجهی برای انصراف از زوجه</w:t>
      </w:r>
      <w:r w:rsidR="00482C96">
        <w:rPr>
          <w:rFonts w:hint="eastAsia"/>
          <w:rtl/>
        </w:rPr>
        <w:t>‌</w:t>
      </w:r>
      <w:r w:rsidR="00482C96">
        <w:rPr>
          <w:rFonts w:hint="cs"/>
          <w:rtl/>
        </w:rPr>
        <w:t>ی متمتعه بها نداریم.</w:t>
      </w:r>
    </w:p>
    <w:p w:rsidR="005D67D8" w:rsidRDefault="00E94872" w:rsidP="00322ABB">
      <w:pPr>
        <w:jc w:val="both"/>
        <w:rPr>
          <w:rtl/>
        </w:rPr>
      </w:pPr>
      <w:r>
        <w:rPr>
          <w:rFonts w:hint="cs"/>
          <w:rtl/>
        </w:rPr>
        <w:t>مرحوم سید می فرماید حتی اگر قائل به وجوب حداد شویم، ممکن است مبدا عده را وفات زوج بدانیم</w:t>
      </w:r>
      <w:r w:rsidR="00707BDD">
        <w:rPr>
          <w:rFonts w:hint="cs"/>
          <w:rtl/>
        </w:rPr>
        <w:t>.</w:t>
      </w:r>
    </w:p>
    <w:p w:rsidR="00707BDD" w:rsidRDefault="00707BDD" w:rsidP="00322ABB">
      <w:pPr>
        <w:jc w:val="both"/>
        <w:rPr>
          <w:rtl/>
        </w:rPr>
      </w:pPr>
      <w:r>
        <w:rPr>
          <w:rFonts w:hint="cs"/>
          <w:rtl/>
        </w:rPr>
        <w:t>اما مشکل است کلام مرحوم سید را بپذیریم.</w:t>
      </w:r>
    </w:p>
    <w:p w:rsidR="00707BDD" w:rsidRDefault="00707BDD" w:rsidP="00322ABB">
      <w:pPr>
        <w:jc w:val="both"/>
        <w:rPr>
          <w:rtl/>
        </w:rPr>
      </w:pPr>
      <w:r>
        <w:rPr>
          <w:rFonts w:hint="cs"/>
          <w:rtl/>
        </w:rPr>
        <w:t>اگر حداد را بر زوجه</w:t>
      </w:r>
      <w:r>
        <w:rPr>
          <w:rFonts w:hint="eastAsia"/>
          <w:rtl/>
        </w:rPr>
        <w:t>‌</w:t>
      </w:r>
      <w:r>
        <w:rPr>
          <w:rFonts w:hint="cs"/>
          <w:rtl/>
        </w:rPr>
        <w:t>ی متمتمع بها واجب ندانیم، باز هم وجوب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وفات برای احترام و حرمت نگه داشتن برای شوهر است</w:t>
      </w:r>
      <w:r w:rsidR="0049539A">
        <w:rPr>
          <w:rFonts w:hint="cs"/>
          <w:rtl/>
        </w:rPr>
        <w:t>؛ گر چه شارع حداد را به دلایلی واجب نکرده است؛ اما نفس عده و عدم ازدواج در ایام عده، نوعی احترام به شوهر است که نیازمند قصد زن می باشد.</w:t>
      </w:r>
      <w:r w:rsidR="00E95E2E">
        <w:rPr>
          <w:rFonts w:hint="cs"/>
          <w:rtl/>
        </w:rPr>
        <w:t xml:space="preserve"> در نتیجه آغاز عده از هنگام بلوغ خبر می باشد.</w:t>
      </w:r>
    </w:p>
    <w:p w:rsidR="00CF61A8" w:rsidRDefault="00CF61A8" w:rsidP="004209F7">
      <w:pPr>
        <w:jc w:val="both"/>
        <w:rPr>
          <w:rtl/>
        </w:rPr>
      </w:pPr>
      <w:r>
        <w:rPr>
          <w:rFonts w:hint="cs"/>
          <w:rtl/>
        </w:rPr>
        <w:t>در جایی که زن اصلا از موت شوهرش اطلاع ندارد، نمی توان گفت عده خود به خود سپری می شود؛ اگر نگوییم اقوی، می توان گفت احتیاط این است که</w:t>
      </w:r>
      <w:r w:rsidR="004209F7" w:rsidRPr="004209F7">
        <w:rPr>
          <w:rFonts w:hint="cs"/>
          <w:rtl/>
        </w:rPr>
        <w:t xml:space="preserve"> </w:t>
      </w:r>
      <w:r w:rsidR="004209F7">
        <w:rPr>
          <w:rFonts w:hint="cs"/>
          <w:rtl/>
        </w:rPr>
        <w:t>زن باید</w:t>
      </w:r>
      <w:r>
        <w:rPr>
          <w:rFonts w:hint="cs"/>
          <w:rtl/>
        </w:rPr>
        <w:t xml:space="preserve"> از زمان بلوغ خبر عده نگه دارد.</w:t>
      </w:r>
      <w:r w:rsidR="00F8436D">
        <w:rPr>
          <w:rFonts w:hint="cs"/>
          <w:rtl/>
        </w:rPr>
        <w:t xml:space="preserve"> فتوای به این مطلب هم بعید نیست.</w:t>
      </w:r>
    </w:p>
    <w:p w:rsidR="00116ED4" w:rsidRDefault="00D2580C" w:rsidP="00322ABB">
      <w:pPr>
        <w:jc w:val="both"/>
        <w:rPr>
          <w:rtl/>
        </w:rPr>
      </w:pPr>
      <w:r>
        <w:rPr>
          <w:rFonts w:hint="cs"/>
          <w:rtl/>
        </w:rPr>
        <w:t>تعلیل ها اشاره به نکات ارتکازی هستند. ممکن است از تعلیل یک نکته</w:t>
      </w:r>
      <w:r>
        <w:rPr>
          <w:rFonts w:hint="eastAsia"/>
          <w:rtl/>
        </w:rPr>
        <w:t>‌</w:t>
      </w:r>
      <w:r>
        <w:rPr>
          <w:rFonts w:hint="cs"/>
          <w:rtl/>
        </w:rPr>
        <w:t>ی ارتکازی برداشت کنیم که آن نکته در دلیل توسعه ای بدهد؛ حتی در مواردی که علت نباشد ( و حکمت باشد) نیز آن نکته</w:t>
      </w:r>
      <w:r>
        <w:rPr>
          <w:rFonts w:hint="eastAsia"/>
          <w:rtl/>
        </w:rPr>
        <w:t>‌</w:t>
      </w:r>
      <w:r>
        <w:rPr>
          <w:rFonts w:hint="cs"/>
          <w:rtl/>
        </w:rPr>
        <w:t>ی ارتکازی ممکن است وجود داشته باشد.</w:t>
      </w:r>
    </w:p>
    <w:p w:rsidR="00F0220C" w:rsidRDefault="00F0220C" w:rsidP="00322ABB">
      <w:pPr>
        <w:jc w:val="both"/>
        <w:rPr>
          <w:rtl/>
        </w:rPr>
      </w:pPr>
      <w:r>
        <w:rPr>
          <w:rFonts w:hint="cs"/>
          <w:rtl/>
        </w:rPr>
        <w:lastRenderedPageBreak/>
        <w:t>تعلیل به حداد اشاره می کند که علت عده نگه داشتن زن، حرمت نگه داشتن برای مرد است.</w:t>
      </w:r>
      <w:r w:rsidR="009F3E0A">
        <w:rPr>
          <w:rFonts w:hint="cs"/>
          <w:rtl/>
        </w:rPr>
        <w:t xml:space="preserve"> وجوب حداد نشان گر این است که شارع مقدس حقی برای شوهر بر عهده</w:t>
      </w:r>
      <w:r w:rsidR="009F3E0A">
        <w:rPr>
          <w:rFonts w:hint="eastAsia"/>
          <w:rtl/>
        </w:rPr>
        <w:t>‌</w:t>
      </w:r>
      <w:r w:rsidR="009F3E0A">
        <w:rPr>
          <w:rFonts w:hint="cs"/>
          <w:rtl/>
        </w:rPr>
        <w:t>ی زن قرار داده است و در ایام عده این حق اعمال می شود.</w:t>
      </w:r>
    </w:p>
    <w:p w:rsidR="003C779B" w:rsidRDefault="003C779B" w:rsidP="00322ABB">
      <w:pPr>
        <w:jc w:val="both"/>
        <w:rPr>
          <w:rtl/>
        </w:rPr>
      </w:pPr>
      <w:r>
        <w:rPr>
          <w:rFonts w:hint="cs"/>
          <w:rtl/>
        </w:rPr>
        <w:t>البته جنبه</w:t>
      </w:r>
      <w:r>
        <w:rPr>
          <w:rFonts w:hint="eastAsia"/>
          <w:rtl/>
        </w:rPr>
        <w:t>‌</w:t>
      </w:r>
      <w:r>
        <w:rPr>
          <w:rFonts w:hint="cs"/>
          <w:rtl/>
        </w:rPr>
        <w:t>ی تعبد را به طور کلی نفی نمی کنیم؛ شارع مقدس در ایام عده</w:t>
      </w:r>
      <w:r w:rsidR="00E4692C">
        <w:rPr>
          <w:rFonts w:hint="cs"/>
          <w:rtl/>
        </w:rPr>
        <w:t>،</w:t>
      </w:r>
      <w:r>
        <w:rPr>
          <w:rFonts w:hint="cs"/>
          <w:rtl/>
        </w:rPr>
        <w:t xml:space="preserve"> حداد را نیز لازم دانسته است.</w:t>
      </w:r>
      <w:r w:rsidR="00E4692C">
        <w:rPr>
          <w:rFonts w:hint="cs"/>
          <w:rtl/>
        </w:rPr>
        <w:t xml:space="preserve"> یعنی احترامی که شوهر بر زن دارد، باعث می شود که عده نگه دارد و زن باید در این ایام حداد کند؛ البته این اقتضا، شرعی است و باعث می شود شارع مقدس عده را از زمان بلوغ خبر ملاحظه کند؛ زیرا می خواهد مبدا عده و حداد یک زمان باشد.</w:t>
      </w:r>
    </w:p>
    <w:p w:rsidR="003C779B" w:rsidRDefault="000B4A71" w:rsidP="00345D70">
      <w:pPr>
        <w:jc w:val="both"/>
      </w:pPr>
      <w:r>
        <w:rPr>
          <w:rFonts w:hint="cs"/>
          <w:rtl/>
        </w:rPr>
        <w:t xml:space="preserve">خلاصه آن که </w:t>
      </w:r>
      <w:r w:rsidR="003C779B">
        <w:rPr>
          <w:rFonts w:hint="cs"/>
          <w:rtl/>
        </w:rPr>
        <w:t>تناسبات حکم و موضوع در فهم از ادله دخالت دارد. ظهور ادله این است که عده</w:t>
      </w:r>
      <w:r w:rsidR="003C779B">
        <w:rPr>
          <w:rFonts w:hint="eastAsia"/>
          <w:rtl/>
        </w:rPr>
        <w:t>‌</w:t>
      </w:r>
      <w:r w:rsidR="003C779B">
        <w:rPr>
          <w:rFonts w:hint="cs"/>
          <w:rtl/>
        </w:rPr>
        <w:t xml:space="preserve">ی وفات عنوان قصدی است و خود به خود </w:t>
      </w:r>
      <w:r w:rsidR="00345D70">
        <w:rPr>
          <w:rFonts w:hint="cs"/>
          <w:rtl/>
        </w:rPr>
        <w:t>منقضی</w:t>
      </w:r>
      <w:r w:rsidR="003C779B">
        <w:rPr>
          <w:rFonts w:hint="cs"/>
          <w:rtl/>
        </w:rPr>
        <w:t xml:space="preserve"> نمی شود.</w:t>
      </w:r>
      <w:r w:rsidR="00430427">
        <w:rPr>
          <w:rFonts w:hint="cs"/>
          <w:rtl/>
        </w:rPr>
        <w:t xml:space="preserve"> در نتیجه عده</w:t>
      </w:r>
      <w:r w:rsidR="00430427">
        <w:rPr>
          <w:rFonts w:hint="eastAsia"/>
          <w:rtl/>
        </w:rPr>
        <w:t>‌</w:t>
      </w:r>
      <w:r w:rsidR="00430427">
        <w:rPr>
          <w:rFonts w:hint="cs"/>
          <w:rtl/>
        </w:rPr>
        <w:t>ی وفات از زمان بلوغ خبر می باشد.</w:t>
      </w:r>
    </w:p>
    <w:p w:rsidR="00A72CAA" w:rsidRPr="006162A2" w:rsidRDefault="00A72CAA" w:rsidP="00A72CAA">
      <w:pPr>
        <w:jc w:val="both"/>
        <w:rPr>
          <w:rtl/>
        </w:rPr>
      </w:pPr>
    </w:p>
    <w:sectPr w:rsidR="00A72CAA" w:rsidRPr="006162A2" w:rsidSect="00F91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E6" w:rsidRDefault="00D20FE6" w:rsidP="008B750B">
      <w:pPr>
        <w:spacing w:line="240" w:lineRule="auto"/>
      </w:pPr>
      <w:r>
        <w:separator/>
      </w:r>
    </w:p>
  </w:endnote>
  <w:endnote w:type="continuationSeparator" w:id="0">
    <w:p w:rsidR="00D20FE6" w:rsidRDefault="00D20FE6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31" w:rsidRDefault="00481C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6D44C1">
          <w:pPr>
            <w:pStyle w:val="Footer"/>
            <w:rPr>
              <w:rtl/>
            </w:rPr>
          </w:pPr>
          <w:r w:rsidRPr="006D44C1">
            <w:rPr>
              <w:rFonts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F4393" w:rsidRPr="008F4393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D82944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1" w:name="BokAdres"/>
          <w:bookmarkEnd w:id="11"/>
          <w:r>
            <w:rPr>
              <w:color w:val="808080" w:themeColor="background1" w:themeShade="80"/>
            </w:rPr>
            <w:t>F1js1_13991021-051_mk3_mfeb.ir</w:t>
          </w:r>
        </w:p>
      </w:tc>
    </w:tr>
  </w:tbl>
  <w:p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31" w:rsidRDefault="00481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E6" w:rsidRDefault="00D20FE6" w:rsidP="008B750B">
      <w:pPr>
        <w:spacing w:line="240" w:lineRule="auto"/>
      </w:pPr>
      <w:r>
        <w:separator/>
      </w:r>
    </w:p>
  </w:footnote>
  <w:footnote w:type="continuationSeparator" w:id="0">
    <w:p w:rsidR="00D20FE6" w:rsidRDefault="00D20FE6" w:rsidP="008B750B">
      <w:pPr>
        <w:spacing w:line="240" w:lineRule="auto"/>
      </w:pPr>
      <w:r>
        <w:continuationSeparator/>
      </w:r>
    </w:p>
  </w:footnote>
  <w:footnote w:id="1">
    <w:p w:rsidR="008B6A43" w:rsidRPr="000858FC" w:rsidRDefault="008B6A43" w:rsidP="008B6A43">
      <w:pPr>
        <w:pStyle w:val="FootnoteText"/>
      </w:pPr>
      <w:r w:rsidRPr="000858FC">
        <w:footnoteRef/>
      </w:r>
      <w:r w:rsidRPr="000858FC">
        <w:rPr>
          <w:rtl/>
        </w:rPr>
        <w:t xml:space="preserve"> </w:t>
      </w:r>
      <w:hyperlink r:id="rId1" w:history="1">
        <w:r w:rsidRPr="000858FC">
          <w:rPr>
            <w:rStyle w:val="Hyperlink"/>
            <w:rtl/>
          </w:rPr>
          <w:t>تکملة العروة الوثق</w:t>
        </w:r>
        <w:r w:rsidRPr="000858FC">
          <w:rPr>
            <w:rStyle w:val="Hyperlink"/>
            <w:rFonts w:hint="cs"/>
            <w:rtl/>
          </w:rPr>
          <w:t>ی</w:t>
        </w:r>
        <w:r w:rsidRPr="000858FC">
          <w:rPr>
            <w:rStyle w:val="Hyperlink"/>
            <w:rFonts w:hint="eastAsia"/>
            <w:rtl/>
          </w:rPr>
          <w:t>،</w:t>
        </w:r>
        <w:r w:rsidRPr="000858FC">
          <w:rPr>
            <w:rStyle w:val="Hyperlink"/>
            <w:rtl/>
          </w:rPr>
          <w:t xml:space="preserve"> الس</w:t>
        </w:r>
        <w:r w:rsidRPr="000858FC">
          <w:rPr>
            <w:rStyle w:val="Hyperlink"/>
            <w:rFonts w:hint="cs"/>
            <w:rtl/>
          </w:rPr>
          <w:t>ی</w:t>
        </w:r>
        <w:r w:rsidRPr="000858FC">
          <w:rPr>
            <w:rStyle w:val="Hyperlink"/>
            <w:rFonts w:hint="eastAsia"/>
            <w:rtl/>
          </w:rPr>
          <w:t>د</w:t>
        </w:r>
        <w:r w:rsidRPr="000858FC">
          <w:rPr>
            <w:rStyle w:val="Hyperlink"/>
            <w:rtl/>
          </w:rPr>
          <w:t xml:space="preserve"> محمد کاظم الطباطبائ</w:t>
        </w:r>
        <w:r w:rsidRPr="000858FC">
          <w:rPr>
            <w:rStyle w:val="Hyperlink"/>
            <w:rFonts w:hint="cs"/>
            <w:rtl/>
          </w:rPr>
          <w:t>ی</w:t>
        </w:r>
        <w:r w:rsidRPr="000858FC">
          <w:rPr>
            <w:rStyle w:val="Hyperlink"/>
            <w:rtl/>
          </w:rPr>
          <w:t xml:space="preserve"> ال</w:t>
        </w:r>
        <w:r w:rsidRPr="000858FC">
          <w:rPr>
            <w:rStyle w:val="Hyperlink"/>
            <w:rFonts w:hint="cs"/>
            <w:rtl/>
          </w:rPr>
          <w:t>ی</w:t>
        </w:r>
        <w:r w:rsidRPr="000858FC">
          <w:rPr>
            <w:rStyle w:val="Hyperlink"/>
            <w:rFonts w:hint="eastAsia"/>
            <w:rtl/>
          </w:rPr>
          <w:t>زد</w:t>
        </w:r>
        <w:r w:rsidRPr="000858FC">
          <w:rPr>
            <w:rStyle w:val="Hyperlink"/>
            <w:rFonts w:hint="cs"/>
            <w:rtl/>
          </w:rPr>
          <w:t>ی</w:t>
        </w:r>
        <w:r w:rsidRPr="000858FC">
          <w:rPr>
            <w:rStyle w:val="Hyperlink"/>
            <w:rFonts w:hint="eastAsia"/>
            <w:rtl/>
          </w:rPr>
          <w:t>،</w:t>
        </w:r>
        <w:r w:rsidRPr="000858FC">
          <w:rPr>
            <w:rStyle w:val="Hyperlink"/>
            <w:rtl/>
          </w:rPr>
          <w:t xml:space="preserve"> ج1، ص78</w:t>
        </w:r>
        <w:r w:rsidRPr="000858FC">
          <w:rPr>
            <w:rStyle w:val="Hyperlink"/>
          </w:rPr>
          <w:t>.</w:t>
        </w:r>
      </w:hyperlink>
    </w:p>
  </w:footnote>
  <w:footnote w:id="2">
    <w:p w:rsidR="00A72CAA" w:rsidRPr="00A72CAA" w:rsidRDefault="00A72CAA" w:rsidP="00A72CAA">
      <w:pPr>
        <w:pStyle w:val="FootnoteText"/>
      </w:pPr>
      <w:r w:rsidRPr="00A72CAA">
        <w:footnoteRef/>
      </w:r>
      <w:r w:rsidRPr="00A72CAA">
        <w:rPr>
          <w:rtl/>
        </w:rPr>
        <w:t xml:space="preserve"> </w:t>
      </w:r>
      <w:hyperlink r:id="rId2" w:history="1">
        <w:r w:rsidRPr="00A72CAA">
          <w:rPr>
            <w:rStyle w:val="Hyperlink"/>
            <w:rtl/>
          </w:rPr>
          <w:t>تکملة العروة الوثق</w:t>
        </w:r>
        <w:r w:rsidRPr="00A72CAA">
          <w:rPr>
            <w:rStyle w:val="Hyperlink"/>
            <w:rFonts w:hint="cs"/>
            <w:rtl/>
          </w:rPr>
          <w:t>ی</w:t>
        </w:r>
        <w:r w:rsidRPr="00A72CAA">
          <w:rPr>
            <w:rStyle w:val="Hyperlink"/>
            <w:rFonts w:hint="eastAsia"/>
            <w:rtl/>
          </w:rPr>
          <w:t>،</w:t>
        </w:r>
        <w:r w:rsidRPr="00A72CAA">
          <w:rPr>
            <w:rStyle w:val="Hyperlink"/>
            <w:rtl/>
          </w:rPr>
          <w:t xml:space="preserve"> الس</w:t>
        </w:r>
        <w:r w:rsidRPr="00A72CAA">
          <w:rPr>
            <w:rStyle w:val="Hyperlink"/>
            <w:rFonts w:hint="cs"/>
            <w:rtl/>
          </w:rPr>
          <w:t>ی</w:t>
        </w:r>
        <w:r w:rsidRPr="00A72CAA">
          <w:rPr>
            <w:rStyle w:val="Hyperlink"/>
            <w:rFonts w:hint="eastAsia"/>
            <w:rtl/>
          </w:rPr>
          <w:t>د</w:t>
        </w:r>
        <w:r w:rsidRPr="00A72CAA">
          <w:rPr>
            <w:rStyle w:val="Hyperlink"/>
            <w:rtl/>
          </w:rPr>
          <w:t xml:space="preserve"> محمد کاظم الطباطبائ</w:t>
        </w:r>
        <w:r w:rsidRPr="00A72CAA">
          <w:rPr>
            <w:rStyle w:val="Hyperlink"/>
            <w:rFonts w:hint="cs"/>
            <w:rtl/>
          </w:rPr>
          <w:t>ی</w:t>
        </w:r>
        <w:r w:rsidRPr="00A72CAA">
          <w:rPr>
            <w:rStyle w:val="Hyperlink"/>
            <w:rtl/>
          </w:rPr>
          <w:t xml:space="preserve"> ال</w:t>
        </w:r>
        <w:r w:rsidRPr="00A72CAA">
          <w:rPr>
            <w:rStyle w:val="Hyperlink"/>
            <w:rFonts w:hint="cs"/>
            <w:rtl/>
          </w:rPr>
          <w:t>ی</w:t>
        </w:r>
        <w:r w:rsidRPr="00A72CAA">
          <w:rPr>
            <w:rStyle w:val="Hyperlink"/>
            <w:rFonts w:hint="eastAsia"/>
            <w:rtl/>
          </w:rPr>
          <w:t>زد</w:t>
        </w:r>
        <w:r w:rsidRPr="00A72CAA">
          <w:rPr>
            <w:rStyle w:val="Hyperlink"/>
            <w:rFonts w:hint="cs"/>
            <w:rtl/>
          </w:rPr>
          <w:t>ی</w:t>
        </w:r>
        <w:r w:rsidRPr="00A72CAA">
          <w:rPr>
            <w:rStyle w:val="Hyperlink"/>
            <w:rFonts w:hint="eastAsia"/>
            <w:rtl/>
          </w:rPr>
          <w:t>،</w:t>
        </w:r>
        <w:r w:rsidRPr="00A72CAA">
          <w:rPr>
            <w:rStyle w:val="Hyperlink"/>
            <w:rtl/>
          </w:rPr>
          <w:t xml:space="preserve"> ج1، ص78</w:t>
        </w:r>
        <w:r w:rsidRPr="00A72CAA">
          <w:rPr>
            <w:rStyle w:val="Hyperlink"/>
          </w:rPr>
          <w:t>.</w:t>
        </w:r>
      </w:hyperlink>
    </w:p>
  </w:footnote>
  <w:footnote w:id="3">
    <w:p w:rsidR="00A163D7" w:rsidRDefault="00A163D7" w:rsidP="00A163D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163D7">
        <w:rPr>
          <w:rFonts w:hint="cs"/>
          <w:rtl/>
        </w:rPr>
        <w:t>مدارك الأحكام في شرح عبادات شرائع الإسلام، ج‌2، ص: 118‌</w:t>
      </w:r>
    </w:p>
  </w:footnote>
  <w:footnote w:id="4">
    <w:p w:rsidR="00F07E9D" w:rsidRDefault="00F07E9D" w:rsidP="00F07E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07E9D">
        <w:rPr>
          <w:rFonts w:hint="cs"/>
          <w:rtl/>
        </w:rPr>
        <w:t>التعليقات على الروضة البهية (للآغا جمال)، ص: 90‌</w:t>
      </w:r>
    </w:p>
  </w:footnote>
  <w:footnote w:id="5">
    <w:p w:rsidR="001138AE" w:rsidRDefault="001138AE" w:rsidP="001138A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138AE">
        <w:rPr>
          <w:rFonts w:hint="cs"/>
          <w:rtl/>
        </w:rPr>
        <w:t>رياض المسائل (ط - الحديثة)، ج‌1، ص: 454‌</w:t>
      </w:r>
    </w:p>
  </w:footnote>
  <w:footnote w:id="6">
    <w:p w:rsidR="00C64CA3" w:rsidRDefault="00C64CA3" w:rsidP="00C64CA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64CA3">
        <w:rPr>
          <w:rFonts w:hint="cs"/>
          <w:rtl/>
        </w:rPr>
        <w:t>غنائم الأيام في مسائل الحلال و الحرام، ج‌3، ص: 448‌</w:t>
      </w:r>
    </w:p>
  </w:footnote>
  <w:footnote w:id="7">
    <w:p w:rsidR="00F71B58" w:rsidRDefault="00F71B58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مناهل، ص 563</w:t>
      </w:r>
    </w:p>
    <w:p w:rsidR="00F71B58" w:rsidRDefault="00F71B58">
      <w:pPr>
        <w:pStyle w:val="FootnoteText"/>
        <w:rPr>
          <w:rtl/>
        </w:rPr>
      </w:pPr>
      <w:r>
        <w:rPr>
          <w:rFonts w:hint="cs"/>
          <w:rtl/>
        </w:rPr>
        <w:t>مستند الشیعه ج 3، ص 234</w:t>
      </w:r>
    </w:p>
    <w:p w:rsidR="00F71B58" w:rsidRDefault="00F71B58">
      <w:pPr>
        <w:pStyle w:val="FootnoteText"/>
        <w:rPr>
          <w:rtl/>
        </w:rPr>
      </w:pPr>
      <w:r>
        <w:rPr>
          <w:rFonts w:hint="cs"/>
          <w:rtl/>
        </w:rPr>
        <w:t>انوار الفقاهه، کتاب البیع ص 186، کتاب النکاح ص 115، کتاب الهبه ص 17</w:t>
      </w:r>
    </w:p>
    <w:p w:rsidR="00F71B58" w:rsidRDefault="00F71B58">
      <w:pPr>
        <w:pStyle w:val="FootnoteText"/>
        <w:rPr>
          <w:rtl/>
        </w:rPr>
      </w:pPr>
      <w:r>
        <w:rPr>
          <w:rFonts w:hint="cs"/>
          <w:rtl/>
        </w:rPr>
        <w:t>تکمله العروه ص 65</w:t>
      </w:r>
    </w:p>
    <w:p w:rsidR="00F71B58" w:rsidRDefault="00F71B58">
      <w:pPr>
        <w:pStyle w:val="FootnoteText"/>
      </w:pPr>
      <w:r>
        <w:rPr>
          <w:rFonts w:hint="cs"/>
          <w:rtl/>
        </w:rPr>
        <w:t>جامع المدارک ج 4، ص 161 و 263</w:t>
      </w:r>
    </w:p>
  </w:footnote>
  <w:footnote w:id="8">
    <w:p w:rsidR="00EF2297" w:rsidRDefault="00EF2297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روض الجنان، ج 1، ص 261، ج 2 ص 828</w:t>
      </w:r>
    </w:p>
    <w:p w:rsidR="00EF2297" w:rsidRDefault="00EF2297" w:rsidP="00EF2297">
      <w:pPr>
        <w:pStyle w:val="FootnoteText"/>
        <w:rPr>
          <w:rtl/>
        </w:rPr>
      </w:pPr>
      <w:r>
        <w:rPr>
          <w:rFonts w:hint="cs"/>
          <w:rtl/>
        </w:rPr>
        <w:t>مسالک ج 3، ص 327، ج 7، ص 327</w:t>
      </w:r>
    </w:p>
    <w:p w:rsidR="008D2984" w:rsidRDefault="00EF2297" w:rsidP="008D2984">
      <w:pPr>
        <w:pStyle w:val="FootnoteText"/>
        <w:rPr>
          <w:rtl/>
        </w:rPr>
      </w:pPr>
      <w:r>
        <w:rPr>
          <w:rFonts w:hint="cs"/>
          <w:rtl/>
        </w:rPr>
        <w:t>مدا</w:t>
      </w:r>
      <w:r w:rsidR="008D2984">
        <w:rPr>
          <w:rFonts w:hint="cs"/>
          <w:rtl/>
        </w:rPr>
        <w:t>رک، ج 2، ص 63، ج 6، ص 118 و 284؛ ج 8 ص 407</w:t>
      </w:r>
    </w:p>
    <w:p w:rsidR="008D2984" w:rsidRDefault="008D2984" w:rsidP="008D2984">
      <w:pPr>
        <w:pStyle w:val="FootnoteText"/>
        <w:rPr>
          <w:rtl/>
        </w:rPr>
      </w:pPr>
      <w:r>
        <w:rPr>
          <w:rFonts w:hint="cs"/>
          <w:rtl/>
        </w:rPr>
        <w:t>کفایة الاحکام، ج 2، ص 139</w:t>
      </w:r>
    </w:p>
    <w:p w:rsidR="008D2984" w:rsidRDefault="008D2984" w:rsidP="008D2984">
      <w:pPr>
        <w:pStyle w:val="FootnoteText"/>
        <w:rPr>
          <w:rtl/>
        </w:rPr>
      </w:pPr>
      <w:r>
        <w:rPr>
          <w:rFonts w:hint="cs"/>
          <w:rtl/>
        </w:rPr>
        <w:t>حدائق، ج 3، ص 391</w:t>
      </w:r>
    </w:p>
    <w:p w:rsidR="008D2984" w:rsidRDefault="008D2984" w:rsidP="008D2984">
      <w:pPr>
        <w:pStyle w:val="FootnoteText"/>
        <w:rPr>
          <w:rtl/>
        </w:rPr>
      </w:pPr>
      <w:r>
        <w:rPr>
          <w:rFonts w:hint="cs"/>
          <w:rtl/>
        </w:rPr>
        <w:t>جواهر، ج 4، ص 255؛ ج 20 ص 351</w:t>
      </w:r>
    </w:p>
    <w:p w:rsidR="008D2984" w:rsidRDefault="008D2984" w:rsidP="008D2984">
      <w:pPr>
        <w:pStyle w:val="FootnoteText"/>
        <w:rPr>
          <w:rtl/>
        </w:rPr>
      </w:pPr>
      <w:r>
        <w:rPr>
          <w:rFonts w:hint="cs"/>
          <w:rtl/>
        </w:rPr>
        <w:t>مصباح الفقیه، ج 5، ص 338</w:t>
      </w:r>
    </w:p>
    <w:p w:rsidR="008D2984" w:rsidRDefault="008D2984" w:rsidP="008D2984">
      <w:pPr>
        <w:pStyle w:val="FootnoteText"/>
        <w:rPr>
          <w:rtl/>
        </w:rPr>
      </w:pPr>
      <w:r>
        <w:rPr>
          <w:rFonts w:hint="cs"/>
          <w:rtl/>
        </w:rPr>
        <w:t>مستمک عروه، ج 4، ص 165، ج 10 ص 309</w:t>
      </w:r>
    </w:p>
    <w:p w:rsidR="008D2984" w:rsidRDefault="008D2984" w:rsidP="008D2984">
      <w:pPr>
        <w:pStyle w:val="FootnoteText"/>
        <w:rPr>
          <w:rtl/>
        </w:rPr>
      </w:pPr>
      <w:r>
        <w:rPr>
          <w:rFonts w:hint="cs"/>
          <w:rtl/>
        </w:rPr>
        <w:t>موسوعه امام خویی، ج 32، ص 69؛ ج 33 ص 213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31" w:rsidRDefault="00481C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17" w:rsidRPr="001D2E9A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4" w:name="BokNum"/>
    <w:bookmarkEnd w:id="4"/>
    <w:r w:rsidR="00D82944">
      <w:rPr>
        <w:b/>
        <w:bCs/>
        <w:sz w:val="20"/>
        <w:szCs w:val="24"/>
        <w:rtl/>
      </w:rPr>
      <w:t>051</w:t>
    </w:r>
    <w:r w:rsidR="001A4ED8">
      <w:rPr>
        <w:rFonts w:hint="cs"/>
        <w:b/>
        <w:bCs/>
        <w:sz w:val="20"/>
        <w:szCs w:val="24"/>
        <w:rtl/>
      </w:rPr>
      <w:tab/>
    </w:r>
    <w:r w:rsidR="0021630D"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5" w:name="Bokdars"/>
    <w:bookmarkEnd w:id="5"/>
    <w:r w:rsidR="00D82944">
      <w:rPr>
        <w:b/>
        <w:bCs/>
        <w:color w:val="632423" w:themeColor="accent2" w:themeShade="80"/>
        <w:sz w:val="20"/>
        <w:szCs w:val="24"/>
        <w:rtl/>
      </w:rPr>
      <w:t>فقه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6" w:name="Bokostad"/>
    <w:bookmarkEnd w:id="6"/>
    <w:r w:rsidR="00D82944">
      <w:rPr>
        <w:b/>
        <w:bCs/>
        <w:color w:val="632423" w:themeColor="accent2" w:themeShade="80"/>
        <w:sz w:val="20"/>
        <w:szCs w:val="24"/>
        <w:rtl/>
      </w:rPr>
      <w:t>س</w:t>
    </w:r>
    <w:r w:rsidR="00D82944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D82944">
      <w:rPr>
        <w:rFonts w:hint="eastAsia"/>
        <w:b/>
        <w:bCs/>
        <w:color w:val="632423" w:themeColor="accent2" w:themeShade="80"/>
        <w:sz w:val="20"/>
        <w:szCs w:val="24"/>
        <w:rtl/>
      </w:rPr>
      <w:t>د</w:t>
    </w:r>
    <w:r w:rsidR="00D82944">
      <w:rPr>
        <w:b/>
        <w:bCs/>
        <w:color w:val="632423" w:themeColor="accent2" w:themeShade="80"/>
        <w:sz w:val="20"/>
        <w:szCs w:val="24"/>
        <w:rtl/>
      </w:rPr>
      <w:t xml:space="preserve"> محمد جواد شب</w:t>
    </w:r>
    <w:r w:rsidR="00D82944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D82944">
      <w:rPr>
        <w:rFonts w:hint="eastAsia"/>
        <w:b/>
        <w:bCs/>
        <w:color w:val="632423" w:themeColor="accent2" w:themeShade="80"/>
        <w:sz w:val="20"/>
        <w:szCs w:val="24"/>
        <w:rtl/>
      </w:rPr>
      <w:t>ر</w:t>
    </w:r>
    <w:r w:rsidR="00D82944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 w:rsidR="001A4ED8"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7" w:name="BokTarikh"/>
    <w:bookmarkEnd w:id="7"/>
    <w:r w:rsidR="00D82944">
      <w:rPr>
        <w:sz w:val="24"/>
        <w:szCs w:val="24"/>
        <w:rtl/>
      </w:rPr>
      <w:t>21 /10 /1399</w:t>
    </w:r>
  </w:p>
  <w:p w:rsidR="00FA3B17" w:rsidRPr="00F16B53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8" w:name="BokSabj"/>
    <w:bookmarkEnd w:id="8"/>
    <w:r w:rsidR="00D82944">
      <w:rPr>
        <w:color w:val="000000" w:themeColor="text1"/>
        <w:sz w:val="24"/>
        <w:szCs w:val="24"/>
        <w:rtl/>
      </w:rPr>
      <w:t>عده‌</w:t>
    </w:r>
    <w:r w:rsidR="00D82944">
      <w:rPr>
        <w:rFonts w:hint="cs"/>
        <w:color w:val="000000" w:themeColor="text1"/>
        <w:sz w:val="24"/>
        <w:szCs w:val="24"/>
        <w:rtl/>
      </w:rPr>
      <w:t>ی</w:t>
    </w:r>
    <w:r w:rsidR="00D82944">
      <w:rPr>
        <w:color w:val="000000" w:themeColor="text1"/>
        <w:sz w:val="24"/>
        <w:szCs w:val="24"/>
        <w:rtl/>
      </w:rPr>
      <w:t xml:space="preserve"> وفات</w:t>
    </w:r>
    <w:r w:rsidR="001B6799"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="001B6799"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9" w:name="Bokmoqarer"/>
    <w:bookmarkEnd w:id="9"/>
    <w:r w:rsidR="00D82944">
      <w:rPr>
        <w:sz w:val="24"/>
        <w:szCs w:val="24"/>
        <w:rtl/>
      </w:rPr>
      <w:t>مهد</w:t>
    </w:r>
    <w:r w:rsidR="00D82944">
      <w:rPr>
        <w:rFonts w:hint="cs"/>
        <w:sz w:val="24"/>
        <w:szCs w:val="24"/>
        <w:rtl/>
      </w:rPr>
      <w:t>ی</w:t>
    </w:r>
    <w:r w:rsidR="00D82944">
      <w:rPr>
        <w:sz w:val="24"/>
        <w:szCs w:val="24"/>
        <w:rtl/>
      </w:rPr>
      <w:t xml:space="preserve"> کاظم</w:t>
    </w:r>
    <w:r w:rsidR="00D82944">
      <w:rPr>
        <w:rFonts w:hint="cs"/>
        <w:sz w:val="24"/>
        <w:szCs w:val="24"/>
        <w:rtl/>
      </w:rPr>
      <w:t>ی</w:t>
    </w:r>
    <w:r w:rsidR="00D221CB">
      <w:rPr>
        <w:rFonts w:hint="cs"/>
        <w:sz w:val="24"/>
        <w:szCs w:val="24"/>
        <w:rtl/>
      </w:rPr>
      <w:t xml:space="preserve"> </w:t>
    </w:r>
    <w:r w:rsidR="00F91B85">
      <w:rPr>
        <w:sz w:val="24"/>
        <w:szCs w:val="24"/>
      </w:rPr>
      <w:t xml:space="preserve"> </w:t>
    </w:r>
    <w:r w:rsidR="005257ED">
      <w:rPr>
        <w:rFonts w:hint="cs"/>
        <w:sz w:val="24"/>
        <w:szCs w:val="24"/>
        <w:rtl/>
      </w:rPr>
      <w:t xml:space="preserve"> </w:t>
    </w:r>
    <w:r w:rsidR="001B6799"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10" w:name="BokSabj2"/>
    <w:bookmarkEnd w:id="10"/>
    <w:r w:rsidR="00D82944">
      <w:rPr>
        <w:sz w:val="24"/>
        <w:szCs w:val="24"/>
        <w:rtl/>
      </w:rPr>
      <w:t>زمان آغاز عده وفات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31" w:rsidRDefault="00481C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36FA"/>
    <w:multiLevelType w:val="hybridMultilevel"/>
    <w:tmpl w:val="256AC51A"/>
    <w:lvl w:ilvl="0" w:tplc="8E68B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25777"/>
    <w:rsid w:val="00025B70"/>
    <w:rsid w:val="000353D7"/>
    <w:rsid w:val="00055496"/>
    <w:rsid w:val="00066968"/>
    <w:rsid w:val="00080A41"/>
    <w:rsid w:val="0008299B"/>
    <w:rsid w:val="000913AA"/>
    <w:rsid w:val="00094847"/>
    <w:rsid w:val="00096C63"/>
    <w:rsid w:val="000B399C"/>
    <w:rsid w:val="000B4A71"/>
    <w:rsid w:val="000B5DB5"/>
    <w:rsid w:val="000C3947"/>
    <w:rsid w:val="000D2A37"/>
    <w:rsid w:val="000D30E9"/>
    <w:rsid w:val="000D6818"/>
    <w:rsid w:val="000E335E"/>
    <w:rsid w:val="000F16CF"/>
    <w:rsid w:val="000F5BAC"/>
    <w:rsid w:val="00102585"/>
    <w:rsid w:val="001138AE"/>
    <w:rsid w:val="00114AB7"/>
    <w:rsid w:val="00116B2B"/>
    <w:rsid w:val="00116ED4"/>
    <w:rsid w:val="00124E3D"/>
    <w:rsid w:val="00127E95"/>
    <w:rsid w:val="00130659"/>
    <w:rsid w:val="001347C7"/>
    <w:rsid w:val="001356B0"/>
    <w:rsid w:val="00151937"/>
    <w:rsid w:val="00177A3E"/>
    <w:rsid w:val="00181844"/>
    <w:rsid w:val="001837E9"/>
    <w:rsid w:val="00187DFA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D2E9A"/>
    <w:rsid w:val="001D597F"/>
    <w:rsid w:val="001E3FD4"/>
    <w:rsid w:val="0020241A"/>
    <w:rsid w:val="00203821"/>
    <w:rsid w:val="00206F9F"/>
    <w:rsid w:val="00211632"/>
    <w:rsid w:val="0021630D"/>
    <w:rsid w:val="0024121B"/>
    <w:rsid w:val="00247D2F"/>
    <w:rsid w:val="002563E1"/>
    <w:rsid w:val="00256560"/>
    <w:rsid w:val="0027586A"/>
    <w:rsid w:val="0027605E"/>
    <w:rsid w:val="00281E00"/>
    <w:rsid w:val="00286837"/>
    <w:rsid w:val="00294A52"/>
    <w:rsid w:val="002B575F"/>
    <w:rsid w:val="002B729B"/>
    <w:rsid w:val="002C23B5"/>
    <w:rsid w:val="002C53A2"/>
    <w:rsid w:val="002D0040"/>
    <w:rsid w:val="002D2FA8"/>
    <w:rsid w:val="002E220F"/>
    <w:rsid w:val="002F5D08"/>
    <w:rsid w:val="00307311"/>
    <w:rsid w:val="0032100F"/>
    <w:rsid w:val="00322ABB"/>
    <w:rsid w:val="0033402C"/>
    <w:rsid w:val="00340521"/>
    <w:rsid w:val="00345C73"/>
    <w:rsid w:val="00345D70"/>
    <w:rsid w:val="00354A99"/>
    <w:rsid w:val="00360311"/>
    <w:rsid w:val="00361922"/>
    <w:rsid w:val="0037339B"/>
    <w:rsid w:val="00380268"/>
    <w:rsid w:val="00386C11"/>
    <w:rsid w:val="00397466"/>
    <w:rsid w:val="003A6148"/>
    <w:rsid w:val="003B1A0E"/>
    <w:rsid w:val="003C33F6"/>
    <w:rsid w:val="003C3D2E"/>
    <w:rsid w:val="003C43A5"/>
    <w:rsid w:val="003C779B"/>
    <w:rsid w:val="003E18D5"/>
    <w:rsid w:val="003E1C5C"/>
    <w:rsid w:val="003E6650"/>
    <w:rsid w:val="003F5B46"/>
    <w:rsid w:val="00401363"/>
    <w:rsid w:val="00402E47"/>
    <w:rsid w:val="004209F7"/>
    <w:rsid w:val="00423DAC"/>
    <w:rsid w:val="00425015"/>
    <w:rsid w:val="00430427"/>
    <w:rsid w:val="00430994"/>
    <w:rsid w:val="00441B6D"/>
    <w:rsid w:val="0044752F"/>
    <w:rsid w:val="004556EF"/>
    <w:rsid w:val="00462B07"/>
    <w:rsid w:val="00465BD2"/>
    <w:rsid w:val="004715C8"/>
    <w:rsid w:val="00481C31"/>
    <w:rsid w:val="00482C96"/>
    <w:rsid w:val="00482FC1"/>
    <w:rsid w:val="00483027"/>
    <w:rsid w:val="00487170"/>
    <w:rsid w:val="004871AA"/>
    <w:rsid w:val="004918D7"/>
    <w:rsid w:val="004926E1"/>
    <w:rsid w:val="0049539A"/>
    <w:rsid w:val="00497450"/>
    <w:rsid w:val="004A2FEA"/>
    <w:rsid w:val="004A5A1A"/>
    <w:rsid w:val="004D2DD7"/>
    <w:rsid w:val="004D75C5"/>
    <w:rsid w:val="004E2186"/>
    <w:rsid w:val="004E66FB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306F8"/>
    <w:rsid w:val="0054023D"/>
    <w:rsid w:val="005426BF"/>
    <w:rsid w:val="0056213C"/>
    <w:rsid w:val="00580C24"/>
    <w:rsid w:val="005968EF"/>
    <w:rsid w:val="00596C1E"/>
    <w:rsid w:val="005A2E26"/>
    <w:rsid w:val="005B6A2F"/>
    <w:rsid w:val="005B7BCA"/>
    <w:rsid w:val="005C0DAE"/>
    <w:rsid w:val="005C188E"/>
    <w:rsid w:val="005D2349"/>
    <w:rsid w:val="005D67D8"/>
    <w:rsid w:val="005E1B60"/>
    <w:rsid w:val="005E3034"/>
    <w:rsid w:val="005E5507"/>
    <w:rsid w:val="005E607B"/>
    <w:rsid w:val="005F0A8D"/>
    <w:rsid w:val="005F7D8C"/>
    <w:rsid w:val="00601229"/>
    <w:rsid w:val="00603B67"/>
    <w:rsid w:val="00614277"/>
    <w:rsid w:val="006158C5"/>
    <w:rsid w:val="006162A2"/>
    <w:rsid w:val="006240DA"/>
    <w:rsid w:val="00626913"/>
    <w:rsid w:val="0063256E"/>
    <w:rsid w:val="00633F04"/>
    <w:rsid w:val="00635219"/>
    <w:rsid w:val="006358FC"/>
    <w:rsid w:val="00635EC0"/>
    <w:rsid w:val="00640B58"/>
    <w:rsid w:val="00651B02"/>
    <w:rsid w:val="00651B19"/>
    <w:rsid w:val="00660A29"/>
    <w:rsid w:val="00695519"/>
    <w:rsid w:val="006A4134"/>
    <w:rsid w:val="006A5DDA"/>
    <w:rsid w:val="006A6701"/>
    <w:rsid w:val="006B21F4"/>
    <w:rsid w:val="006B3753"/>
    <w:rsid w:val="006B625C"/>
    <w:rsid w:val="006B7AD6"/>
    <w:rsid w:val="006C50FD"/>
    <w:rsid w:val="006D0AD4"/>
    <w:rsid w:val="006D1DD4"/>
    <w:rsid w:val="006D4014"/>
    <w:rsid w:val="006D44C1"/>
    <w:rsid w:val="006E17A9"/>
    <w:rsid w:val="006E5651"/>
    <w:rsid w:val="006E5B85"/>
    <w:rsid w:val="006F026A"/>
    <w:rsid w:val="0070265B"/>
    <w:rsid w:val="00704813"/>
    <w:rsid w:val="00707BDD"/>
    <w:rsid w:val="00715E8C"/>
    <w:rsid w:val="0072290D"/>
    <w:rsid w:val="00723D6D"/>
    <w:rsid w:val="00724537"/>
    <w:rsid w:val="00731724"/>
    <w:rsid w:val="0073474B"/>
    <w:rsid w:val="00735511"/>
    <w:rsid w:val="00737208"/>
    <w:rsid w:val="00744DE6"/>
    <w:rsid w:val="00762452"/>
    <w:rsid w:val="007639E0"/>
    <w:rsid w:val="00774722"/>
    <w:rsid w:val="00774F04"/>
    <w:rsid w:val="00775507"/>
    <w:rsid w:val="00783473"/>
    <w:rsid w:val="0078594B"/>
    <w:rsid w:val="00795E02"/>
    <w:rsid w:val="007979D0"/>
    <w:rsid w:val="007A0E2A"/>
    <w:rsid w:val="007A4E18"/>
    <w:rsid w:val="007A7B8C"/>
    <w:rsid w:val="007C6D9E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6367"/>
    <w:rsid w:val="00816A0B"/>
    <w:rsid w:val="00824B22"/>
    <w:rsid w:val="00830C53"/>
    <w:rsid w:val="00837FAA"/>
    <w:rsid w:val="00841F77"/>
    <w:rsid w:val="0085276D"/>
    <w:rsid w:val="00863390"/>
    <w:rsid w:val="0086385C"/>
    <w:rsid w:val="00871916"/>
    <w:rsid w:val="008956DD"/>
    <w:rsid w:val="008A510E"/>
    <w:rsid w:val="008A522A"/>
    <w:rsid w:val="008B4464"/>
    <w:rsid w:val="008B6A43"/>
    <w:rsid w:val="008B750B"/>
    <w:rsid w:val="008C3162"/>
    <w:rsid w:val="008D1F14"/>
    <w:rsid w:val="008D2984"/>
    <w:rsid w:val="008E3924"/>
    <w:rsid w:val="008F13F7"/>
    <w:rsid w:val="008F4393"/>
    <w:rsid w:val="008F5B4D"/>
    <w:rsid w:val="00907425"/>
    <w:rsid w:val="00923C34"/>
    <w:rsid w:val="00924152"/>
    <w:rsid w:val="0092513D"/>
    <w:rsid w:val="00927A9F"/>
    <w:rsid w:val="009335CC"/>
    <w:rsid w:val="00935A55"/>
    <w:rsid w:val="00941CEB"/>
    <w:rsid w:val="00942849"/>
    <w:rsid w:val="0094720F"/>
    <w:rsid w:val="00953B28"/>
    <w:rsid w:val="00954322"/>
    <w:rsid w:val="00957CAA"/>
    <w:rsid w:val="0096778A"/>
    <w:rsid w:val="00977656"/>
    <w:rsid w:val="009846A7"/>
    <w:rsid w:val="0098794D"/>
    <w:rsid w:val="0099497B"/>
    <w:rsid w:val="009A43BA"/>
    <w:rsid w:val="009B0D05"/>
    <w:rsid w:val="009B4CA6"/>
    <w:rsid w:val="009B79F8"/>
    <w:rsid w:val="009C66D5"/>
    <w:rsid w:val="009D13FD"/>
    <w:rsid w:val="009D266A"/>
    <w:rsid w:val="009D5F61"/>
    <w:rsid w:val="009F3E0A"/>
    <w:rsid w:val="009F7E07"/>
    <w:rsid w:val="00A01522"/>
    <w:rsid w:val="00A10A11"/>
    <w:rsid w:val="00A13C6A"/>
    <w:rsid w:val="00A163D7"/>
    <w:rsid w:val="00A17B09"/>
    <w:rsid w:val="00A32960"/>
    <w:rsid w:val="00A457C6"/>
    <w:rsid w:val="00A46AD0"/>
    <w:rsid w:val="00A47063"/>
    <w:rsid w:val="00A473A8"/>
    <w:rsid w:val="00A513F0"/>
    <w:rsid w:val="00A55D59"/>
    <w:rsid w:val="00A5685E"/>
    <w:rsid w:val="00A61AC8"/>
    <w:rsid w:val="00A6366F"/>
    <w:rsid w:val="00A65D4C"/>
    <w:rsid w:val="00A70512"/>
    <w:rsid w:val="00A72CAA"/>
    <w:rsid w:val="00AA1F60"/>
    <w:rsid w:val="00AA40D7"/>
    <w:rsid w:val="00AB5F7D"/>
    <w:rsid w:val="00AC0C50"/>
    <w:rsid w:val="00AC6FE2"/>
    <w:rsid w:val="00AF3925"/>
    <w:rsid w:val="00B1296B"/>
    <w:rsid w:val="00B2292F"/>
    <w:rsid w:val="00B43169"/>
    <w:rsid w:val="00B501A8"/>
    <w:rsid w:val="00B55AE4"/>
    <w:rsid w:val="00B70B46"/>
    <w:rsid w:val="00B739B0"/>
    <w:rsid w:val="00B814A3"/>
    <w:rsid w:val="00B962FF"/>
    <w:rsid w:val="00B96F38"/>
    <w:rsid w:val="00BA7C38"/>
    <w:rsid w:val="00BC716B"/>
    <w:rsid w:val="00BD0E74"/>
    <w:rsid w:val="00BD4DC1"/>
    <w:rsid w:val="00BD5F8C"/>
    <w:rsid w:val="00BE29DD"/>
    <w:rsid w:val="00BF2EBE"/>
    <w:rsid w:val="00C066AF"/>
    <w:rsid w:val="00C10E06"/>
    <w:rsid w:val="00C145B8"/>
    <w:rsid w:val="00C14F12"/>
    <w:rsid w:val="00C2438F"/>
    <w:rsid w:val="00C31AF0"/>
    <w:rsid w:val="00C32A7E"/>
    <w:rsid w:val="00C34F28"/>
    <w:rsid w:val="00C368DF"/>
    <w:rsid w:val="00C442C5"/>
    <w:rsid w:val="00C57B5C"/>
    <w:rsid w:val="00C57C7C"/>
    <w:rsid w:val="00C61049"/>
    <w:rsid w:val="00C63FFE"/>
    <w:rsid w:val="00C64CA3"/>
    <w:rsid w:val="00C86360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E7481"/>
    <w:rsid w:val="00CF0A8F"/>
    <w:rsid w:val="00CF61A8"/>
    <w:rsid w:val="00D048CE"/>
    <w:rsid w:val="00D10998"/>
    <w:rsid w:val="00D15CBD"/>
    <w:rsid w:val="00D20FE6"/>
    <w:rsid w:val="00D221CB"/>
    <w:rsid w:val="00D23391"/>
    <w:rsid w:val="00D2580C"/>
    <w:rsid w:val="00D31805"/>
    <w:rsid w:val="00D32BF1"/>
    <w:rsid w:val="00D552B9"/>
    <w:rsid w:val="00D735B2"/>
    <w:rsid w:val="00D74021"/>
    <w:rsid w:val="00D76D01"/>
    <w:rsid w:val="00D82944"/>
    <w:rsid w:val="00D922A9"/>
    <w:rsid w:val="00D9394A"/>
    <w:rsid w:val="00DA488D"/>
    <w:rsid w:val="00DB0CBB"/>
    <w:rsid w:val="00DB67CC"/>
    <w:rsid w:val="00DC3783"/>
    <w:rsid w:val="00DE1070"/>
    <w:rsid w:val="00E00219"/>
    <w:rsid w:val="00E0316B"/>
    <w:rsid w:val="00E25E10"/>
    <w:rsid w:val="00E4692C"/>
    <w:rsid w:val="00E50778"/>
    <w:rsid w:val="00E50B41"/>
    <w:rsid w:val="00E5219B"/>
    <w:rsid w:val="00E52D07"/>
    <w:rsid w:val="00E5518B"/>
    <w:rsid w:val="00E609FE"/>
    <w:rsid w:val="00E630BE"/>
    <w:rsid w:val="00E75920"/>
    <w:rsid w:val="00E765A9"/>
    <w:rsid w:val="00E80D96"/>
    <w:rsid w:val="00E871FA"/>
    <w:rsid w:val="00E936A4"/>
    <w:rsid w:val="00E94872"/>
    <w:rsid w:val="00E954BB"/>
    <w:rsid w:val="00E95E2E"/>
    <w:rsid w:val="00EA45E7"/>
    <w:rsid w:val="00EB529E"/>
    <w:rsid w:val="00EB78E3"/>
    <w:rsid w:val="00EB7BE3"/>
    <w:rsid w:val="00EC1C4B"/>
    <w:rsid w:val="00EC735A"/>
    <w:rsid w:val="00ED5F38"/>
    <w:rsid w:val="00EF2297"/>
    <w:rsid w:val="00EF27FE"/>
    <w:rsid w:val="00F0220C"/>
    <w:rsid w:val="00F02710"/>
    <w:rsid w:val="00F07E9D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60F1F"/>
    <w:rsid w:val="00F62425"/>
    <w:rsid w:val="00F64141"/>
    <w:rsid w:val="00F67508"/>
    <w:rsid w:val="00F71B58"/>
    <w:rsid w:val="00F71FC9"/>
    <w:rsid w:val="00F73B48"/>
    <w:rsid w:val="00F74F51"/>
    <w:rsid w:val="00F842AD"/>
    <w:rsid w:val="00F8436D"/>
    <w:rsid w:val="00F914EB"/>
    <w:rsid w:val="00F91B85"/>
    <w:rsid w:val="00F93067"/>
    <w:rsid w:val="00F938E7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b.eshia.ir/10081/1/78/38" TargetMode="External"/><Relationship Id="rId1" Type="http://schemas.openxmlformats.org/officeDocument/2006/relationships/hyperlink" Target="http://lib.eshia.ir/10081/1/78/3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CF1E-A89C-43F2-AA1B-6A57FA1C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1474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6413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76</cp:revision>
  <cp:lastPrinted>2021-01-16T19:33:00Z</cp:lastPrinted>
  <dcterms:created xsi:type="dcterms:W3CDTF">2021-01-10T17:21:00Z</dcterms:created>
  <dcterms:modified xsi:type="dcterms:W3CDTF">2021-01-18T10:01:00Z</dcterms:modified>
  <cp:contentStatus>ویرایش 2.5</cp:contentStatus>
  <cp:version>2.7</cp:version>
</cp:coreProperties>
</file>