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73F" w:rsidRDefault="0022173F" w:rsidP="0022173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22173F" w:rsidRDefault="0022173F" w:rsidP="0022173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22173F">
        <w:rPr>
          <w:rFonts w:ascii="IRANSans" w:hAnsi="IRANSans" w:cs="IRANSans"/>
          <w:b/>
          <w:bCs/>
          <w:color w:val="0101FF"/>
          <w:sz w:val="24"/>
          <w:szCs w:val="24"/>
          <w:shd w:val="clear" w:color="auto" w:fill="FFFFFF"/>
          <w:rtl/>
        </w:rPr>
        <w:t>عدم اشتراط حداد در صحت عده</w:t>
      </w:r>
      <w:r>
        <w:rPr>
          <w:rFonts w:hint="cs"/>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62788A" w:rsidRPr="00BD0CC5" w:rsidRDefault="0062788A" w:rsidP="0062788A">
      <w:pPr>
        <w:pStyle w:val="Heading1"/>
        <w:rPr>
          <w:color w:val="008000"/>
          <w:rtl/>
        </w:rPr>
      </w:pPr>
      <w:bookmarkStart w:id="1" w:name="_Toc58678325"/>
      <w:r>
        <w:rPr>
          <w:rFonts w:hint="cs"/>
          <w:rtl/>
        </w:rPr>
        <w:t>مساله</w:t>
      </w:r>
      <w:r>
        <w:rPr>
          <w:rFonts w:hint="eastAsia"/>
          <w:rtl/>
        </w:rPr>
        <w:t>‌</w:t>
      </w:r>
      <w:r>
        <w:rPr>
          <w:rFonts w:hint="cs"/>
          <w:rtl/>
        </w:rPr>
        <w:t>ی هفتم تکمله</w:t>
      </w:r>
      <w:r>
        <w:rPr>
          <w:rFonts w:hint="eastAsia"/>
          <w:rtl/>
        </w:rPr>
        <w:t>‌</w:t>
      </w:r>
      <w:r>
        <w:rPr>
          <w:rFonts w:hint="cs"/>
          <w:rtl/>
        </w:rPr>
        <w:t>ی عروه</w:t>
      </w:r>
      <w:bookmarkEnd w:id="1"/>
    </w:p>
    <w:p w:rsidR="0062788A" w:rsidRPr="00BD0CC5" w:rsidRDefault="0062788A" w:rsidP="0062788A">
      <w:pPr>
        <w:jc w:val="both"/>
        <w:rPr>
          <w:color w:val="0000FF"/>
        </w:rPr>
      </w:pPr>
      <w:r w:rsidRPr="00BD0CC5">
        <w:rPr>
          <w:rFonts w:hint="cs"/>
          <w:color w:val="0000FF"/>
          <w:rtl/>
        </w:rPr>
        <w:t>مسألة 7: الظاهر عدم كون الحداد شرطا في صحة العدة</w:t>
      </w:r>
      <w:r w:rsidRPr="00BD0CC5">
        <w:rPr>
          <w:rFonts w:hint="cs"/>
          <w:color w:val="0000FF"/>
        </w:rPr>
        <w:t>‌</w:t>
      </w:r>
    </w:p>
    <w:p w:rsidR="0062788A" w:rsidRPr="00BD0CC5" w:rsidRDefault="0062788A" w:rsidP="0062788A">
      <w:pPr>
        <w:jc w:val="both"/>
        <w:rPr>
          <w:color w:val="0000FF"/>
          <w:rtl/>
        </w:rPr>
      </w:pPr>
      <w:r w:rsidRPr="00BD0CC5">
        <w:rPr>
          <w:rFonts w:hint="cs"/>
          <w:color w:val="0000FF"/>
          <w:rtl/>
        </w:rPr>
        <w:t xml:space="preserve">بحيث لو خالفت عصيانا أو جهلا أو نسيانا وجب عليها الاستئناف أو تدارك مقدار ما فات من الأيام، لأنّ الظاهر انّه واجب تعبدي في واجب، لا أن يكون قيدا فيه لأصالة عدم الاشتراط فيشمله جميع ما دل على جواز نكاحها بعد انقضاء أربعة أشهر و عشرا من مثل قوله تعالى فَإِذا بَلَغْنَ أَجَلَهُنَّ فَلا جُناحَ عَلَيْكُمْ فِيما فَعَلْنَ فِي أَنْفُسِهِنَّ بِالْمَعْرُوفِ و قد حكى عليه الشهرة، نعم نقل الخلاف عن أبى الصلاح و السيد الفاخر فحكما ببطلانها مع المخالفة عمدا أو مطلقا على اختلاف النقلين لعدم حصول الامتثال، «و فيه» انّ عدم امتثال الأمر بالحداد لا يضر بامتثال الأمر بالعدة بعد عدم شرطيته فيها بمقتضى الأصل، بل ظهور الأدلة هذا، و لكن قال في الجواهر بعد نقل خلافهما: و لكن الإنصاف عدم خلوه عن الوجه خصوصا مع ملاحظة الاحتياط و قاعدة وجوب الشي‌ء في الشي‌ء و النصوص المتكثرة في تعليل وجوب الاعتداد عليها عند بلوغ الخبر، بخلاف المطلقة بوجوب الحداد عليها في عدتها بل قال: أبو جعفر (ع) في خبر زرارة «منها إن مات عنها زوجها و هو غائب فقامت البينة على موته فعدتها من يوم يأتيها الخبر أربعة أشهر و عشرا و لأن عليها أن تحد عليه في الموت أربعة أشهر و عشرا فتمسك عن الكحل و الطيب و الأصباغ» لا أقل من الشك بعد انقضاء العدة بدونه انتهى. «و فيه» انّ الاحتياط غير واجب و التعليل لا يدل على الشرطية، غاية الأمر انّ </w:t>
      </w:r>
      <w:r w:rsidRPr="00BD0CC5">
        <w:rPr>
          <w:rFonts w:hint="cs"/>
          <w:color w:val="0000FF"/>
          <w:rtl/>
        </w:rPr>
        <w:lastRenderedPageBreak/>
        <w:t>الحكمة في جعل العدة من حين بلوغ الخبر إتيان هذا الواجب و هذا غير الشرطية، و الخبر المذكور لا دلالة فيه على ما ذكره فالأقوى ما عليه المشهور.</w:t>
      </w:r>
      <w:r w:rsidRPr="00BD0CC5">
        <w:rPr>
          <w:rStyle w:val="FootnoteReference"/>
          <w:color w:val="0000FF"/>
          <w:rtl/>
        </w:rPr>
        <w:footnoteReference w:id="1"/>
      </w:r>
    </w:p>
    <w:p w:rsidR="00247D2F" w:rsidRPr="003A6148" w:rsidRDefault="00247D2F" w:rsidP="003A6148">
      <w:pPr>
        <w:pBdr>
          <w:bottom w:val="double" w:sz="6" w:space="1" w:color="auto"/>
        </w:pBdr>
      </w:pPr>
    </w:p>
    <w:p w:rsidR="008F5B4D" w:rsidRDefault="008F5B4D" w:rsidP="003A6148"/>
    <w:p w:rsidR="003E6650" w:rsidRPr="001A27D7" w:rsidRDefault="005C3C7E" w:rsidP="005C3C7E">
      <w:pPr>
        <w:pStyle w:val="Heading1"/>
        <w:rPr>
          <w:rtl/>
        </w:rPr>
      </w:pPr>
      <w:bookmarkStart w:id="2" w:name="_Toc58678326"/>
      <w:r>
        <w:rPr>
          <w:rFonts w:hint="cs"/>
          <w:rtl/>
        </w:rPr>
        <w:t>مراد از سید فاخر</w:t>
      </w:r>
      <w:bookmarkEnd w:id="2"/>
    </w:p>
    <w:p w:rsidR="001A1EA5" w:rsidRDefault="005C3C7E" w:rsidP="005C3C7E">
      <w:pPr>
        <w:jc w:val="both"/>
        <w:rPr>
          <w:rtl/>
        </w:rPr>
      </w:pPr>
      <w:r>
        <w:rPr>
          <w:rFonts w:hint="cs"/>
          <w:rtl/>
        </w:rPr>
        <w:t>مطلبی را که مرحوم سید یزدی از ابی الصلاح و سید فاخر نقل می کند، در مسالک آمده است.</w:t>
      </w:r>
    </w:p>
    <w:p w:rsidR="005C3C7E" w:rsidRDefault="005C3C7E" w:rsidP="005C3C7E">
      <w:pPr>
        <w:pStyle w:val="Heading2"/>
        <w:rPr>
          <w:rtl/>
        </w:rPr>
      </w:pPr>
      <w:bookmarkStart w:id="3" w:name="_Toc58678327"/>
      <w:r>
        <w:rPr>
          <w:rFonts w:hint="cs"/>
          <w:rtl/>
        </w:rPr>
        <w:t>یادداشت استاد در مورد سید فاخر</w:t>
      </w:r>
      <w:bookmarkEnd w:id="3"/>
    </w:p>
    <w:p w:rsidR="005C3C7E" w:rsidRPr="00FD5041" w:rsidRDefault="005C3C7E" w:rsidP="00FD5041">
      <w:pPr>
        <w:jc w:val="center"/>
        <w:rPr>
          <w:b/>
          <w:bCs/>
          <w:rtl/>
        </w:rPr>
      </w:pPr>
      <w:r w:rsidRPr="00FD5041">
        <w:rPr>
          <w:rFonts w:hint="cs"/>
          <w:b/>
          <w:bCs/>
          <w:rtl/>
        </w:rPr>
        <w:t>کلمة فی المراد من السید الفاخر شارح الرسالة</w:t>
      </w:r>
    </w:p>
    <w:p w:rsidR="005C3C7E" w:rsidRDefault="005C3C7E" w:rsidP="00FD5041">
      <w:pPr>
        <w:jc w:val="center"/>
        <w:rPr>
          <w:rtl/>
        </w:rPr>
      </w:pPr>
      <w:r>
        <w:rPr>
          <w:rFonts w:hint="cs"/>
          <w:rtl/>
        </w:rPr>
        <w:t>بسم الله الرحمن الرحیم</w:t>
      </w:r>
    </w:p>
    <w:p w:rsidR="005C3C7E" w:rsidRDefault="005C3C7E" w:rsidP="005C3C7E">
      <w:pPr>
        <w:jc w:val="both"/>
        <w:rPr>
          <w:rtl/>
        </w:rPr>
      </w:pPr>
      <w:r>
        <w:rPr>
          <w:rFonts w:hint="cs"/>
          <w:rtl/>
        </w:rPr>
        <w:t xml:space="preserve">ورد </w:t>
      </w:r>
      <w:r w:rsidR="00FD5041">
        <w:rPr>
          <w:rFonts w:hint="cs"/>
          <w:rtl/>
        </w:rPr>
        <w:t>فی مسالک الافهام</w:t>
      </w:r>
      <w:r w:rsidR="007A61CE">
        <w:rPr>
          <w:rFonts w:hint="cs"/>
          <w:rtl/>
        </w:rPr>
        <w:t xml:space="preserve"> فی مبحث عدة الوفات</w:t>
      </w:r>
      <w:r w:rsidR="00091D70">
        <w:rPr>
          <w:rFonts w:hint="cs"/>
          <w:rtl/>
        </w:rPr>
        <w:t>:</w:t>
      </w:r>
    </w:p>
    <w:p w:rsidR="00091D70" w:rsidRPr="00091D70" w:rsidRDefault="00091D70" w:rsidP="00091D70">
      <w:pPr>
        <w:jc w:val="both"/>
        <w:rPr>
          <w:color w:val="000080"/>
        </w:rPr>
      </w:pPr>
      <w:r w:rsidRPr="00091D70">
        <w:rPr>
          <w:rFonts w:hint="cs"/>
          <w:color w:val="000080"/>
          <w:rtl/>
        </w:rPr>
        <w:t>و قال أبو الصلاح و السيّد الفاخر شارح الرسالة: لا يحتسب من العدّة ما لا يحصل فيه الحداد من الزمان، للإخلال بمراد الشارع، فلم يحصل الامتثال و يجب الاستئناف. و هو نادر.</w:t>
      </w:r>
      <w:r>
        <w:rPr>
          <w:rStyle w:val="FootnoteReference"/>
          <w:color w:val="000080"/>
          <w:rtl/>
        </w:rPr>
        <w:footnoteReference w:id="2"/>
      </w:r>
    </w:p>
    <w:p w:rsidR="00091D70" w:rsidRDefault="002B688F" w:rsidP="00E61A1D">
      <w:pPr>
        <w:jc w:val="both"/>
      </w:pPr>
      <w:r>
        <w:rPr>
          <w:rFonts w:hint="cs"/>
          <w:rtl/>
        </w:rPr>
        <w:t>و الظاهر اتحاد السید الفاخر مع من اشار الشهید الاول الی اسمه</w:t>
      </w:r>
      <w:r w:rsidR="001602EE">
        <w:rPr>
          <w:rFonts w:hint="cs"/>
          <w:rtl/>
        </w:rPr>
        <w:t xml:space="preserve"> فی الدروس الشرعیة</w:t>
      </w:r>
      <w:r>
        <w:rPr>
          <w:rFonts w:hint="cs"/>
          <w:rtl/>
        </w:rPr>
        <w:t xml:space="preserve"> عند الکلا</w:t>
      </w:r>
      <w:r w:rsidR="00696C6A">
        <w:rPr>
          <w:rFonts w:hint="cs"/>
          <w:rtl/>
        </w:rPr>
        <w:t>م عن التحص</w:t>
      </w:r>
      <w:r w:rsidR="0085610D">
        <w:rPr>
          <w:rFonts w:hint="cs"/>
          <w:rtl/>
        </w:rPr>
        <w:t>یب و الم</w:t>
      </w:r>
      <w:r w:rsidR="00784D16">
        <w:rPr>
          <w:rFonts w:hint="cs"/>
          <w:rtl/>
        </w:rPr>
        <w:t>ُ</w:t>
      </w:r>
      <w:r w:rsidR="0085610D">
        <w:rPr>
          <w:rFonts w:hint="cs"/>
          <w:rtl/>
        </w:rPr>
        <w:t>ح</w:t>
      </w:r>
      <w:r w:rsidR="00784D16">
        <w:rPr>
          <w:rFonts w:hint="cs"/>
          <w:rtl/>
        </w:rPr>
        <w:t>َ</w:t>
      </w:r>
      <w:r w:rsidR="0085610D">
        <w:rPr>
          <w:rFonts w:hint="cs"/>
          <w:rtl/>
        </w:rPr>
        <w:t>ص</w:t>
      </w:r>
      <w:r w:rsidR="00784D16">
        <w:rPr>
          <w:rFonts w:hint="cs"/>
          <w:rtl/>
        </w:rPr>
        <w:t>َّ</w:t>
      </w:r>
      <w:r w:rsidR="00E61A1D">
        <w:rPr>
          <w:rFonts w:hint="cs"/>
          <w:rtl/>
        </w:rPr>
        <w:t xml:space="preserve">ب من </w:t>
      </w:r>
      <w:r w:rsidR="00E61A1D" w:rsidRPr="00E61A1D">
        <w:rPr>
          <w:rFonts w:hint="cs"/>
          <w:rtl/>
        </w:rPr>
        <w:t>الأبطح</w:t>
      </w:r>
      <w:r w:rsidR="00E61A1D">
        <w:rPr>
          <w:rFonts w:hint="cs"/>
          <w:rtl/>
        </w:rPr>
        <w:t xml:space="preserve"> قائلا:</w:t>
      </w:r>
    </w:p>
    <w:p w:rsidR="002B688F" w:rsidRPr="002B688F" w:rsidRDefault="002B688F" w:rsidP="002B688F">
      <w:pPr>
        <w:jc w:val="both"/>
        <w:rPr>
          <w:color w:val="000080"/>
        </w:rPr>
      </w:pPr>
      <w:r w:rsidRPr="002B688F">
        <w:rPr>
          <w:rFonts w:hint="cs"/>
          <w:color w:val="000080"/>
          <w:rtl/>
        </w:rPr>
        <w:t>و قال السيد ضياء الدين بن الفاخر شارح الرسالة: ما شاهدت</w:t>
      </w:r>
      <w:r w:rsidR="00632F9E">
        <w:rPr>
          <w:rFonts w:hint="cs"/>
          <w:color w:val="000080"/>
          <w:rtl/>
        </w:rPr>
        <w:t>ُ</w:t>
      </w:r>
      <w:r w:rsidRPr="002B688F">
        <w:rPr>
          <w:rFonts w:hint="cs"/>
          <w:color w:val="000080"/>
          <w:rtl/>
        </w:rPr>
        <w:t xml:space="preserve"> أحدا ي</w:t>
      </w:r>
      <w:r w:rsidR="00632F9E">
        <w:rPr>
          <w:rFonts w:hint="cs"/>
          <w:color w:val="000080"/>
          <w:rtl/>
        </w:rPr>
        <w:t>ُ</w:t>
      </w:r>
      <w:r w:rsidRPr="002B688F">
        <w:rPr>
          <w:rFonts w:hint="cs"/>
          <w:color w:val="000080"/>
          <w:rtl/>
        </w:rPr>
        <w:t>علمني به في زماني، و إنّما وق</w:t>
      </w:r>
      <w:r w:rsidR="00632F9E">
        <w:rPr>
          <w:rFonts w:hint="cs"/>
          <w:color w:val="000080"/>
          <w:rtl/>
        </w:rPr>
        <w:t>َّ</w:t>
      </w:r>
      <w:r w:rsidRPr="002B688F">
        <w:rPr>
          <w:rFonts w:hint="cs"/>
          <w:color w:val="000080"/>
          <w:rtl/>
        </w:rPr>
        <w:t>ف</w:t>
      </w:r>
      <w:r w:rsidR="00632F9E">
        <w:rPr>
          <w:rFonts w:hint="cs"/>
          <w:color w:val="000080"/>
          <w:rtl/>
        </w:rPr>
        <w:t>َ</w:t>
      </w:r>
      <w:r w:rsidRPr="002B688F">
        <w:rPr>
          <w:rFonts w:hint="cs"/>
          <w:color w:val="000080"/>
          <w:rtl/>
        </w:rPr>
        <w:t>ني واحد على أثر مسجد بقرب منى على يمين قاصد مكّة في مسيل واد، قال: و ذكر آخرون أنّه عند مخرج الأبطح إلى مكّة.</w:t>
      </w:r>
      <w:r w:rsidR="00563021">
        <w:rPr>
          <w:rStyle w:val="FootnoteReference"/>
          <w:color w:val="000080"/>
          <w:rtl/>
        </w:rPr>
        <w:footnoteReference w:id="3"/>
      </w:r>
    </w:p>
    <w:p w:rsidR="005C3C7E" w:rsidRDefault="00632F9E" w:rsidP="001D6C8B">
      <w:pPr>
        <w:jc w:val="both"/>
        <w:rPr>
          <w:rtl/>
        </w:rPr>
      </w:pPr>
      <w:r>
        <w:rPr>
          <w:rFonts w:hint="cs"/>
          <w:rtl/>
        </w:rPr>
        <w:t>و فی غایة المراد فی البحث عن قضاء الصلوات الفائتة:</w:t>
      </w:r>
    </w:p>
    <w:p w:rsidR="00632F9E" w:rsidRPr="00AF296D" w:rsidRDefault="00632F9E" w:rsidP="00632F9E">
      <w:pPr>
        <w:jc w:val="both"/>
        <w:rPr>
          <w:color w:val="000080"/>
        </w:rPr>
      </w:pPr>
      <w:r w:rsidRPr="00AF296D">
        <w:rPr>
          <w:rFonts w:hint="cs"/>
          <w:color w:val="000080"/>
          <w:rtl/>
        </w:rPr>
        <w:t>و من الأصحاب من كان قائلا بالمضايقة ثمَّ‌ رجع إلى التوسعة، كالسيّد ضياء الدين بن الفاخر رحمه الله، و الشيخ نجيب الدين يحيى بن سعيد رحمه الله</w:t>
      </w:r>
      <w:r w:rsidR="00AF296D">
        <w:rPr>
          <w:rStyle w:val="FootnoteReference"/>
          <w:color w:val="000080"/>
          <w:rtl/>
        </w:rPr>
        <w:footnoteReference w:id="4"/>
      </w:r>
    </w:p>
    <w:p w:rsidR="00FA4492" w:rsidRDefault="00A74134" w:rsidP="001D6C8B">
      <w:pPr>
        <w:jc w:val="both"/>
        <w:rPr>
          <w:rtl/>
        </w:rPr>
      </w:pPr>
      <w:r>
        <w:rPr>
          <w:rFonts w:hint="cs"/>
          <w:rtl/>
        </w:rPr>
        <w:t>و فی ریاض العلماء</w:t>
      </w:r>
      <w:r w:rsidRPr="00A74134">
        <w:rPr>
          <w:rFonts w:hint="cs"/>
          <w:rtl/>
        </w:rPr>
        <w:t xml:space="preserve"> بعد نقل العبارتین عن الشهید</w:t>
      </w:r>
      <w:r>
        <w:rPr>
          <w:rFonts w:hint="cs"/>
          <w:rtl/>
        </w:rPr>
        <w:t>:</w:t>
      </w:r>
    </w:p>
    <w:p w:rsidR="000327F9" w:rsidRPr="000327F9" w:rsidRDefault="00FA4492" w:rsidP="00FA4492">
      <w:pPr>
        <w:jc w:val="both"/>
        <w:rPr>
          <w:color w:val="000080"/>
          <w:rtl/>
        </w:rPr>
      </w:pPr>
      <w:r w:rsidRPr="000327F9">
        <w:rPr>
          <w:rFonts w:hint="cs"/>
          <w:color w:val="000080"/>
          <w:rtl/>
        </w:rPr>
        <w:lastRenderedPageBreak/>
        <w:t>و اقول المراد بالرسالة التی شرحها هی بعینها رسالة سلّار اعنی المراسم و قد صرّح بذلک بعض الافاضل ایضاً انته</w:t>
      </w:r>
      <w:r w:rsidR="000327F9" w:rsidRPr="000327F9">
        <w:rPr>
          <w:rFonts w:hint="cs"/>
          <w:color w:val="000080"/>
          <w:rtl/>
        </w:rPr>
        <w:t>ی.</w:t>
      </w:r>
    </w:p>
    <w:p w:rsidR="00693544" w:rsidRDefault="00FA4492" w:rsidP="00FA4492">
      <w:pPr>
        <w:jc w:val="both"/>
        <w:rPr>
          <w:rtl/>
        </w:rPr>
      </w:pPr>
      <w:r w:rsidRPr="00FA4492">
        <w:rPr>
          <w:rFonts w:hint="cs"/>
          <w:rtl/>
        </w:rPr>
        <w:t xml:space="preserve">و لم یوضح الوجه فی هذا التفسیر لکن هنا </w:t>
      </w:r>
      <w:r w:rsidR="00693544">
        <w:rPr>
          <w:rFonts w:hint="cs"/>
          <w:rtl/>
        </w:rPr>
        <w:t>مویداتٍ له:</w:t>
      </w:r>
    </w:p>
    <w:p w:rsidR="00693544" w:rsidRDefault="00693544" w:rsidP="00693544">
      <w:pPr>
        <w:pStyle w:val="Heading3"/>
        <w:rPr>
          <w:rtl/>
        </w:rPr>
      </w:pPr>
      <w:bookmarkStart w:id="4" w:name="_Toc58678328"/>
      <w:r>
        <w:rPr>
          <w:rFonts w:hint="cs"/>
          <w:rtl/>
        </w:rPr>
        <w:t>الاول</w:t>
      </w:r>
      <w:bookmarkEnd w:id="4"/>
    </w:p>
    <w:p w:rsidR="00FA4492" w:rsidRPr="00FA4492" w:rsidRDefault="00FA4492" w:rsidP="00FA4492">
      <w:pPr>
        <w:jc w:val="both"/>
        <w:rPr>
          <w:rtl/>
        </w:rPr>
      </w:pPr>
      <w:r w:rsidRPr="00FA4492">
        <w:rPr>
          <w:rFonts w:hint="cs"/>
          <w:rtl/>
        </w:rPr>
        <w:t>قد تکرر فی کشف الرموز و نزهة الناظر التعبیر عن المراسم بالرسالة حیث اورد عبارة سلّار فی الرسالة.</w:t>
      </w:r>
      <w:r w:rsidR="000327F9">
        <w:rPr>
          <w:rStyle w:val="FootnoteReference"/>
          <w:rtl/>
        </w:rPr>
        <w:footnoteReference w:id="5"/>
      </w:r>
    </w:p>
    <w:p w:rsidR="00A90486" w:rsidRPr="00A90486" w:rsidRDefault="009B47CB" w:rsidP="00E25F84">
      <w:pPr>
        <w:jc w:val="both"/>
        <w:rPr>
          <w:rtl/>
        </w:rPr>
      </w:pPr>
      <w:r>
        <w:rPr>
          <w:rFonts w:hint="cs"/>
          <w:rtl/>
        </w:rPr>
        <w:t>و کذلک ورد فی منتهی المطلب</w:t>
      </w:r>
      <w:r>
        <w:rPr>
          <w:rStyle w:val="FootnoteReference"/>
          <w:rtl/>
        </w:rPr>
        <w:footnoteReference w:id="6"/>
      </w:r>
      <w:r w:rsidR="00E25F84">
        <w:rPr>
          <w:rFonts w:hint="cs"/>
          <w:rtl/>
        </w:rPr>
        <w:t xml:space="preserve"> </w:t>
      </w:r>
      <w:r w:rsidR="00A90486" w:rsidRPr="00A90486">
        <w:rPr>
          <w:rFonts w:hint="cs"/>
          <w:rtl/>
        </w:rPr>
        <w:t>و ایضاح الفوائد</w:t>
      </w:r>
      <w:r w:rsidR="00D7545B">
        <w:rPr>
          <w:rStyle w:val="FootnoteReference"/>
          <w:rtl/>
        </w:rPr>
        <w:footnoteReference w:id="7"/>
      </w:r>
      <w:r w:rsidR="00D7545B">
        <w:rPr>
          <w:rFonts w:hint="cs"/>
          <w:rtl/>
        </w:rPr>
        <w:t xml:space="preserve"> </w:t>
      </w:r>
      <w:r w:rsidR="00A90486" w:rsidRPr="00A90486">
        <w:rPr>
          <w:rFonts w:hint="cs"/>
          <w:rtl/>
        </w:rPr>
        <w:t>و الکتب المتأخرة.</w:t>
      </w:r>
    </w:p>
    <w:p w:rsidR="00693544" w:rsidRDefault="00027618" w:rsidP="00693544">
      <w:pPr>
        <w:pStyle w:val="Heading3"/>
        <w:rPr>
          <w:rtl/>
        </w:rPr>
      </w:pPr>
      <w:bookmarkStart w:id="5" w:name="_Toc58678329"/>
      <w:r w:rsidRPr="00027618">
        <w:rPr>
          <w:rFonts w:hint="cs"/>
          <w:rtl/>
        </w:rPr>
        <w:t>الثانی</w:t>
      </w:r>
      <w:bookmarkEnd w:id="5"/>
    </w:p>
    <w:p w:rsidR="00027618" w:rsidRDefault="00027618" w:rsidP="00693544">
      <w:pPr>
        <w:jc w:val="both"/>
        <w:rPr>
          <w:rtl/>
        </w:rPr>
      </w:pPr>
      <w:r w:rsidRPr="00027618">
        <w:rPr>
          <w:rFonts w:hint="cs"/>
          <w:rtl/>
        </w:rPr>
        <w:t>نقل ابن اد</w:t>
      </w:r>
      <w:r>
        <w:rPr>
          <w:rFonts w:hint="cs"/>
          <w:rtl/>
        </w:rPr>
        <w:t>ریس فتاوی سلّار فی مواضع</w:t>
      </w:r>
      <w:r>
        <w:rPr>
          <w:rStyle w:val="FootnoteReference"/>
          <w:rtl/>
        </w:rPr>
        <w:footnoteReference w:id="8"/>
      </w:r>
      <w:r>
        <w:rPr>
          <w:rFonts w:hint="cs"/>
          <w:rtl/>
        </w:rPr>
        <w:t xml:space="preserve"> قائلاً:</w:t>
      </w:r>
    </w:p>
    <w:p w:rsidR="00027618" w:rsidRPr="00027618" w:rsidRDefault="00027618" w:rsidP="00D444C4">
      <w:pPr>
        <w:jc w:val="both"/>
        <w:rPr>
          <w:rtl/>
        </w:rPr>
      </w:pPr>
      <w:r w:rsidRPr="00027618">
        <w:rPr>
          <w:rFonts w:hint="cs"/>
          <w:color w:val="000080"/>
          <w:rtl/>
        </w:rPr>
        <w:t>سلّار فی رسالته</w:t>
      </w:r>
      <w:r w:rsidRPr="00027618">
        <w:rPr>
          <w:rFonts w:hint="cs"/>
          <w:rtl/>
        </w:rPr>
        <w:t>.</w:t>
      </w:r>
    </w:p>
    <w:p w:rsidR="00027618" w:rsidRPr="00027618" w:rsidRDefault="00027618" w:rsidP="00693544">
      <w:pPr>
        <w:jc w:val="both"/>
        <w:rPr>
          <w:rtl/>
        </w:rPr>
      </w:pPr>
      <w:r w:rsidRPr="00027618">
        <w:rPr>
          <w:rFonts w:hint="cs"/>
          <w:rtl/>
        </w:rPr>
        <w:t>و کذا ورد فی کشف الرموز</w:t>
      </w:r>
      <w:r w:rsidR="00D444C4">
        <w:rPr>
          <w:rStyle w:val="FootnoteReference"/>
          <w:rtl/>
        </w:rPr>
        <w:footnoteReference w:id="9"/>
      </w:r>
      <w:r w:rsidR="00693544">
        <w:rPr>
          <w:rFonts w:hint="cs"/>
          <w:rtl/>
        </w:rPr>
        <w:t xml:space="preserve"> </w:t>
      </w:r>
      <w:r w:rsidRPr="00027618">
        <w:rPr>
          <w:rFonts w:hint="cs"/>
          <w:rtl/>
        </w:rPr>
        <w:t>و نزهة الناظر</w:t>
      </w:r>
      <w:r w:rsidR="007C1DED">
        <w:rPr>
          <w:rStyle w:val="FootnoteReference"/>
          <w:rtl/>
        </w:rPr>
        <w:footnoteReference w:id="10"/>
      </w:r>
      <w:r w:rsidR="00693544">
        <w:rPr>
          <w:rFonts w:hint="cs"/>
          <w:rtl/>
        </w:rPr>
        <w:t xml:space="preserve"> </w:t>
      </w:r>
      <w:r w:rsidRPr="00027618">
        <w:rPr>
          <w:rFonts w:hint="cs"/>
          <w:rtl/>
        </w:rPr>
        <w:t xml:space="preserve">و ایضاح </w:t>
      </w:r>
      <w:r w:rsidR="00174F7B">
        <w:rPr>
          <w:rFonts w:hint="cs"/>
          <w:rtl/>
        </w:rPr>
        <w:t>ترددات الشرایع</w:t>
      </w:r>
      <w:r w:rsidR="00174F7B">
        <w:rPr>
          <w:rStyle w:val="FootnoteReference"/>
          <w:rtl/>
        </w:rPr>
        <w:footnoteReference w:id="11"/>
      </w:r>
    </w:p>
    <w:p w:rsidR="00693544" w:rsidRDefault="00693544" w:rsidP="00693544">
      <w:pPr>
        <w:pStyle w:val="Heading3"/>
        <w:rPr>
          <w:rtl/>
        </w:rPr>
      </w:pPr>
      <w:bookmarkStart w:id="6" w:name="_Toc58678330"/>
      <w:r>
        <w:rPr>
          <w:rFonts w:hint="cs"/>
          <w:rtl/>
        </w:rPr>
        <w:t>الثالث</w:t>
      </w:r>
      <w:bookmarkEnd w:id="6"/>
    </w:p>
    <w:p w:rsidR="00693544" w:rsidRDefault="00027618" w:rsidP="00693544">
      <w:pPr>
        <w:jc w:val="both"/>
        <w:rPr>
          <w:rtl/>
        </w:rPr>
      </w:pPr>
      <w:r w:rsidRPr="00027618">
        <w:rPr>
          <w:rFonts w:hint="cs"/>
          <w:rtl/>
        </w:rPr>
        <w:t>فی الرجال لابن داود</w:t>
      </w:r>
      <w:r w:rsidR="00693544">
        <w:rPr>
          <w:rFonts w:hint="cs"/>
          <w:rtl/>
        </w:rPr>
        <w:t xml:space="preserve"> </w:t>
      </w:r>
      <w:r w:rsidRPr="00027618">
        <w:rPr>
          <w:rFonts w:hint="cs"/>
          <w:rtl/>
        </w:rPr>
        <w:t xml:space="preserve"> فی ترجمة سلار بن ع</w:t>
      </w:r>
      <w:r w:rsidR="000816F4">
        <w:rPr>
          <w:rFonts w:hint="cs"/>
          <w:rtl/>
        </w:rPr>
        <w:t>بد</w:t>
      </w:r>
      <w:r w:rsidR="00693544">
        <w:rPr>
          <w:rFonts w:hint="cs"/>
          <w:rtl/>
        </w:rPr>
        <w:t xml:space="preserve">العزیز </w:t>
      </w:r>
      <w:r w:rsidR="006E09E1">
        <w:rPr>
          <w:rFonts w:hint="cs"/>
          <w:rtl/>
        </w:rPr>
        <w:t>ال</w:t>
      </w:r>
      <w:r w:rsidR="00693544">
        <w:rPr>
          <w:rFonts w:hint="cs"/>
          <w:rtl/>
        </w:rPr>
        <w:t>دیلمی فی عداد تصانیفه:</w:t>
      </w:r>
    </w:p>
    <w:p w:rsidR="00027618" w:rsidRPr="00693544" w:rsidRDefault="00027618" w:rsidP="00693544">
      <w:pPr>
        <w:jc w:val="both"/>
        <w:rPr>
          <w:color w:val="000080"/>
          <w:rtl/>
        </w:rPr>
      </w:pPr>
      <w:r w:rsidRPr="00693544">
        <w:rPr>
          <w:rFonts w:hint="cs"/>
          <w:color w:val="000080"/>
          <w:rtl/>
        </w:rPr>
        <w:t>الرسالة التی سماها المراسم.</w:t>
      </w:r>
      <w:r w:rsidR="00693544">
        <w:rPr>
          <w:rStyle w:val="FootnoteReference"/>
          <w:color w:val="000080"/>
          <w:rtl/>
        </w:rPr>
        <w:footnoteReference w:id="12"/>
      </w:r>
    </w:p>
    <w:p w:rsidR="000816F4" w:rsidRDefault="000816F4" w:rsidP="000816F4">
      <w:pPr>
        <w:pStyle w:val="Heading3"/>
        <w:rPr>
          <w:rtl/>
        </w:rPr>
      </w:pPr>
      <w:bookmarkStart w:id="7" w:name="_Toc58678331"/>
      <w:r>
        <w:rPr>
          <w:rFonts w:hint="cs"/>
          <w:rtl/>
        </w:rPr>
        <w:t>الرابع</w:t>
      </w:r>
      <w:bookmarkEnd w:id="7"/>
    </w:p>
    <w:p w:rsidR="00A35129" w:rsidRDefault="00027618" w:rsidP="00A662B7">
      <w:pPr>
        <w:jc w:val="both"/>
        <w:rPr>
          <w:rtl/>
        </w:rPr>
      </w:pPr>
      <w:r w:rsidRPr="00027618">
        <w:rPr>
          <w:rFonts w:hint="cs"/>
          <w:rtl/>
        </w:rPr>
        <w:t>ور</w:t>
      </w:r>
      <w:r w:rsidR="00A662B7">
        <w:rPr>
          <w:rFonts w:hint="cs"/>
          <w:rtl/>
        </w:rPr>
        <w:t>د فی ایضاح الفوائد</w:t>
      </w:r>
      <w:r w:rsidR="00A35129">
        <w:rPr>
          <w:rFonts w:hint="cs"/>
          <w:rtl/>
        </w:rPr>
        <w:t>:</w:t>
      </w:r>
    </w:p>
    <w:p w:rsidR="00A35129" w:rsidRPr="00A662B7" w:rsidRDefault="00A35129" w:rsidP="00A662B7">
      <w:pPr>
        <w:jc w:val="both"/>
        <w:rPr>
          <w:color w:val="000080"/>
          <w:rtl/>
        </w:rPr>
      </w:pPr>
      <w:r w:rsidRPr="00A662B7">
        <w:rPr>
          <w:rFonts w:hint="cs"/>
          <w:color w:val="000080"/>
          <w:rtl/>
        </w:rPr>
        <w:t>و نقل صاحب شرح رسالة سلار من أصحابنا بأنه وجد بعض فتاوى المفيد بان العقد وحده لا يوجب كل المهر بل انما يجب كل المهر بالعقد و الدخول أو الموت</w:t>
      </w:r>
      <w:r w:rsidR="00A662B7">
        <w:rPr>
          <w:rStyle w:val="FootnoteReference"/>
          <w:color w:val="000080"/>
          <w:rtl/>
        </w:rPr>
        <w:footnoteReference w:id="13"/>
      </w:r>
    </w:p>
    <w:p w:rsidR="00A662B7" w:rsidRDefault="00A662B7" w:rsidP="00A662B7">
      <w:pPr>
        <w:pStyle w:val="Heading3"/>
        <w:rPr>
          <w:rtl/>
        </w:rPr>
      </w:pPr>
      <w:bookmarkStart w:id="8" w:name="_Toc58678332"/>
      <w:r>
        <w:rPr>
          <w:rFonts w:hint="cs"/>
          <w:rtl/>
        </w:rPr>
        <w:t>الخامس</w:t>
      </w:r>
      <w:bookmarkEnd w:id="8"/>
    </w:p>
    <w:p w:rsidR="00A662B7" w:rsidRDefault="00027618" w:rsidP="00027618">
      <w:pPr>
        <w:jc w:val="both"/>
        <w:rPr>
          <w:rtl/>
        </w:rPr>
      </w:pPr>
      <w:r w:rsidRPr="00027618">
        <w:rPr>
          <w:rFonts w:hint="cs"/>
          <w:rtl/>
        </w:rPr>
        <w:t>ورد ف</w:t>
      </w:r>
      <w:r w:rsidR="00A662B7">
        <w:rPr>
          <w:rFonts w:hint="cs"/>
          <w:rtl/>
        </w:rPr>
        <w:t>ی کشف الرموز:</w:t>
      </w:r>
    </w:p>
    <w:p w:rsidR="00027618" w:rsidRPr="00A662B7" w:rsidRDefault="00027618" w:rsidP="00027618">
      <w:pPr>
        <w:jc w:val="both"/>
        <w:rPr>
          <w:color w:val="000080"/>
          <w:rtl/>
        </w:rPr>
      </w:pPr>
      <w:r w:rsidRPr="00A662B7">
        <w:rPr>
          <w:rFonts w:hint="cs"/>
          <w:color w:val="000080"/>
          <w:rtl/>
        </w:rPr>
        <w:t>و القائل هذا أبو يعلى سلّار، و لست أعرف منشأه.</w:t>
      </w:r>
      <w:r w:rsidR="00A662B7" w:rsidRPr="00A662B7">
        <w:rPr>
          <w:rFonts w:hint="cs"/>
          <w:color w:val="000080"/>
          <w:rtl/>
        </w:rPr>
        <w:t>..</w:t>
      </w:r>
    </w:p>
    <w:p w:rsidR="00027618" w:rsidRPr="00A662B7" w:rsidRDefault="00027618" w:rsidP="00027618">
      <w:pPr>
        <w:jc w:val="both"/>
        <w:rPr>
          <w:color w:val="000080"/>
          <w:rtl/>
        </w:rPr>
      </w:pPr>
      <w:r w:rsidRPr="00A662B7">
        <w:rPr>
          <w:rFonts w:hint="cs"/>
          <w:color w:val="000080"/>
          <w:rtl/>
        </w:rPr>
        <w:t>و قال شارح لرسالته: أخذ سلّار فتواه من رواية خرجت على التقيّة، و هو اعلم به، و في المثل المولّ</w:t>
      </w:r>
      <w:r w:rsidR="00A662B7" w:rsidRPr="00A662B7">
        <w:rPr>
          <w:rFonts w:hint="cs"/>
          <w:color w:val="000080"/>
          <w:rtl/>
        </w:rPr>
        <w:t>د (الموكول خ) ثبت العرش ثم انقش</w:t>
      </w:r>
      <w:r w:rsidR="00A662B7">
        <w:rPr>
          <w:rStyle w:val="FootnoteReference"/>
          <w:color w:val="000080"/>
          <w:rtl/>
        </w:rPr>
        <w:footnoteReference w:id="14"/>
      </w:r>
    </w:p>
    <w:p w:rsidR="00027618" w:rsidRPr="00E32195" w:rsidRDefault="00027618" w:rsidP="00027618">
      <w:pPr>
        <w:jc w:val="both"/>
        <w:rPr>
          <w:color w:val="000080"/>
        </w:rPr>
      </w:pPr>
      <w:r w:rsidRPr="00E32195">
        <w:rPr>
          <w:rFonts w:hint="cs"/>
          <w:color w:val="000080"/>
          <w:rtl/>
        </w:rPr>
        <w:t>و توهّم بعض الشارحين لرسالة سلّار وجود حديث مرويّ بذلك، فقال: انّ الخبر الوارد بذلك للتقيّة.</w:t>
      </w:r>
      <w:r w:rsidR="00E32195">
        <w:rPr>
          <w:rStyle w:val="FootnoteReference"/>
          <w:color w:val="000080"/>
          <w:rtl/>
        </w:rPr>
        <w:footnoteReference w:id="15"/>
      </w:r>
    </w:p>
    <w:p w:rsidR="00834A76" w:rsidRDefault="00834A76" w:rsidP="00834A76">
      <w:pPr>
        <w:pStyle w:val="Heading3"/>
      </w:pPr>
      <w:bookmarkStart w:id="9" w:name="_Toc58678333"/>
      <w:r>
        <w:rPr>
          <w:rFonts w:hint="cs"/>
          <w:rtl/>
        </w:rPr>
        <w:t>السادس</w:t>
      </w:r>
      <w:bookmarkEnd w:id="9"/>
    </w:p>
    <w:p w:rsidR="00A21EC0" w:rsidRDefault="00027618" w:rsidP="00400BBE">
      <w:pPr>
        <w:jc w:val="both"/>
        <w:rPr>
          <w:rtl/>
        </w:rPr>
      </w:pPr>
      <w:r w:rsidRPr="00027618">
        <w:rPr>
          <w:rFonts w:hint="cs"/>
          <w:rtl/>
        </w:rPr>
        <w:t xml:space="preserve">ورد فی کلام لشهید الاوّل فی </w:t>
      </w:r>
      <w:r w:rsidR="00400BBE">
        <w:rPr>
          <w:rFonts w:hint="cs"/>
          <w:rtl/>
        </w:rPr>
        <w:t xml:space="preserve">ذکری ‌الشیعة </w:t>
      </w:r>
      <w:r w:rsidRPr="00027618">
        <w:rPr>
          <w:rFonts w:hint="cs"/>
          <w:rtl/>
        </w:rPr>
        <w:t>فی مناقشات</w:t>
      </w:r>
      <w:r w:rsidR="005C7586">
        <w:rPr>
          <w:rFonts w:hint="cs"/>
          <w:rtl/>
        </w:rPr>
        <w:t>ه</w:t>
      </w:r>
      <w:r w:rsidRPr="00027618">
        <w:rPr>
          <w:rFonts w:hint="cs"/>
          <w:rtl/>
        </w:rPr>
        <w:t xml:space="preserve"> علی کلام للمحقق الحلی:</w:t>
      </w:r>
    </w:p>
    <w:p w:rsidR="00027618" w:rsidRPr="00400BBE" w:rsidRDefault="00027618" w:rsidP="00A21EC0">
      <w:pPr>
        <w:jc w:val="both"/>
        <w:rPr>
          <w:color w:val="000080"/>
        </w:rPr>
      </w:pPr>
      <w:r w:rsidRPr="00400BBE">
        <w:rPr>
          <w:rFonts w:hint="cs"/>
          <w:color w:val="000080"/>
          <w:rtl/>
        </w:rPr>
        <w:t>و منها: إلزامه بوجوب صيغة (السلام علينا و على عباد الله الصالحين) تخييرا، و هذا قول حدث في زمانه فيما أظنه أو قبله بيسير، لان بعض شراح رسالة سلار أومأ اليه.</w:t>
      </w:r>
      <w:r w:rsidR="00400BBE">
        <w:rPr>
          <w:rStyle w:val="FootnoteReference"/>
          <w:color w:val="000080"/>
          <w:rtl/>
        </w:rPr>
        <w:footnoteReference w:id="16"/>
      </w:r>
    </w:p>
    <w:p w:rsidR="00632F9E" w:rsidRDefault="00027618" w:rsidP="009A3FFE">
      <w:pPr>
        <w:jc w:val="both"/>
      </w:pPr>
      <w:r w:rsidRPr="00027618">
        <w:rPr>
          <w:rFonts w:hint="cs"/>
          <w:rtl/>
        </w:rPr>
        <w:t>هذا ما حصلت علیه حول هذا الفقیه و المستفاد من العبارة الاخیرة ا</w:t>
      </w:r>
      <w:r w:rsidR="00A17754">
        <w:rPr>
          <w:rFonts w:hint="cs"/>
          <w:rtl/>
        </w:rPr>
        <w:t xml:space="preserve">ن لبعض من کان </w:t>
      </w:r>
      <w:r w:rsidR="009A3FFE">
        <w:rPr>
          <w:rFonts w:hint="cs"/>
          <w:rtl/>
        </w:rPr>
        <w:t>قبل</w:t>
      </w:r>
      <w:r w:rsidR="00A17754">
        <w:rPr>
          <w:rFonts w:hint="cs"/>
          <w:rtl/>
        </w:rPr>
        <w:t xml:space="preserve"> </w:t>
      </w:r>
      <w:r w:rsidR="009A3FFE">
        <w:rPr>
          <w:rFonts w:hint="cs"/>
          <w:rtl/>
        </w:rPr>
        <w:t>ال</w:t>
      </w:r>
      <w:r w:rsidR="00A17754">
        <w:rPr>
          <w:rFonts w:hint="cs"/>
          <w:rtl/>
        </w:rPr>
        <w:t>محقق الحلی بیس</w:t>
      </w:r>
      <w:r w:rsidRPr="00027618">
        <w:rPr>
          <w:rFonts w:hint="cs"/>
          <w:rtl/>
        </w:rPr>
        <w:t xml:space="preserve">یر شرحاً علی رسالة سلار و کأنّه سید ضیاء الدین بن فاخر و تعیین شخصه یحتاج الی </w:t>
      </w:r>
      <w:r w:rsidR="00820505">
        <w:rPr>
          <w:rFonts w:hint="cs"/>
          <w:rtl/>
        </w:rPr>
        <w:t>العث</w:t>
      </w:r>
      <w:r w:rsidRPr="00027618">
        <w:rPr>
          <w:rFonts w:hint="cs"/>
          <w:rtl/>
        </w:rPr>
        <w:t>ور</w:t>
      </w:r>
      <w:r w:rsidR="009A3FFE">
        <w:rPr>
          <w:rFonts w:hint="cs"/>
          <w:rtl/>
        </w:rPr>
        <w:t xml:space="preserve"> علی مصادر جدیدة</w:t>
      </w:r>
      <w:r w:rsidRPr="00027618">
        <w:rPr>
          <w:rFonts w:hint="cs"/>
          <w:rtl/>
        </w:rPr>
        <w:t xml:space="preserve"> و لله </w:t>
      </w:r>
      <w:r w:rsidR="009A3FFE">
        <w:rPr>
          <w:rFonts w:hint="cs"/>
          <w:rtl/>
        </w:rPr>
        <w:t>الحمد.</w:t>
      </w:r>
    </w:p>
    <w:p w:rsidR="005C3C7E" w:rsidRDefault="007F5BEC" w:rsidP="005C3C7E">
      <w:pPr>
        <w:jc w:val="both"/>
      </w:pPr>
      <w:r>
        <w:rPr>
          <w:rFonts w:hint="cs"/>
          <w:rtl/>
        </w:rPr>
        <w:t>مطلبی که صاحب ریاض از بعض الافاضل نقل کرده است که مراد از سید فاخر، سید ضیاء الدین بن فاخر، شارح رساله</w:t>
      </w:r>
      <w:r>
        <w:rPr>
          <w:rFonts w:hint="eastAsia"/>
          <w:rtl/>
        </w:rPr>
        <w:t>‌</w:t>
      </w:r>
      <w:r>
        <w:rPr>
          <w:rFonts w:hint="cs"/>
          <w:rtl/>
        </w:rPr>
        <w:t xml:space="preserve">ی مراسم سلار </w:t>
      </w:r>
      <w:r w:rsidR="002C7747">
        <w:rPr>
          <w:rFonts w:hint="cs"/>
          <w:rtl/>
        </w:rPr>
        <w:t xml:space="preserve">می </w:t>
      </w:r>
      <w:r>
        <w:rPr>
          <w:rFonts w:hint="cs"/>
          <w:rtl/>
        </w:rPr>
        <w:t>باشد</w:t>
      </w:r>
      <w:r w:rsidR="002C7747">
        <w:rPr>
          <w:rFonts w:hint="cs"/>
          <w:rtl/>
        </w:rPr>
        <w:t>، بعید نیست.</w:t>
      </w:r>
    </w:p>
    <w:p w:rsidR="005C3C7E" w:rsidRDefault="00004506" w:rsidP="0068172B">
      <w:pPr>
        <w:pStyle w:val="Heading1"/>
      </w:pPr>
      <w:bookmarkStart w:id="10" w:name="_Toc58678334"/>
      <w:r>
        <w:rPr>
          <w:rFonts w:hint="cs"/>
          <w:rtl/>
        </w:rPr>
        <w:t>دو نقل از ابی الصلاح و سید فاخر</w:t>
      </w:r>
      <w:r w:rsidR="00410A01">
        <w:rPr>
          <w:rFonts w:hint="cs"/>
          <w:rtl/>
        </w:rPr>
        <w:t xml:space="preserve"> در اشتراط صحت عده به حداد</w:t>
      </w:r>
      <w:bookmarkEnd w:id="10"/>
    </w:p>
    <w:p w:rsidR="005C3C7E" w:rsidRDefault="0096174D" w:rsidP="005C3C7E">
      <w:pPr>
        <w:jc w:val="both"/>
        <w:rPr>
          <w:rtl/>
        </w:rPr>
      </w:pPr>
      <w:r>
        <w:rPr>
          <w:rFonts w:hint="cs"/>
          <w:rtl/>
        </w:rPr>
        <w:t>دو نقل از این دو بزرگوار وجود دارد که زن در زمان عده</w:t>
      </w:r>
      <w:r>
        <w:rPr>
          <w:rFonts w:hint="eastAsia"/>
          <w:rtl/>
        </w:rPr>
        <w:t>‌</w:t>
      </w:r>
      <w:r>
        <w:rPr>
          <w:rFonts w:hint="cs"/>
          <w:rtl/>
        </w:rPr>
        <w:t>ی وفات اگر حداد را رعایت نکند، عده اش باطل می شود.</w:t>
      </w:r>
      <w:r w:rsidR="00EC6B19">
        <w:rPr>
          <w:rFonts w:hint="cs"/>
          <w:rtl/>
        </w:rPr>
        <w:t xml:space="preserve"> بنا بر یک نقل عدم رعایت حداد مطلقا موجب </w:t>
      </w:r>
      <w:r w:rsidR="00AA1A48">
        <w:rPr>
          <w:rFonts w:hint="cs"/>
          <w:rtl/>
        </w:rPr>
        <w:t xml:space="preserve">بطلان عده می شود و بنا بر نقل دیگر در صورتی که عمدا حداد را رعایت نکند، </w:t>
      </w:r>
      <w:r w:rsidR="00D13504">
        <w:rPr>
          <w:rFonts w:hint="cs"/>
          <w:rtl/>
        </w:rPr>
        <w:t>عده باطل می شود.</w:t>
      </w:r>
    </w:p>
    <w:p w:rsidR="009B436F" w:rsidRDefault="00944E32" w:rsidP="005C3C7E">
      <w:pPr>
        <w:jc w:val="both"/>
        <w:rPr>
          <w:rtl/>
        </w:rPr>
      </w:pPr>
      <w:r>
        <w:rPr>
          <w:rFonts w:hint="cs"/>
          <w:rtl/>
        </w:rPr>
        <w:t xml:space="preserve">نقل دوم که در صورت </w:t>
      </w:r>
      <w:r w:rsidR="00DC24B3">
        <w:rPr>
          <w:rFonts w:hint="cs"/>
          <w:rtl/>
        </w:rPr>
        <w:t>ترک عمدی حداد، عده باطل می شود، به طور مصرح در ریاض نقل شده است:</w:t>
      </w:r>
    </w:p>
    <w:p w:rsidR="00F227A1" w:rsidRPr="00AB2983" w:rsidRDefault="00F227A1" w:rsidP="00F227A1">
      <w:pPr>
        <w:jc w:val="both"/>
        <w:rPr>
          <w:color w:val="000080"/>
        </w:rPr>
      </w:pPr>
      <w:r w:rsidRPr="00AB2983">
        <w:rPr>
          <w:rFonts w:hint="cs"/>
          <w:color w:val="000080"/>
          <w:rtl/>
        </w:rPr>
        <w:t>ثمّ إنّ غاية ما يستفاد من الأدلّة إجماعاً و روايةً كون الحداد واجباً على حدةٍ، لا شرطاً في العدّة، فلو أخلّت به و لو عمداً إلى أن انقضت العدّة حلّت للأزواج، و لكن تكون آثمة خاصّة، و هو أصحّ القولين في المسألة.</w:t>
      </w:r>
    </w:p>
    <w:p w:rsidR="00F227A1" w:rsidRPr="00AB2983" w:rsidRDefault="00F227A1" w:rsidP="00F227A1">
      <w:pPr>
        <w:jc w:val="both"/>
        <w:rPr>
          <w:color w:val="000080"/>
          <w:rtl/>
        </w:rPr>
      </w:pPr>
      <w:r w:rsidRPr="00AB2983">
        <w:rPr>
          <w:rFonts w:hint="cs"/>
          <w:color w:val="000080"/>
          <w:rtl/>
        </w:rPr>
        <w:t>خلافاً لنادر في العمد، فأبطل به العدّة أيضاً. و هو لمخالفته الأصل و إطلاق الأدلّة ضعيف البتّة.</w:t>
      </w:r>
      <w:r w:rsidR="00AB2983">
        <w:rPr>
          <w:rStyle w:val="FootnoteReference"/>
          <w:color w:val="000080"/>
          <w:rtl/>
        </w:rPr>
        <w:footnoteReference w:id="17"/>
      </w:r>
    </w:p>
    <w:p w:rsidR="00DC24B3" w:rsidRDefault="00212B31" w:rsidP="00CB557A">
      <w:pPr>
        <w:jc w:val="both"/>
        <w:rPr>
          <w:rtl/>
        </w:rPr>
      </w:pPr>
      <w:r>
        <w:rPr>
          <w:rFonts w:hint="cs"/>
          <w:rtl/>
        </w:rPr>
        <w:t>اولین بار عبارت ابی الصلاح و سید فاخر در مسالک نقل شده است. ظاهر عبارت مسالک</w:t>
      </w:r>
      <w:r w:rsidR="00CB557A">
        <w:rPr>
          <w:rFonts w:hint="cs"/>
          <w:rtl/>
        </w:rPr>
        <w:t>،</w:t>
      </w:r>
      <w:r>
        <w:rPr>
          <w:rFonts w:hint="cs"/>
          <w:rtl/>
        </w:rPr>
        <w:t xml:space="preserve"> بطل</w:t>
      </w:r>
      <w:r w:rsidR="00CF3E35">
        <w:rPr>
          <w:rFonts w:hint="cs"/>
          <w:rtl/>
        </w:rPr>
        <w:t>ان عده</w:t>
      </w:r>
      <w:r>
        <w:rPr>
          <w:rFonts w:hint="cs"/>
          <w:rtl/>
        </w:rPr>
        <w:t xml:space="preserve"> مطلقا</w:t>
      </w:r>
      <w:r w:rsidR="00CF3E35">
        <w:rPr>
          <w:rFonts w:hint="cs"/>
          <w:rtl/>
        </w:rPr>
        <w:t xml:space="preserve"> ( حتی در صورت</w:t>
      </w:r>
      <w:r>
        <w:rPr>
          <w:rFonts w:hint="cs"/>
          <w:rtl/>
        </w:rPr>
        <w:t xml:space="preserve"> </w:t>
      </w:r>
      <w:r w:rsidR="00CF3E35">
        <w:rPr>
          <w:rFonts w:hint="cs"/>
          <w:rtl/>
        </w:rPr>
        <w:t xml:space="preserve">ترک غیر عمدی حداد) </w:t>
      </w:r>
      <w:r>
        <w:rPr>
          <w:rFonts w:hint="cs"/>
          <w:rtl/>
        </w:rPr>
        <w:t>می باشد.</w:t>
      </w:r>
      <w:r w:rsidR="00CB557A">
        <w:rPr>
          <w:rFonts w:hint="cs"/>
          <w:rtl/>
        </w:rPr>
        <w:t xml:space="preserve"> اما تعلیلی که در کشف اللثام برای </w:t>
      </w:r>
      <w:r w:rsidR="00995D94">
        <w:rPr>
          <w:rFonts w:hint="cs"/>
          <w:rtl/>
        </w:rPr>
        <w:t>این قول ذکر شده است، اقتضا می کند که بطلان عده مختص ترک عمدی حداد باشد.</w:t>
      </w:r>
      <w:r w:rsidR="005C3B31">
        <w:rPr>
          <w:rFonts w:hint="cs"/>
          <w:rtl/>
        </w:rPr>
        <w:t xml:space="preserve"> البته این تعلیل را کاشف اللثام آورده است؛ نه خود آن ها. می توان عبارت آن ها را به نحو دیگری تعلیل کرد که بطلان به طور مطلق ثابت شود.</w:t>
      </w:r>
    </w:p>
    <w:p w:rsidR="001F3DD8" w:rsidRDefault="001F3DD8" w:rsidP="00CB557A">
      <w:pPr>
        <w:jc w:val="both"/>
        <w:rPr>
          <w:rtl/>
        </w:rPr>
      </w:pPr>
      <w:r>
        <w:rPr>
          <w:rFonts w:hint="cs"/>
          <w:rtl/>
        </w:rPr>
        <w:t>کلام شهید ثانی در مسالک به این صورت است:</w:t>
      </w:r>
    </w:p>
    <w:p w:rsidR="001F3DD8" w:rsidRPr="00091D70" w:rsidRDefault="001F3DD8" w:rsidP="001F3DD8">
      <w:pPr>
        <w:jc w:val="both"/>
        <w:rPr>
          <w:color w:val="000080"/>
        </w:rPr>
      </w:pPr>
      <w:r w:rsidRPr="00091D70">
        <w:rPr>
          <w:rFonts w:hint="cs"/>
          <w:color w:val="000080"/>
          <w:rtl/>
        </w:rPr>
        <w:t>و قال أبو الصلاح و السيّد الفاخر شارح الرسالة: لا يحتسب من العدّة ما لا يحصل فيه الحداد من الزمان، للإخلال بمراد الشارع، فلم يحصل الامتثال و يجب الاستئناف. و هو نادر.</w:t>
      </w:r>
      <w:r>
        <w:rPr>
          <w:rStyle w:val="FootnoteReference"/>
          <w:color w:val="000080"/>
          <w:rtl/>
        </w:rPr>
        <w:footnoteReference w:id="18"/>
      </w:r>
    </w:p>
    <w:p w:rsidR="001F3DD8" w:rsidRDefault="00BA7DA8" w:rsidP="00CB557A">
      <w:pPr>
        <w:jc w:val="both"/>
        <w:rPr>
          <w:rtl/>
        </w:rPr>
      </w:pPr>
      <w:r>
        <w:rPr>
          <w:rFonts w:hint="cs"/>
          <w:rtl/>
        </w:rPr>
        <w:t xml:space="preserve">ممکن است مراد از </w:t>
      </w:r>
      <w:r w:rsidRPr="00091D70">
        <w:rPr>
          <w:rFonts w:hint="cs"/>
          <w:color w:val="000080"/>
          <w:rtl/>
        </w:rPr>
        <w:t>للإخلال بمراد الشارع</w:t>
      </w:r>
      <w:r>
        <w:rPr>
          <w:rFonts w:hint="cs"/>
          <w:rtl/>
        </w:rPr>
        <w:t xml:space="preserve"> این باشد که از آن جا که شارع دستور داده است عده همراه حداد باشد، گویا امر به حداد، ام</w:t>
      </w:r>
      <w:r w:rsidR="000F3A3C">
        <w:rPr>
          <w:rFonts w:hint="cs"/>
          <w:rtl/>
        </w:rPr>
        <w:t>ر به اشتراط عده به حداد می باشد؛ یعنی ارشاد به شرطی</w:t>
      </w:r>
      <w:r w:rsidR="00013322">
        <w:rPr>
          <w:rFonts w:hint="cs"/>
          <w:rtl/>
        </w:rPr>
        <w:t>ت</w:t>
      </w:r>
      <w:r w:rsidR="00562750">
        <w:rPr>
          <w:rFonts w:hint="cs"/>
          <w:rtl/>
        </w:rPr>
        <w:t xml:space="preserve"> حداد در عده می باشد؛ بنابراین با عدم رعایت این شرط، امر شارع امتثال نشده است و استیناف لازم است.</w:t>
      </w:r>
      <w:r w:rsidR="00A801ED">
        <w:rPr>
          <w:rFonts w:hint="cs"/>
          <w:rtl/>
        </w:rPr>
        <w:t xml:space="preserve"> این بیان اختصاص به عمد ندارد و مطلقا ارشاد به شرطیت است.</w:t>
      </w:r>
    </w:p>
    <w:p w:rsidR="00821F21" w:rsidRDefault="00821F21" w:rsidP="00CB557A">
      <w:pPr>
        <w:jc w:val="both"/>
        <w:rPr>
          <w:rtl/>
        </w:rPr>
      </w:pPr>
      <w:r>
        <w:rPr>
          <w:rFonts w:hint="cs"/>
          <w:rtl/>
        </w:rPr>
        <w:t xml:space="preserve">اما کاشف اللثام عبارت را به طریق دیگری </w:t>
      </w:r>
      <w:r w:rsidR="0005094B">
        <w:rPr>
          <w:rFonts w:hint="cs"/>
          <w:rtl/>
        </w:rPr>
        <w:t>تفسیر کرده است و می فرماید:</w:t>
      </w:r>
    </w:p>
    <w:p w:rsidR="002C2E67" w:rsidRPr="009E38E7" w:rsidRDefault="002C2E67" w:rsidP="009E38E7">
      <w:pPr>
        <w:jc w:val="both"/>
        <w:rPr>
          <w:color w:val="000080"/>
          <w:rtl/>
        </w:rPr>
      </w:pPr>
      <w:r w:rsidRPr="009E38E7">
        <w:rPr>
          <w:rFonts w:hint="cs"/>
          <w:color w:val="000080"/>
          <w:rtl/>
        </w:rPr>
        <w:t>الخامس: لو تركت الإحداد في العدّة احتسب بعدّتها و إن‌</w:t>
      </w:r>
      <w:r w:rsidR="009E38E7" w:rsidRPr="009E38E7">
        <w:rPr>
          <w:rFonts w:hint="cs"/>
          <w:color w:val="000080"/>
          <w:rtl/>
        </w:rPr>
        <w:t xml:space="preserve"> </w:t>
      </w:r>
      <w:r w:rsidRPr="009E38E7">
        <w:rPr>
          <w:rFonts w:hint="cs"/>
          <w:color w:val="000080"/>
          <w:rtl/>
        </w:rPr>
        <w:t>فعلت محرّماً بترك الإحداد في المشهور، للأصل. و عموم</w:t>
      </w:r>
      <w:r w:rsidR="009E38E7">
        <w:rPr>
          <w:rFonts w:hint="cs"/>
          <w:color w:val="000080"/>
          <w:rtl/>
        </w:rPr>
        <w:t xml:space="preserve"> </w:t>
      </w:r>
      <w:r w:rsidR="009E38E7">
        <w:rPr>
          <w:rFonts w:cs="Calibri"/>
          <w:color w:val="000080"/>
          <w:rtl/>
        </w:rPr>
        <w:t>﴿</w:t>
      </w:r>
      <w:r w:rsidR="009E38E7" w:rsidRPr="009E38E7">
        <w:rPr>
          <w:rFonts w:hint="cs"/>
          <w:color w:val="008000"/>
          <w:rtl/>
        </w:rPr>
        <w:t>فَإِذا بَلَغْنَ أَجَلَهُنَّ فَلا جُناحَ عَلَيْكُمْ فِيما فَعَلْنَ فِي أَنْفُسِهِنَّ</w:t>
      </w:r>
      <w:r w:rsidR="009E38E7" w:rsidRPr="009E38E7">
        <w:rPr>
          <w:rFonts w:cs="Calibri"/>
          <w:color w:val="008000"/>
          <w:rtl/>
        </w:rPr>
        <w:t>﴾</w:t>
      </w:r>
      <w:r w:rsidR="009E38E7">
        <w:rPr>
          <w:rStyle w:val="FootnoteReference"/>
          <w:rFonts w:cs="Calibri"/>
          <w:color w:val="008000"/>
          <w:rtl/>
        </w:rPr>
        <w:footnoteReference w:id="19"/>
      </w:r>
      <w:r w:rsidRPr="009E38E7">
        <w:rPr>
          <w:rFonts w:hint="cs"/>
          <w:color w:val="008000"/>
          <w:rtl/>
        </w:rPr>
        <w:t xml:space="preserve"> </w:t>
      </w:r>
      <w:r w:rsidRPr="009E38E7">
        <w:rPr>
          <w:rFonts w:hint="cs"/>
          <w:color w:val="000080"/>
          <w:rtl/>
        </w:rPr>
        <w:t>خلافاً للتّقيّ و السيّد الفاخر لأنّه كيفيّة للاعتداد منهيّة، و هو عبادة فتفسد. و المقدّمة الأُولى ممنوعة.</w:t>
      </w:r>
      <w:r w:rsidR="00755E6E" w:rsidRPr="009E38E7">
        <w:rPr>
          <w:rStyle w:val="FootnoteReference"/>
          <w:color w:val="000080"/>
          <w:rtl/>
        </w:rPr>
        <w:footnoteReference w:id="20"/>
      </w:r>
    </w:p>
    <w:p w:rsidR="0005094B" w:rsidRDefault="00415CB9" w:rsidP="00CB557A">
      <w:pPr>
        <w:jc w:val="both"/>
        <w:rPr>
          <w:rtl/>
        </w:rPr>
      </w:pPr>
      <w:r>
        <w:rPr>
          <w:rFonts w:hint="cs"/>
          <w:rtl/>
        </w:rPr>
        <w:t>می فرماید: بنا بر نظر مشهور اگر زنی حداد را ترک کند، عده اش باطل نیست، گر چه فعل محرمی را مرتکب شده است.</w:t>
      </w:r>
    </w:p>
    <w:p w:rsidR="005C3C7E" w:rsidRDefault="00001641" w:rsidP="005C3C7E">
      <w:pPr>
        <w:jc w:val="both"/>
        <w:rPr>
          <w:rtl/>
        </w:rPr>
      </w:pPr>
      <w:r>
        <w:rPr>
          <w:rFonts w:hint="cs"/>
          <w:rtl/>
        </w:rPr>
        <w:t>مراد از تقی، ابوالصلاح حلبی است.</w:t>
      </w:r>
    </w:p>
    <w:p w:rsidR="00FB35AB" w:rsidRDefault="00FB35AB" w:rsidP="005C3C7E">
      <w:pPr>
        <w:jc w:val="both"/>
      </w:pPr>
      <w:r>
        <w:rPr>
          <w:rFonts w:hint="cs"/>
          <w:rtl/>
        </w:rPr>
        <w:t>سپس در مورد قول ابوالصلاح حلبی و سید فاخر می فرماید:</w:t>
      </w:r>
    </w:p>
    <w:p w:rsidR="004954E6" w:rsidRDefault="004954E6" w:rsidP="005C3C7E">
      <w:pPr>
        <w:jc w:val="both"/>
        <w:rPr>
          <w:rtl/>
        </w:rPr>
      </w:pPr>
      <w:r>
        <w:rPr>
          <w:rFonts w:hint="cs"/>
          <w:rtl/>
        </w:rPr>
        <w:t>ترک حداد کیفیتی برای اعتداد است که از آن نهی شده است ( امر به احداد در واقع نهی از ترک آن است) و اعتداد عبادت است؛ در نتیجه ترک حدا</w:t>
      </w:r>
      <w:r w:rsidR="007E2DC6">
        <w:rPr>
          <w:rFonts w:hint="cs"/>
          <w:rtl/>
        </w:rPr>
        <w:t>د موجب فساد اعتداد می شود.</w:t>
      </w:r>
    </w:p>
    <w:p w:rsidR="005C3C7E" w:rsidRDefault="000C49F1" w:rsidP="005C3C7E">
      <w:pPr>
        <w:jc w:val="both"/>
        <w:rPr>
          <w:rtl/>
        </w:rPr>
      </w:pPr>
      <w:r>
        <w:rPr>
          <w:rFonts w:hint="cs"/>
          <w:rtl/>
        </w:rPr>
        <w:t xml:space="preserve">کاشف اللثام می فرماید: </w:t>
      </w:r>
      <w:r w:rsidRPr="009E38E7">
        <w:rPr>
          <w:rFonts w:hint="cs"/>
          <w:color w:val="000080"/>
          <w:rtl/>
        </w:rPr>
        <w:t>و المقدّمة الأُولى ممنوعة.</w:t>
      </w:r>
    </w:p>
    <w:p w:rsidR="005C3C7E" w:rsidRDefault="00D37A60" w:rsidP="005C3C7E">
      <w:pPr>
        <w:jc w:val="both"/>
        <w:rPr>
          <w:rtl/>
        </w:rPr>
      </w:pPr>
      <w:r>
        <w:rPr>
          <w:rFonts w:hint="cs"/>
          <w:rtl/>
        </w:rPr>
        <w:t>ظاهرا مراد از مقدمه</w:t>
      </w:r>
      <w:r>
        <w:rPr>
          <w:rFonts w:hint="eastAsia"/>
          <w:rtl/>
        </w:rPr>
        <w:t>‌</w:t>
      </w:r>
      <w:r>
        <w:rPr>
          <w:rFonts w:hint="cs"/>
          <w:rtl/>
        </w:rPr>
        <w:t>ی اول، عبادت بودن اعتداد است.</w:t>
      </w:r>
    </w:p>
    <w:p w:rsidR="00A9570F" w:rsidRDefault="00A9570F" w:rsidP="005C3C7E">
      <w:pPr>
        <w:jc w:val="both"/>
        <w:rPr>
          <w:rtl/>
        </w:rPr>
      </w:pPr>
      <w:r>
        <w:rPr>
          <w:rFonts w:hint="cs"/>
          <w:rtl/>
        </w:rPr>
        <w:t>مقدمه</w:t>
      </w:r>
      <w:r>
        <w:rPr>
          <w:rFonts w:hint="eastAsia"/>
          <w:rtl/>
        </w:rPr>
        <w:t>‌</w:t>
      </w:r>
      <w:r>
        <w:rPr>
          <w:rFonts w:hint="cs"/>
          <w:rtl/>
        </w:rPr>
        <w:t>ی اول: الاعتداد عبادة</w:t>
      </w:r>
    </w:p>
    <w:p w:rsidR="00A9570F" w:rsidRDefault="00A9570F" w:rsidP="00A9570F">
      <w:pPr>
        <w:jc w:val="both"/>
        <w:rPr>
          <w:rtl/>
        </w:rPr>
      </w:pPr>
      <w:r>
        <w:rPr>
          <w:rFonts w:hint="cs"/>
          <w:rtl/>
        </w:rPr>
        <w:t>مقدمه</w:t>
      </w:r>
      <w:r>
        <w:rPr>
          <w:rFonts w:hint="eastAsia"/>
          <w:rtl/>
        </w:rPr>
        <w:t>‌</w:t>
      </w:r>
      <w:r>
        <w:rPr>
          <w:rFonts w:hint="cs"/>
          <w:rtl/>
        </w:rPr>
        <w:t>ی دوم: و العبادة اذا تعلق به النهی تفسد</w:t>
      </w:r>
    </w:p>
    <w:p w:rsidR="005C3C7E" w:rsidRDefault="00641995" w:rsidP="005C3C7E">
      <w:pPr>
        <w:jc w:val="both"/>
        <w:rPr>
          <w:rtl/>
        </w:rPr>
      </w:pPr>
      <w:r>
        <w:rPr>
          <w:rFonts w:hint="cs"/>
          <w:rtl/>
        </w:rPr>
        <w:t xml:space="preserve">نتیجه: </w:t>
      </w:r>
      <w:r w:rsidR="009019D0">
        <w:rPr>
          <w:rFonts w:hint="cs"/>
          <w:rtl/>
        </w:rPr>
        <w:t>و قد تعلق النهی بترک الاحداد فتفسد العبادة</w:t>
      </w:r>
    </w:p>
    <w:p w:rsidR="005C3C7E" w:rsidRDefault="00077074" w:rsidP="00077074">
      <w:pPr>
        <w:jc w:val="both"/>
        <w:rPr>
          <w:rtl/>
        </w:rPr>
      </w:pPr>
      <w:r>
        <w:rPr>
          <w:rFonts w:hint="cs"/>
          <w:rtl/>
        </w:rPr>
        <w:t>کاشف اللثام می فرماید: دلیلی نداریم اعتداد عبادت باشد.</w:t>
      </w:r>
    </w:p>
    <w:p w:rsidR="00D21B5F" w:rsidRDefault="00D21B5F" w:rsidP="00077074">
      <w:pPr>
        <w:jc w:val="both"/>
        <w:rPr>
          <w:rtl/>
        </w:rPr>
      </w:pPr>
      <w:r>
        <w:rPr>
          <w:rFonts w:hint="cs"/>
          <w:rtl/>
        </w:rPr>
        <w:t>این نحو استدلال اقتضا می کند که فقط در صورت عمد، عده باطل شود؛ زیرا بحث «دلالت نهی بر فساد عبادت» فقط در صو</w:t>
      </w:r>
      <w:r w:rsidR="00F63819">
        <w:rPr>
          <w:rFonts w:hint="cs"/>
          <w:rtl/>
        </w:rPr>
        <w:t>رت اتیان عمدی، موجب فساد می شود؛ زیرا در عبادت مقربیت شرط است و شخص آثم نمی تواند با چنین عبادتی، تقرب جوید.</w:t>
      </w:r>
      <w:r w:rsidR="001A1E74">
        <w:rPr>
          <w:rFonts w:hint="cs"/>
          <w:rtl/>
        </w:rPr>
        <w:t xml:space="preserve"> ( شرط آثم بودن نیز عامد بودن است)</w:t>
      </w:r>
    </w:p>
    <w:p w:rsidR="005C3C7E" w:rsidRDefault="000C60A4" w:rsidP="005C3C7E">
      <w:pPr>
        <w:jc w:val="both"/>
        <w:rPr>
          <w:rtl/>
        </w:rPr>
      </w:pPr>
      <w:r>
        <w:rPr>
          <w:rFonts w:hint="cs"/>
          <w:rtl/>
        </w:rPr>
        <w:t>مرحوم سید یزدی پس از نقل مخالفت ابی الصلاح و سید فاخر می فرماید:</w:t>
      </w:r>
    </w:p>
    <w:p w:rsidR="000C60A4" w:rsidRDefault="000C60A4" w:rsidP="005C3C7E">
      <w:pPr>
        <w:jc w:val="both"/>
        <w:rPr>
          <w:rtl/>
        </w:rPr>
      </w:pPr>
      <w:r w:rsidRPr="00BD0CC5">
        <w:rPr>
          <w:rFonts w:hint="cs"/>
          <w:color w:val="0000FF"/>
          <w:rtl/>
        </w:rPr>
        <w:t>لعدم حصول الامتثال، «و فيه» انّ عدم امتثال الأمر بالحداد لا يضر بامتثال الأمر بالعدة بعد عدم شرطيته فيها بمقتضى الأصل، بل ظهور الأدلة هذا</w:t>
      </w:r>
    </w:p>
    <w:p w:rsidR="00077074" w:rsidRDefault="00383E8A" w:rsidP="005C3C7E">
      <w:pPr>
        <w:jc w:val="both"/>
        <w:rPr>
          <w:rtl/>
        </w:rPr>
      </w:pPr>
      <w:r>
        <w:rPr>
          <w:rFonts w:hint="cs"/>
          <w:rtl/>
        </w:rPr>
        <w:t xml:space="preserve">مرحوم سید می فرماید: با وجود این که امر به حداد را امتثال نکرده است؛ اما امر به عده را امتثال کرده است؛ </w:t>
      </w:r>
      <w:r w:rsidR="00A258E4">
        <w:rPr>
          <w:rFonts w:hint="cs"/>
          <w:rtl/>
        </w:rPr>
        <w:t>زیرا به مقتضای اصل</w:t>
      </w:r>
      <w:r w:rsidR="005E08B6">
        <w:rPr>
          <w:rFonts w:hint="cs"/>
          <w:rtl/>
        </w:rPr>
        <w:t>،</w:t>
      </w:r>
      <w:r w:rsidR="00A258E4">
        <w:rPr>
          <w:rFonts w:hint="cs"/>
          <w:rtl/>
        </w:rPr>
        <w:t xml:space="preserve"> حداد شرط عده نمی باشد؛ بلکه ظهور ادله</w:t>
      </w:r>
      <w:r w:rsidR="004A7838">
        <w:rPr>
          <w:rFonts w:hint="cs"/>
          <w:rtl/>
        </w:rPr>
        <w:t>، بر عدم شرطیت است.</w:t>
      </w:r>
    </w:p>
    <w:p w:rsidR="000C3483" w:rsidRDefault="000C3483" w:rsidP="000C3483">
      <w:pPr>
        <w:jc w:val="both"/>
        <w:rPr>
          <w:rtl/>
        </w:rPr>
      </w:pPr>
      <w:r>
        <w:rPr>
          <w:rFonts w:hint="cs"/>
          <w:rtl/>
        </w:rPr>
        <w:t>امر به عده را امتثال کرده است یعنی چی؟</w:t>
      </w:r>
    </w:p>
    <w:p w:rsidR="00077074" w:rsidRDefault="000C3483" w:rsidP="00BB3167">
      <w:pPr>
        <w:jc w:val="both"/>
      </w:pPr>
      <w:r>
        <w:rPr>
          <w:rFonts w:hint="cs"/>
          <w:rtl/>
        </w:rPr>
        <w:t>امر به عده یک امر مولوی شرعی نیست؛ امر به عده، به حرمت ازدواج در زمان عده و جواز ازدواج بعد از انقضای عده</w:t>
      </w:r>
      <w:r w:rsidRPr="000C3483">
        <w:rPr>
          <w:rFonts w:hint="cs"/>
          <w:rtl/>
        </w:rPr>
        <w:t xml:space="preserve"> </w:t>
      </w:r>
      <w:r>
        <w:rPr>
          <w:rFonts w:hint="cs"/>
          <w:rtl/>
        </w:rPr>
        <w:t>بازگشت می‌کند.</w:t>
      </w:r>
      <w:r w:rsidR="00BB3167">
        <w:t xml:space="preserve"> </w:t>
      </w:r>
      <w:r w:rsidR="00BB3167">
        <w:rPr>
          <w:rFonts w:hint="cs"/>
          <w:rtl/>
        </w:rPr>
        <w:t>ما دلیلی نداریم که ازدواج بعد از عده مشروط به حداد باشد.</w:t>
      </w:r>
    </w:p>
    <w:p w:rsidR="000C3483" w:rsidRDefault="00172B0B" w:rsidP="00172B0B">
      <w:pPr>
        <w:jc w:val="both"/>
        <w:rPr>
          <w:rtl/>
        </w:rPr>
      </w:pPr>
      <w:r>
        <w:rPr>
          <w:rFonts w:hint="cs"/>
          <w:rtl/>
        </w:rPr>
        <w:t xml:space="preserve">اصل را در </w:t>
      </w:r>
      <w:r w:rsidRPr="00BD0CC5">
        <w:rPr>
          <w:rFonts w:hint="cs"/>
          <w:color w:val="0000FF"/>
          <w:rtl/>
        </w:rPr>
        <w:t>بمقتضى الأصل</w:t>
      </w:r>
      <w:r>
        <w:rPr>
          <w:rFonts w:hint="cs"/>
          <w:rtl/>
        </w:rPr>
        <w:t xml:space="preserve"> اطلاق ادله گرفتیم؛ به این بیان که اطلاق ادله اقتضا می‌کند که در جواز ازدواج بعد از انقضای عده حداد شرط نباشد.</w:t>
      </w:r>
    </w:p>
    <w:p w:rsidR="00077074" w:rsidRDefault="0073056B" w:rsidP="0073056B">
      <w:pPr>
        <w:jc w:val="both"/>
        <w:rPr>
          <w:rtl/>
        </w:rPr>
      </w:pPr>
      <w:r>
        <w:rPr>
          <w:rFonts w:hint="cs"/>
          <w:rtl/>
        </w:rPr>
        <w:t>اما تصریح عبارت سید «</w:t>
      </w:r>
      <w:r w:rsidRPr="0073056B">
        <w:rPr>
          <w:rFonts w:hint="cs"/>
          <w:color w:val="0000FF"/>
          <w:rtl/>
        </w:rPr>
        <w:t>مقتضی الاصل بل ظهور الادلة</w:t>
      </w:r>
      <w:r>
        <w:rPr>
          <w:rFonts w:hint="cs"/>
          <w:rtl/>
        </w:rPr>
        <w:t>»</w:t>
      </w:r>
      <w:r w:rsidR="00AB537B">
        <w:rPr>
          <w:rFonts w:hint="cs"/>
          <w:rtl/>
        </w:rPr>
        <w:t xml:space="preserve"> می باشد؛ این اصل ظاهراً اصالة عدم اشتراط هست</w:t>
      </w:r>
      <w:r w:rsidR="00F75CF6">
        <w:rPr>
          <w:rFonts w:hint="cs"/>
          <w:rtl/>
        </w:rPr>
        <w:t xml:space="preserve"> به این اعتبار که «رفع ما لا یعلمون» را شامل احکام وضعی نیز بدانیم. شرطیت یک حکم وضعی است که در این بحث در شرطیت شک داریم</w:t>
      </w:r>
      <w:r w:rsidR="00303129">
        <w:rPr>
          <w:rFonts w:hint="cs"/>
          <w:rtl/>
        </w:rPr>
        <w:t>.</w:t>
      </w:r>
    </w:p>
    <w:p w:rsidR="003B4EAB" w:rsidRDefault="003B4EAB" w:rsidP="0073056B">
      <w:pPr>
        <w:jc w:val="both"/>
        <w:rPr>
          <w:rtl/>
        </w:rPr>
      </w:pPr>
      <w:r>
        <w:rPr>
          <w:rFonts w:hint="cs"/>
          <w:rtl/>
        </w:rPr>
        <w:t>در اصول بحث کرده ایم که رفع ما لا یعلمون</w:t>
      </w:r>
      <w:r w:rsidR="009C77E7">
        <w:rPr>
          <w:rFonts w:hint="cs"/>
          <w:rtl/>
        </w:rPr>
        <w:t>، مربوط احکام تکلیف</w:t>
      </w:r>
      <w:r w:rsidR="008679A4">
        <w:rPr>
          <w:rFonts w:hint="cs"/>
          <w:rtl/>
        </w:rPr>
        <w:t>ی است و شامل احکام وضعی نمی شود؛ حتی اگر شامل احکام وضعی نیز شود، شامل محل بحث ما نمی شود که در ضمن کلام صاحب جواهر توضیح خواهیم داد.</w:t>
      </w:r>
    </w:p>
    <w:p w:rsidR="00077074" w:rsidRDefault="00CC44B9" w:rsidP="005C3C7E">
      <w:pPr>
        <w:jc w:val="both"/>
        <w:rPr>
          <w:rtl/>
        </w:rPr>
      </w:pPr>
      <w:r>
        <w:rPr>
          <w:rFonts w:hint="cs"/>
          <w:rtl/>
        </w:rPr>
        <w:t xml:space="preserve">سپس مرحوم سید، کلام صاحب جواهر را نقل می کند: </w:t>
      </w:r>
      <w:r w:rsidRPr="00BD0CC5">
        <w:rPr>
          <w:rFonts w:hint="cs"/>
          <w:color w:val="0000FF"/>
          <w:rtl/>
        </w:rPr>
        <w:t>و لكن قال في الجواهر بعد نقل خلافهما: و لكن الإنصاف عدم خلوه عن الوجه خصوصا مع ملاحظة الاحتياط و قاعدة وجوب الشي‌ء في الشي‌ء و النصوص المتكثرة في تعليل وجوب الاعتداد عليها عند بلوغ الخبر</w:t>
      </w:r>
      <w:r w:rsidR="00DC74DC">
        <w:rPr>
          <w:color w:val="0000FF"/>
        </w:rPr>
        <w:t xml:space="preserve"> </w:t>
      </w:r>
      <w:r w:rsidR="00DC74DC">
        <w:rPr>
          <w:rFonts w:hint="cs"/>
          <w:color w:val="0000FF"/>
          <w:rtl/>
        </w:rPr>
        <w:t>...</w:t>
      </w:r>
    </w:p>
    <w:p w:rsidR="00DF6E6D" w:rsidRDefault="00DF6E6D" w:rsidP="008A79AD">
      <w:pPr>
        <w:jc w:val="both"/>
        <w:rPr>
          <w:rtl/>
        </w:rPr>
      </w:pPr>
      <w:r>
        <w:rPr>
          <w:rFonts w:hint="cs"/>
          <w:rtl/>
        </w:rPr>
        <w:t>صاحب جواهر سه دلیل یا شاهد را بیان می کند.</w:t>
      </w:r>
    </w:p>
    <w:p w:rsidR="00CC44B9" w:rsidRDefault="008A79AD" w:rsidP="008A79AD">
      <w:pPr>
        <w:jc w:val="both"/>
      </w:pPr>
      <w:r>
        <w:rPr>
          <w:rFonts w:hint="cs"/>
          <w:rtl/>
        </w:rPr>
        <w:t xml:space="preserve">در روایت زراره </w:t>
      </w:r>
      <w:r w:rsidR="003F4924">
        <w:rPr>
          <w:rFonts w:hint="cs"/>
          <w:rtl/>
        </w:rPr>
        <w:t xml:space="preserve">نهی از </w:t>
      </w:r>
      <w:r>
        <w:rPr>
          <w:rFonts w:hint="cs"/>
          <w:rtl/>
        </w:rPr>
        <w:t>طیب آمده است</w:t>
      </w:r>
      <w:r w:rsidR="00BF7ABD">
        <w:rPr>
          <w:rStyle w:val="FootnoteReference"/>
          <w:rtl/>
        </w:rPr>
        <w:footnoteReference w:id="21"/>
      </w:r>
      <w:r>
        <w:rPr>
          <w:rFonts w:hint="cs"/>
          <w:rtl/>
        </w:rPr>
        <w:t xml:space="preserve"> که در جلسه</w:t>
      </w:r>
      <w:r>
        <w:rPr>
          <w:rFonts w:hint="eastAsia"/>
          <w:rtl/>
        </w:rPr>
        <w:t>‌</w:t>
      </w:r>
      <w:r>
        <w:rPr>
          <w:rFonts w:hint="cs"/>
          <w:rtl/>
        </w:rPr>
        <w:t>ی قبل گفتیم اگر در روای</w:t>
      </w:r>
      <w:r w:rsidR="003F4924">
        <w:rPr>
          <w:rFonts w:hint="cs"/>
          <w:rtl/>
        </w:rPr>
        <w:t>ا</w:t>
      </w:r>
      <w:r>
        <w:rPr>
          <w:rFonts w:hint="cs"/>
          <w:rtl/>
        </w:rPr>
        <w:t>ت نهی از طیب نیز آمده باشد، حرمت اکل ما فیه رائحة الطیب استفاده نمی‌شود</w:t>
      </w:r>
      <w:r w:rsidR="0051284E">
        <w:rPr>
          <w:rFonts w:hint="cs"/>
          <w:rtl/>
        </w:rPr>
        <w:t>.</w:t>
      </w:r>
    </w:p>
    <w:p w:rsidR="00CC44B9" w:rsidRDefault="00A62189" w:rsidP="00A62189">
      <w:pPr>
        <w:jc w:val="both"/>
        <w:rPr>
          <w:rtl/>
        </w:rPr>
      </w:pPr>
      <w:r>
        <w:rPr>
          <w:rFonts w:hint="cs"/>
          <w:rtl/>
        </w:rPr>
        <w:t xml:space="preserve">صاحب جواهر سپس می فرماید: </w:t>
      </w:r>
      <w:r w:rsidRPr="00BD0CC5">
        <w:rPr>
          <w:rFonts w:hint="cs"/>
          <w:color w:val="0000FF"/>
          <w:rtl/>
        </w:rPr>
        <w:t>لا أقل من الشك بعد انقضاء العدة بدونه</w:t>
      </w:r>
    </w:p>
    <w:p w:rsidR="00CC44B9" w:rsidRDefault="00A62189" w:rsidP="005C3C7E">
      <w:pPr>
        <w:jc w:val="both"/>
        <w:rPr>
          <w:rtl/>
        </w:rPr>
      </w:pPr>
      <w:r>
        <w:rPr>
          <w:rFonts w:hint="cs"/>
          <w:rtl/>
        </w:rPr>
        <w:t>شاید شک را برای استصحاب بقای عده مطرح می کند.</w:t>
      </w:r>
    </w:p>
    <w:p w:rsidR="0059220F" w:rsidRDefault="006C1018" w:rsidP="00DE054D">
      <w:pPr>
        <w:jc w:val="both"/>
        <w:rPr>
          <w:rtl/>
        </w:rPr>
      </w:pPr>
      <w:r>
        <w:rPr>
          <w:rFonts w:hint="cs"/>
          <w:rtl/>
        </w:rPr>
        <w:t>مرحوم سید یزدی به دو استدلال صاحب جواهر اشکال می کند؛ اما مهمترین دلیل صاحب جواهر را که وجوب الشیء فی الشیء</w:t>
      </w:r>
      <w:r w:rsidR="00DE054D">
        <w:rPr>
          <w:rFonts w:hint="cs"/>
          <w:rtl/>
        </w:rPr>
        <w:t xml:space="preserve"> است،</w:t>
      </w:r>
      <w:r>
        <w:rPr>
          <w:rFonts w:hint="cs"/>
          <w:rtl/>
        </w:rPr>
        <w:t xml:space="preserve"> پاسخ نمی دهد.</w:t>
      </w:r>
    </w:p>
    <w:p w:rsidR="0059220F" w:rsidRDefault="00AC3769" w:rsidP="005C3C7E">
      <w:pPr>
        <w:jc w:val="both"/>
        <w:rPr>
          <w:rtl/>
        </w:rPr>
      </w:pPr>
      <w:r>
        <w:rPr>
          <w:rFonts w:hint="cs"/>
          <w:rtl/>
        </w:rPr>
        <w:t>مرحوم سید در اشکال به صاحب جواهر می فرماید: احتیاط واجب نیست و نهایتا مستحب می باشد.</w:t>
      </w:r>
    </w:p>
    <w:p w:rsidR="00563CCB" w:rsidRDefault="00563CCB" w:rsidP="00563CCB">
      <w:pPr>
        <w:jc w:val="both"/>
        <w:rPr>
          <w:rtl/>
        </w:rPr>
      </w:pPr>
      <w:r>
        <w:rPr>
          <w:rFonts w:hint="cs"/>
          <w:rtl/>
        </w:rPr>
        <w:t>نصوص متکثره‌ای که تعلیل کرده اند، دلیل بر شرطیت نیست. برای این که مکلف بتواند حداد را در زمان عده انجام دهد، شارع عده</w:t>
      </w:r>
      <w:r>
        <w:rPr>
          <w:rFonts w:hint="eastAsia"/>
          <w:rtl/>
        </w:rPr>
        <w:t>‌</w:t>
      </w:r>
      <w:r>
        <w:rPr>
          <w:rFonts w:hint="cs"/>
          <w:rtl/>
        </w:rPr>
        <w:t>ی وفات را از حین بلوغ خبر قرار داده است</w:t>
      </w:r>
      <w:r w:rsidR="00445657">
        <w:rPr>
          <w:rFonts w:hint="cs"/>
          <w:rtl/>
        </w:rPr>
        <w:t>؛ یعنی حکمت جعل عده</w:t>
      </w:r>
      <w:r w:rsidR="00445657">
        <w:rPr>
          <w:rFonts w:hint="eastAsia"/>
          <w:rtl/>
        </w:rPr>
        <w:t>‌</w:t>
      </w:r>
      <w:r w:rsidR="00445657">
        <w:rPr>
          <w:rFonts w:hint="cs"/>
          <w:rtl/>
        </w:rPr>
        <w:t>ی وفات از حین بلوغ خبر، برای این است ک</w:t>
      </w:r>
      <w:r w:rsidR="00D873AC">
        <w:rPr>
          <w:rFonts w:hint="cs"/>
          <w:rtl/>
        </w:rPr>
        <w:t>ه مکلف بتواند واجب</w:t>
      </w:r>
      <w:r w:rsidR="00A54407">
        <w:rPr>
          <w:rFonts w:hint="cs"/>
          <w:rtl/>
        </w:rPr>
        <w:t xml:space="preserve"> ( حداد)</w:t>
      </w:r>
      <w:r w:rsidR="00D873AC">
        <w:rPr>
          <w:rFonts w:hint="cs"/>
          <w:rtl/>
        </w:rPr>
        <w:t xml:space="preserve"> را اتیان کند و این غیر از شرطیت می باشد.</w:t>
      </w:r>
    </w:p>
    <w:p w:rsidR="00CC44B9" w:rsidRDefault="003229AC" w:rsidP="005C3C7E">
      <w:pPr>
        <w:jc w:val="both"/>
        <w:rPr>
          <w:rtl/>
        </w:rPr>
      </w:pPr>
      <w:r>
        <w:rPr>
          <w:rFonts w:hint="cs"/>
          <w:rtl/>
        </w:rPr>
        <w:t xml:space="preserve">پس از اشکال به صاحب جواهر مرحوم سید می فرماید: </w:t>
      </w:r>
      <w:r w:rsidRPr="00BD0CC5">
        <w:rPr>
          <w:rFonts w:hint="cs"/>
          <w:color w:val="0000FF"/>
          <w:rtl/>
        </w:rPr>
        <w:t>فالأقوى ما عليه المشهور</w:t>
      </w:r>
    </w:p>
    <w:p w:rsidR="003229AC" w:rsidRDefault="008D69D9" w:rsidP="008D69D9">
      <w:pPr>
        <w:jc w:val="both"/>
        <w:rPr>
          <w:rtl/>
        </w:rPr>
      </w:pPr>
      <w:r>
        <w:rPr>
          <w:rFonts w:hint="cs"/>
          <w:rtl/>
        </w:rPr>
        <w:t>بحث اصلی در قاعده</w:t>
      </w:r>
      <w:r>
        <w:rPr>
          <w:rFonts w:hint="eastAsia"/>
          <w:rtl/>
        </w:rPr>
        <w:t>‌</w:t>
      </w:r>
      <w:r>
        <w:rPr>
          <w:rFonts w:hint="cs"/>
          <w:rtl/>
        </w:rPr>
        <w:t>ی وجوب الشیء فی الشیء هست؛ طبق این قاعده وقتی در واجبی به واجب دیگری امر شود،</w:t>
      </w:r>
      <w:r w:rsidR="007A5C05">
        <w:rPr>
          <w:rFonts w:hint="cs"/>
          <w:rtl/>
        </w:rPr>
        <w:t xml:space="preserve"> ظاهر این امر ارشاد به شرطیت است.</w:t>
      </w:r>
      <w:r w:rsidR="00B87E9E">
        <w:rPr>
          <w:rFonts w:hint="cs"/>
          <w:rtl/>
        </w:rPr>
        <w:t xml:space="preserve"> در مورد صحت این قاعده و بر فرض صحتش آیا بحث وجوب حداد در عده از مصادیق آن می باشد، در جلسه</w:t>
      </w:r>
      <w:r w:rsidR="00B87E9E">
        <w:rPr>
          <w:rFonts w:hint="eastAsia"/>
          <w:rtl/>
        </w:rPr>
        <w:t>‌</w:t>
      </w:r>
      <w:r w:rsidR="00B87E9E">
        <w:rPr>
          <w:rFonts w:hint="cs"/>
          <w:rtl/>
        </w:rPr>
        <w:t>ی بعد بحث خواهیم کرد.</w:t>
      </w:r>
    </w:p>
    <w:p w:rsidR="003229AC" w:rsidRPr="006162A2" w:rsidRDefault="003229AC" w:rsidP="005C3C7E">
      <w:pPr>
        <w:jc w:val="both"/>
        <w:rPr>
          <w:rtl/>
        </w:rPr>
      </w:pPr>
    </w:p>
    <w:sectPr w:rsidR="003229AC"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241" w:rsidRDefault="008F7241" w:rsidP="008B750B">
      <w:pPr>
        <w:spacing w:line="240" w:lineRule="auto"/>
      </w:pPr>
      <w:r>
        <w:separator/>
      </w:r>
    </w:p>
  </w:endnote>
  <w:endnote w:type="continuationSeparator" w:id="0">
    <w:p w:rsidR="008F7241" w:rsidRDefault="008F724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2173F" w:rsidRPr="0022173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83C11" w:rsidP="001B6799">
          <w:pPr>
            <w:pStyle w:val="Footer"/>
            <w:bidi w:val="0"/>
            <w:rPr>
              <w:color w:val="808080" w:themeColor="background1" w:themeShade="80"/>
              <w:rtl/>
            </w:rPr>
          </w:pPr>
          <w:bookmarkStart w:id="18" w:name="BokAdres"/>
          <w:bookmarkEnd w:id="18"/>
          <w:r>
            <w:rPr>
              <w:color w:val="808080" w:themeColor="background1" w:themeShade="80"/>
            </w:rPr>
            <w:t>F1js1_13990919-033_mk3_mfeb.ir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241" w:rsidRDefault="008F7241" w:rsidP="008B750B">
      <w:pPr>
        <w:spacing w:line="240" w:lineRule="auto"/>
      </w:pPr>
      <w:r>
        <w:separator/>
      </w:r>
    </w:p>
  </w:footnote>
  <w:footnote w:type="continuationSeparator" w:id="0">
    <w:p w:rsidR="008F7241" w:rsidRDefault="008F7241" w:rsidP="008B750B">
      <w:pPr>
        <w:spacing w:line="240" w:lineRule="auto"/>
      </w:pPr>
      <w:r>
        <w:continuationSeparator/>
      </w:r>
    </w:p>
  </w:footnote>
  <w:footnote w:id="1">
    <w:p w:rsidR="0062788A" w:rsidRPr="00BD0CC5" w:rsidRDefault="0062788A" w:rsidP="0062788A">
      <w:pPr>
        <w:pStyle w:val="FootnoteText"/>
      </w:pPr>
      <w:r w:rsidRPr="00BD0CC5">
        <w:footnoteRef/>
      </w:r>
      <w:r w:rsidRPr="00BD0CC5">
        <w:rPr>
          <w:rtl/>
        </w:rPr>
        <w:t xml:space="preserve"> </w:t>
      </w:r>
      <w:hyperlink r:id="rId1" w:history="1">
        <w:r w:rsidRPr="00BD0CC5">
          <w:rPr>
            <w:rStyle w:val="Hyperlink"/>
            <w:rtl/>
          </w:rPr>
          <w:t>تکملة العروة الوثق</w:t>
        </w:r>
        <w:r w:rsidRPr="00BD0CC5">
          <w:rPr>
            <w:rStyle w:val="Hyperlink"/>
            <w:rFonts w:hint="cs"/>
            <w:rtl/>
          </w:rPr>
          <w:t>ی</w:t>
        </w:r>
        <w:r w:rsidRPr="00BD0CC5">
          <w:rPr>
            <w:rStyle w:val="Hyperlink"/>
            <w:rFonts w:hint="eastAsia"/>
            <w:rtl/>
          </w:rPr>
          <w:t>،</w:t>
        </w:r>
        <w:r w:rsidRPr="00BD0CC5">
          <w:rPr>
            <w:rStyle w:val="Hyperlink"/>
            <w:rtl/>
          </w:rPr>
          <w:t xml:space="preserve"> الس</w:t>
        </w:r>
        <w:r w:rsidRPr="00BD0CC5">
          <w:rPr>
            <w:rStyle w:val="Hyperlink"/>
            <w:rFonts w:hint="cs"/>
            <w:rtl/>
          </w:rPr>
          <w:t>ی</w:t>
        </w:r>
        <w:r w:rsidRPr="00BD0CC5">
          <w:rPr>
            <w:rStyle w:val="Hyperlink"/>
            <w:rFonts w:hint="eastAsia"/>
            <w:rtl/>
          </w:rPr>
          <w:t>د</w:t>
        </w:r>
        <w:r w:rsidRPr="00BD0CC5">
          <w:rPr>
            <w:rStyle w:val="Hyperlink"/>
            <w:rtl/>
          </w:rPr>
          <w:t xml:space="preserve"> محمد کاظم الطباطبائ</w:t>
        </w:r>
        <w:r w:rsidRPr="00BD0CC5">
          <w:rPr>
            <w:rStyle w:val="Hyperlink"/>
            <w:rFonts w:hint="cs"/>
            <w:rtl/>
          </w:rPr>
          <w:t>ی</w:t>
        </w:r>
        <w:r w:rsidRPr="00BD0CC5">
          <w:rPr>
            <w:rStyle w:val="Hyperlink"/>
            <w:rtl/>
          </w:rPr>
          <w:t xml:space="preserve"> ال</w:t>
        </w:r>
        <w:r w:rsidRPr="00BD0CC5">
          <w:rPr>
            <w:rStyle w:val="Hyperlink"/>
            <w:rFonts w:hint="cs"/>
            <w:rtl/>
          </w:rPr>
          <w:t>ی</w:t>
        </w:r>
        <w:r w:rsidRPr="00BD0CC5">
          <w:rPr>
            <w:rStyle w:val="Hyperlink"/>
            <w:rFonts w:hint="eastAsia"/>
            <w:rtl/>
          </w:rPr>
          <w:t>زد</w:t>
        </w:r>
        <w:r w:rsidRPr="00BD0CC5">
          <w:rPr>
            <w:rStyle w:val="Hyperlink"/>
            <w:rFonts w:hint="cs"/>
            <w:rtl/>
          </w:rPr>
          <w:t>ی</w:t>
        </w:r>
        <w:r w:rsidRPr="00BD0CC5">
          <w:rPr>
            <w:rStyle w:val="Hyperlink"/>
            <w:rFonts w:hint="eastAsia"/>
            <w:rtl/>
          </w:rPr>
          <w:t>،</w:t>
        </w:r>
        <w:r w:rsidRPr="00BD0CC5">
          <w:rPr>
            <w:rStyle w:val="Hyperlink"/>
            <w:rtl/>
          </w:rPr>
          <w:t xml:space="preserve"> ج1، ص66</w:t>
        </w:r>
        <w:r w:rsidRPr="00BD0CC5">
          <w:rPr>
            <w:rStyle w:val="Hyperlink"/>
          </w:rPr>
          <w:t>.</w:t>
        </w:r>
      </w:hyperlink>
    </w:p>
  </w:footnote>
  <w:footnote w:id="2">
    <w:p w:rsidR="00091D70" w:rsidRPr="00091D70" w:rsidRDefault="00091D70" w:rsidP="00091D70">
      <w:pPr>
        <w:pStyle w:val="FootnoteText"/>
      </w:pPr>
      <w:r w:rsidRPr="00091D70">
        <w:footnoteRef/>
      </w:r>
      <w:r w:rsidRPr="00091D70">
        <w:rPr>
          <w:rtl/>
        </w:rPr>
        <w:t xml:space="preserve"> </w:t>
      </w:r>
      <w:hyperlink r:id="rId2" w:history="1">
        <w:r w:rsidRPr="00091D70">
          <w:rPr>
            <w:rStyle w:val="Hyperlink"/>
            <w:rtl/>
          </w:rPr>
          <w:t>مسالک الأفهام إل</w:t>
        </w:r>
        <w:r w:rsidRPr="00091D70">
          <w:rPr>
            <w:rStyle w:val="Hyperlink"/>
            <w:rFonts w:hint="cs"/>
            <w:rtl/>
          </w:rPr>
          <w:t>ی</w:t>
        </w:r>
        <w:r w:rsidRPr="00091D70">
          <w:rPr>
            <w:rStyle w:val="Hyperlink"/>
            <w:rtl/>
          </w:rPr>
          <w:t xml:space="preserve"> تنق</w:t>
        </w:r>
        <w:r w:rsidRPr="00091D70">
          <w:rPr>
            <w:rStyle w:val="Hyperlink"/>
            <w:rFonts w:hint="cs"/>
            <w:rtl/>
          </w:rPr>
          <w:t>ی</w:t>
        </w:r>
        <w:r w:rsidRPr="00091D70">
          <w:rPr>
            <w:rStyle w:val="Hyperlink"/>
            <w:rFonts w:hint="eastAsia"/>
            <w:rtl/>
          </w:rPr>
          <w:t>ح</w:t>
        </w:r>
        <w:r w:rsidRPr="00091D70">
          <w:rPr>
            <w:rStyle w:val="Hyperlink"/>
            <w:rtl/>
          </w:rPr>
          <w:t xml:space="preserve"> شرائع الإسلام، ز</w:t>
        </w:r>
        <w:r w:rsidRPr="00091D70">
          <w:rPr>
            <w:rStyle w:val="Hyperlink"/>
            <w:rFonts w:hint="cs"/>
            <w:rtl/>
          </w:rPr>
          <w:t>ی</w:t>
        </w:r>
        <w:r w:rsidRPr="00091D70">
          <w:rPr>
            <w:rStyle w:val="Hyperlink"/>
            <w:rFonts w:hint="eastAsia"/>
            <w:rtl/>
          </w:rPr>
          <w:t>ن</w:t>
        </w:r>
        <w:r w:rsidRPr="00091D70">
          <w:rPr>
            <w:rStyle w:val="Hyperlink"/>
            <w:rtl/>
          </w:rPr>
          <w:t xml:space="preserve"> الد</w:t>
        </w:r>
        <w:r w:rsidRPr="00091D70">
          <w:rPr>
            <w:rStyle w:val="Hyperlink"/>
            <w:rFonts w:hint="cs"/>
            <w:rtl/>
          </w:rPr>
          <w:t>ی</w:t>
        </w:r>
        <w:r w:rsidRPr="00091D70">
          <w:rPr>
            <w:rStyle w:val="Hyperlink"/>
            <w:rFonts w:hint="eastAsia"/>
            <w:rtl/>
          </w:rPr>
          <w:t>ن</w:t>
        </w:r>
        <w:r w:rsidRPr="00091D70">
          <w:rPr>
            <w:rStyle w:val="Hyperlink"/>
            <w:rtl/>
          </w:rPr>
          <w:t xml:space="preserve"> بن عل</w:t>
        </w:r>
        <w:r w:rsidRPr="00091D70">
          <w:rPr>
            <w:rStyle w:val="Hyperlink"/>
            <w:rFonts w:hint="cs"/>
            <w:rtl/>
          </w:rPr>
          <w:t>ی</w:t>
        </w:r>
        <w:r w:rsidRPr="00091D70">
          <w:rPr>
            <w:rStyle w:val="Hyperlink"/>
            <w:rtl/>
          </w:rPr>
          <w:t xml:space="preserve"> العامل</w:t>
        </w:r>
        <w:r w:rsidRPr="00091D70">
          <w:rPr>
            <w:rStyle w:val="Hyperlink"/>
            <w:rFonts w:hint="cs"/>
            <w:rtl/>
          </w:rPr>
          <w:t>ی</w:t>
        </w:r>
        <w:r w:rsidRPr="00091D70">
          <w:rPr>
            <w:rStyle w:val="Hyperlink"/>
            <w:rtl/>
          </w:rPr>
          <w:t xml:space="preserve"> (الشه</w:t>
        </w:r>
        <w:r w:rsidRPr="00091D70">
          <w:rPr>
            <w:rStyle w:val="Hyperlink"/>
            <w:rFonts w:hint="cs"/>
            <w:rtl/>
          </w:rPr>
          <w:t>ی</w:t>
        </w:r>
        <w:r w:rsidRPr="00091D70">
          <w:rPr>
            <w:rStyle w:val="Hyperlink"/>
            <w:rFonts w:hint="eastAsia"/>
            <w:rtl/>
          </w:rPr>
          <w:t>د</w:t>
        </w:r>
        <w:r w:rsidRPr="00091D70">
          <w:rPr>
            <w:rStyle w:val="Hyperlink"/>
            <w:rtl/>
          </w:rPr>
          <w:t xml:space="preserve"> الثان</w:t>
        </w:r>
        <w:r w:rsidRPr="00091D70">
          <w:rPr>
            <w:rStyle w:val="Hyperlink"/>
            <w:rFonts w:hint="cs"/>
            <w:rtl/>
          </w:rPr>
          <w:t>ی</w:t>
        </w:r>
        <w:r w:rsidRPr="00091D70">
          <w:rPr>
            <w:rStyle w:val="Hyperlink"/>
            <w:rtl/>
          </w:rPr>
          <w:t>)، ج9، ص279.</w:t>
        </w:r>
      </w:hyperlink>
    </w:p>
  </w:footnote>
  <w:footnote w:id="3">
    <w:p w:rsidR="00563021" w:rsidRPr="00563021" w:rsidRDefault="00563021" w:rsidP="00563021">
      <w:pPr>
        <w:pStyle w:val="FootnoteText"/>
      </w:pPr>
      <w:r w:rsidRPr="00563021">
        <w:footnoteRef/>
      </w:r>
      <w:r w:rsidRPr="00563021">
        <w:rPr>
          <w:rtl/>
        </w:rPr>
        <w:t xml:space="preserve"> </w:t>
      </w:r>
      <w:hyperlink r:id="rId3" w:history="1">
        <w:r w:rsidRPr="00563021">
          <w:rPr>
            <w:rStyle w:val="Hyperlink"/>
            <w:rtl/>
          </w:rPr>
          <w:t>الدروس الشرع</w:t>
        </w:r>
        <w:r w:rsidRPr="00563021">
          <w:rPr>
            <w:rStyle w:val="Hyperlink"/>
            <w:rFonts w:hint="cs"/>
            <w:rtl/>
          </w:rPr>
          <w:t>ی</w:t>
        </w:r>
        <w:r w:rsidRPr="00563021">
          <w:rPr>
            <w:rStyle w:val="Hyperlink"/>
            <w:rFonts w:hint="eastAsia"/>
            <w:rtl/>
          </w:rPr>
          <w:t>ة</w:t>
        </w:r>
        <w:r w:rsidRPr="00563021">
          <w:rPr>
            <w:rStyle w:val="Hyperlink"/>
            <w:rtl/>
          </w:rPr>
          <w:t xml:space="preserve"> ف</w:t>
        </w:r>
        <w:r w:rsidRPr="00563021">
          <w:rPr>
            <w:rStyle w:val="Hyperlink"/>
            <w:rFonts w:hint="cs"/>
            <w:rtl/>
          </w:rPr>
          <w:t>ی</w:t>
        </w:r>
        <w:r w:rsidRPr="00563021">
          <w:rPr>
            <w:rStyle w:val="Hyperlink"/>
            <w:rtl/>
          </w:rPr>
          <w:t xml:space="preserve"> فقه الإمام</w:t>
        </w:r>
        <w:r w:rsidRPr="00563021">
          <w:rPr>
            <w:rStyle w:val="Hyperlink"/>
            <w:rFonts w:hint="cs"/>
            <w:rtl/>
          </w:rPr>
          <w:t>ی</w:t>
        </w:r>
        <w:r w:rsidRPr="00563021">
          <w:rPr>
            <w:rStyle w:val="Hyperlink"/>
            <w:rFonts w:hint="eastAsia"/>
            <w:rtl/>
          </w:rPr>
          <w:t>ة،</w:t>
        </w:r>
        <w:r w:rsidRPr="00563021">
          <w:rPr>
            <w:rStyle w:val="Hyperlink"/>
            <w:rtl/>
          </w:rPr>
          <w:t xml:space="preserve"> محمد بن مک</w:t>
        </w:r>
        <w:r w:rsidRPr="00563021">
          <w:rPr>
            <w:rStyle w:val="Hyperlink"/>
            <w:rFonts w:hint="cs"/>
            <w:rtl/>
          </w:rPr>
          <w:t>ی</w:t>
        </w:r>
        <w:r w:rsidRPr="00563021">
          <w:rPr>
            <w:rStyle w:val="Hyperlink"/>
            <w:rtl/>
          </w:rPr>
          <w:t xml:space="preserve"> (الش</w:t>
        </w:r>
        <w:r w:rsidRPr="00563021">
          <w:rPr>
            <w:rStyle w:val="Hyperlink"/>
            <w:rFonts w:hint="cs"/>
            <w:rtl/>
          </w:rPr>
          <w:t>ی</w:t>
        </w:r>
        <w:r w:rsidRPr="00563021">
          <w:rPr>
            <w:rStyle w:val="Hyperlink"/>
            <w:rFonts w:hint="eastAsia"/>
            <w:rtl/>
          </w:rPr>
          <w:t>هد</w:t>
        </w:r>
        <w:r w:rsidRPr="00563021">
          <w:rPr>
            <w:rStyle w:val="Hyperlink"/>
            <w:rtl/>
          </w:rPr>
          <w:t xml:space="preserve"> الاول)، ج1، ص465.</w:t>
        </w:r>
      </w:hyperlink>
    </w:p>
  </w:footnote>
  <w:footnote w:id="4">
    <w:p w:rsidR="00AF296D" w:rsidRDefault="00AF296D" w:rsidP="00AF296D">
      <w:pPr>
        <w:pStyle w:val="FootnoteText"/>
      </w:pPr>
      <w:r>
        <w:rPr>
          <w:rStyle w:val="FootnoteReference"/>
        </w:rPr>
        <w:footnoteRef/>
      </w:r>
      <w:r>
        <w:rPr>
          <w:rtl/>
        </w:rPr>
        <w:t xml:space="preserve"> </w:t>
      </w:r>
      <w:r w:rsidRPr="00AF296D">
        <w:rPr>
          <w:rFonts w:hint="cs"/>
          <w:rtl/>
        </w:rPr>
        <w:t>غاية المراد في شرح نكت الإرشاد</w:t>
      </w:r>
      <w:r>
        <w:rPr>
          <w:rFonts w:hint="cs"/>
          <w:rtl/>
        </w:rPr>
        <w:t>، ج‌1، ص: 99</w:t>
      </w:r>
    </w:p>
  </w:footnote>
  <w:footnote w:id="5">
    <w:p w:rsidR="000327F9" w:rsidRPr="000327F9" w:rsidRDefault="000327F9" w:rsidP="000327F9">
      <w:pPr>
        <w:pStyle w:val="FootnoteText"/>
        <w:rPr>
          <w:rtl/>
        </w:rPr>
      </w:pPr>
      <w:r>
        <w:rPr>
          <w:rStyle w:val="FootnoteReference"/>
        </w:rPr>
        <w:footnoteRef/>
      </w:r>
      <w:r>
        <w:rPr>
          <w:rtl/>
        </w:rPr>
        <w:t xml:space="preserve"> </w:t>
      </w:r>
      <w:r>
        <w:rPr>
          <w:rFonts w:hint="cs"/>
          <w:rtl/>
        </w:rPr>
        <w:t>کشف الرموز، ج ۱، ص</w:t>
      </w:r>
      <w:r w:rsidRPr="000327F9">
        <w:rPr>
          <w:rFonts w:hint="cs"/>
          <w:rtl/>
        </w:rPr>
        <w:t xml:space="preserve"> ۲۵۸ و ۲۶۱ و ۴۵۱ و ۴۹۰ و ۵۴۰ و ۵۴۶</w:t>
      </w:r>
      <w:r>
        <w:rPr>
          <w:rFonts w:hint="cs"/>
          <w:rtl/>
        </w:rPr>
        <w:t xml:space="preserve"> و ۵۴۷. ج</w:t>
      </w:r>
      <w:r w:rsidRPr="000327F9">
        <w:rPr>
          <w:rFonts w:hint="cs"/>
          <w:rtl/>
        </w:rPr>
        <w:t xml:space="preserve"> ۲</w:t>
      </w:r>
      <w:r>
        <w:rPr>
          <w:rFonts w:hint="cs"/>
          <w:rtl/>
        </w:rPr>
        <w:t>، ص</w:t>
      </w:r>
      <w:r w:rsidRPr="000327F9">
        <w:rPr>
          <w:rFonts w:hint="cs"/>
          <w:rtl/>
        </w:rPr>
        <w:t xml:space="preserve"> ۴۲۱ و ۴۷۶ و ۴۷۹ و ۵۷۸.</w:t>
      </w:r>
    </w:p>
    <w:p w:rsidR="000327F9" w:rsidRDefault="000327F9" w:rsidP="000327F9">
      <w:pPr>
        <w:pStyle w:val="FootnoteText"/>
      </w:pPr>
      <w:r>
        <w:rPr>
          <w:rFonts w:hint="cs"/>
          <w:rtl/>
        </w:rPr>
        <w:t>نزهة الناظر، ص</w:t>
      </w:r>
      <w:r w:rsidRPr="000327F9">
        <w:rPr>
          <w:rFonts w:hint="cs"/>
          <w:rtl/>
        </w:rPr>
        <w:t xml:space="preserve"> ۹۲ و ۹۵ و ۱۱۳ و ۱۱۵ و ۱۱۸ و ۱۳۹ و ۱۴۰ و ۱۴۲ و ۱۴۵ و ۱۴۶ و ۱۴۹ و ۱۵۳ و ۱۵۷.</w:t>
      </w:r>
    </w:p>
  </w:footnote>
  <w:footnote w:id="6">
    <w:p w:rsidR="009B47CB" w:rsidRDefault="009B47CB" w:rsidP="009B47CB">
      <w:pPr>
        <w:pStyle w:val="FootnoteText"/>
      </w:pPr>
      <w:r>
        <w:rPr>
          <w:rStyle w:val="FootnoteReference"/>
        </w:rPr>
        <w:footnoteRef/>
      </w:r>
      <w:r>
        <w:rPr>
          <w:rtl/>
        </w:rPr>
        <w:t xml:space="preserve"> </w:t>
      </w:r>
      <w:r>
        <w:rPr>
          <w:rFonts w:hint="cs"/>
          <w:rtl/>
        </w:rPr>
        <w:t>ج ۶، ص</w:t>
      </w:r>
      <w:r w:rsidRPr="009B47CB">
        <w:rPr>
          <w:rFonts w:hint="cs"/>
          <w:rtl/>
        </w:rPr>
        <w:t xml:space="preserve"> ۱۱</w:t>
      </w:r>
    </w:p>
  </w:footnote>
  <w:footnote w:id="7">
    <w:p w:rsidR="00D7545B" w:rsidRDefault="00D7545B" w:rsidP="00D7545B">
      <w:pPr>
        <w:pStyle w:val="FootnoteText"/>
      </w:pPr>
      <w:r>
        <w:rPr>
          <w:rStyle w:val="FootnoteReference"/>
        </w:rPr>
        <w:footnoteRef/>
      </w:r>
      <w:r>
        <w:rPr>
          <w:rtl/>
        </w:rPr>
        <w:t xml:space="preserve"> </w:t>
      </w:r>
      <w:r>
        <w:rPr>
          <w:rFonts w:hint="cs"/>
          <w:rtl/>
        </w:rPr>
        <w:t>، ج ۲، ص ۳۵، ج ۴، ص</w:t>
      </w:r>
      <w:r w:rsidRPr="00A90486">
        <w:rPr>
          <w:rFonts w:hint="cs"/>
          <w:rtl/>
        </w:rPr>
        <w:t xml:space="preserve"> ۵۸۱،</w:t>
      </w:r>
    </w:p>
  </w:footnote>
  <w:footnote w:id="8">
    <w:p w:rsidR="00027618" w:rsidRDefault="00027618">
      <w:pPr>
        <w:pStyle w:val="FootnoteText"/>
        <w:rPr>
          <w:rtl/>
        </w:rPr>
      </w:pPr>
      <w:r>
        <w:rPr>
          <w:rStyle w:val="FootnoteReference"/>
        </w:rPr>
        <w:footnoteRef/>
      </w:r>
      <w:r>
        <w:rPr>
          <w:rtl/>
        </w:rPr>
        <w:t xml:space="preserve"> </w:t>
      </w:r>
      <w:r>
        <w:rPr>
          <w:rFonts w:hint="cs"/>
          <w:rtl/>
        </w:rPr>
        <w:t xml:space="preserve">اجوبة </w:t>
      </w:r>
      <w:r w:rsidRPr="00027618">
        <w:rPr>
          <w:rFonts w:hint="cs"/>
          <w:rtl/>
        </w:rPr>
        <w:t xml:space="preserve">مسائل و </w:t>
      </w:r>
      <w:r>
        <w:rPr>
          <w:rFonts w:hint="cs"/>
          <w:rtl/>
        </w:rPr>
        <w:t>رسائل، ص</w:t>
      </w:r>
      <w:r w:rsidRPr="00027618">
        <w:rPr>
          <w:rFonts w:hint="cs"/>
          <w:rtl/>
        </w:rPr>
        <w:t xml:space="preserve"> ۴۷۴</w:t>
      </w:r>
    </w:p>
    <w:p w:rsidR="005C0A88" w:rsidRDefault="00C11AED" w:rsidP="005C0A88">
      <w:pPr>
        <w:pStyle w:val="FootnoteText"/>
        <w:rPr>
          <w:rtl/>
        </w:rPr>
      </w:pPr>
      <w:r>
        <w:rPr>
          <w:rFonts w:hint="cs"/>
          <w:rtl/>
        </w:rPr>
        <w:t xml:space="preserve">  </w:t>
      </w:r>
      <w:r w:rsidR="005C0A88">
        <w:rPr>
          <w:rFonts w:hint="cs"/>
          <w:rtl/>
        </w:rPr>
        <w:t>السرائر، ج ۱، ص</w:t>
      </w:r>
      <w:r w:rsidR="005C0A88" w:rsidRPr="005C0A88">
        <w:rPr>
          <w:rFonts w:hint="cs"/>
          <w:rtl/>
        </w:rPr>
        <w:t xml:space="preserve"> ۲۷۲ و ۳۰۴ و ۴۳۶ و</w:t>
      </w:r>
      <w:r w:rsidR="005C0A88">
        <w:rPr>
          <w:rFonts w:hint="cs"/>
          <w:rtl/>
        </w:rPr>
        <w:t>۵۲۰</w:t>
      </w:r>
    </w:p>
    <w:p w:rsidR="005C0A88" w:rsidRPr="005C0A88" w:rsidRDefault="00F37E9C" w:rsidP="005C0A88">
      <w:pPr>
        <w:pStyle w:val="FootnoteText"/>
        <w:rPr>
          <w:rtl/>
        </w:rPr>
      </w:pPr>
      <w:r>
        <w:rPr>
          <w:rFonts w:hint="cs"/>
          <w:rtl/>
        </w:rPr>
        <w:t xml:space="preserve">  </w:t>
      </w:r>
      <w:r w:rsidR="005C0A88">
        <w:rPr>
          <w:rFonts w:hint="cs"/>
          <w:rtl/>
        </w:rPr>
        <w:t>ج ۲، ص ۲۶ و ۱۰۶ و ۲۸۷ و ۶۳۷ و ۷۳۰</w:t>
      </w:r>
    </w:p>
    <w:p w:rsidR="00027618" w:rsidRDefault="00F37E9C" w:rsidP="005C0A88">
      <w:pPr>
        <w:pStyle w:val="FootnoteText"/>
      </w:pPr>
      <w:r>
        <w:rPr>
          <w:rFonts w:hint="cs"/>
          <w:rtl/>
        </w:rPr>
        <w:t xml:space="preserve">  </w:t>
      </w:r>
      <w:r w:rsidR="005C0A88">
        <w:rPr>
          <w:rFonts w:hint="cs"/>
          <w:rtl/>
        </w:rPr>
        <w:t>ج ۳، ص</w:t>
      </w:r>
      <w:r w:rsidR="005C0A88" w:rsidRPr="005C0A88">
        <w:rPr>
          <w:rFonts w:hint="cs"/>
          <w:rtl/>
        </w:rPr>
        <w:t xml:space="preserve"> ۱۱۲ و ۴۰۹</w:t>
      </w:r>
    </w:p>
  </w:footnote>
  <w:footnote w:id="9">
    <w:p w:rsidR="001F7468" w:rsidRDefault="00D444C4" w:rsidP="00D444C4">
      <w:pPr>
        <w:pStyle w:val="FootnoteText"/>
        <w:rPr>
          <w:rtl/>
        </w:rPr>
      </w:pPr>
      <w:r>
        <w:rPr>
          <w:rStyle w:val="FootnoteReference"/>
        </w:rPr>
        <w:footnoteRef/>
      </w:r>
      <w:r>
        <w:rPr>
          <w:rFonts w:hint="cs"/>
          <w:rtl/>
        </w:rPr>
        <w:t xml:space="preserve"> ج ۱، ص</w:t>
      </w:r>
      <w:r w:rsidRPr="00D444C4">
        <w:rPr>
          <w:rFonts w:hint="cs"/>
          <w:rtl/>
        </w:rPr>
        <w:t xml:space="preserve"> ۱۹۵ و ۴۸۷. </w:t>
      </w:r>
    </w:p>
    <w:p w:rsidR="00D444C4" w:rsidRDefault="00C11AED" w:rsidP="002932A1">
      <w:pPr>
        <w:pStyle w:val="FootnoteText"/>
      </w:pPr>
      <w:r>
        <w:rPr>
          <w:rFonts w:hint="cs"/>
          <w:rtl/>
        </w:rPr>
        <w:t xml:space="preserve">  </w:t>
      </w:r>
      <w:r w:rsidR="001F7468">
        <w:rPr>
          <w:rFonts w:hint="cs"/>
          <w:rtl/>
        </w:rPr>
        <w:t>ج ۲، ص</w:t>
      </w:r>
      <w:r w:rsidR="00D444C4" w:rsidRPr="00D444C4">
        <w:rPr>
          <w:rFonts w:hint="cs"/>
          <w:rtl/>
        </w:rPr>
        <w:t xml:space="preserve"> ۴۱۱ و ۶۵۰.</w:t>
      </w:r>
    </w:p>
  </w:footnote>
  <w:footnote w:id="10">
    <w:p w:rsidR="007C1DED" w:rsidRDefault="007C1DED">
      <w:pPr>
        <w:pStyle w:val="FootnoteText"/>
      </w:pPr>
      <w:r>
        <w:rPr>
          <w:rStyle w:val="FootnoteReference"/>
        </w:rPr>
        <w:footnoteRef/>
      </w:r>
      <w:r>
        <w:rPr>
          <w:rtl/>
        </w:rPr>
        <w:t xml:space="preserve"> </w:t>
      </w:r>
      <w:r>
        <w:rPr>
          <w:rFonts w:hint="cs"/>
          <w:rtl/>
        </w:rPr>
        <w:t>ص 133</w:t>
      </w:r>
    </w:p>
  </w:footnote>
  <w:footnote w:id="11">
    <w:p w:rsidR="00174F7B" w:rsidRDefault="00174F7B">
      <w:pPr>
        <w:pStyle w:val="FootnoteText"/>
      </w:pPr>
      <w:r>
        <w:rPr>
          <w:rStyle w:val="FootnoteReference"/>
        </w:rPr>
        <w:footnoteRef/>
      </w:r>
      <w:r>
        <w:rPr>
          <w:rtl/>
        </w:rPr>
        <w:t xml:space="preserve"> </w:t>
      </w:r>
      <w:r>
        <w:rPr>
          <w:rFonts w:hint="cs"/>
          <w:rtl/>
        </w:rPr>
        <w:t>ج ۱، ص</w:t>
      </w:r>
      <w:r w:rsidRPr="00027618">
        <w:rPr>
          <w:rFonts w:hint="cs"/>
          <w:rtl/>
        </w:rPr>
        <w:t xml:space="preserve"> ۱۱۴</w:t>
      </w:r>
    </w:p>
  </w:footnote>
  <w:footnote w:id="12">
    <w:p w:rsidR="00693544" w:rsidRDefault="00693544" w:rsidP="00F37E9C">
      <w:pPr>
        <w:pStyle w:val="FootnoteText"/>
      </w:pPr>
      <w:r>
        <w:rPr>
          <w:rStyle w:val="FootnoteReference"/>
        </w:rPr>
        <w:footnoteRef/>
      </w:r>
      <w:r>
        <w:rPr>
          <w:rtl/>
        </w:rPr>
        <w:t xml:space="preserve"> </w:t>
      </w:r>
      <w:r w:rsidRPr="00693544">
        <w:rPr>
          <w:rFonts w:hint="cs"/>
          <w:rtl/>
        </w:rPr>
        <w:t>الرجال (لابن داود)، ص: 174</w:t>
      </w:r>
    </w:p>
  </w:footnote>
  <w:footnote w:id="13">
    <w:p w:rsidR="00A662B7" w:rsidRPr="00A662B7" w:rsidRDefault="00A662B7" w:rsidP="00A662B7">
      <w:pPr>
        <w:pStyle w:val="FootnoteText"/>
      </w:pPr>
      <w:r w:rsidRPr="00A662B7">
        <w:footnoteRef/>
      </w:r>
      <w:r w:rsidRPr="00A662B7">
        <w:rPr>
          <w:rtl/>
        </w:rPr>
        <w:t xml:space="preserve"> </w:t>
      </w:r>
      <w:hyperlink r:id="rId4" w:history="1">
        <w:r w:rsidRPr="00A662B7">
          <w:rPr>
            <w:rStyle w:val="Hyperlink"/>
            <w:rtl/>
          </w:rPr>
          <w:t>إ</w:t>
        </w:r>
        <w:r w:rsidRPr="00A662B7">
          <w:rPr>
            <w:rStyle w:val="Hyperlink"/>
            <w:rFonts w:hint="cs"/>
            <w:rtl/>
          </w:rPr>
          <w:t>ی</w:t>
        </w:r>
        <w:r w:rsidRPr="00A662B7">
          <w:rPr>
            <w:rStyle w:val="Hyperlink"/>
            <w:rFonts w:hint="eastAsia"/>
            <w:rtl/>
          </w:rPr>
          <w:t>ضاح</w:t>
        </w:r>
        <w:r w:rsidRPr="00A662B7">
          <w:rPr>
            <w:rStyle w:val="Hyperlink"/>
            <w:rtl/>
          </w:rPr>
          <w:t xml:space="preserve"> الفوائد ف</w:t>
        </w:r>
        <w:r w:rsidRPr="00A662B7">
          <w:rPr>
            <w:rStyle w:val="Hyperlink"/>
            <w:rFonts w:hint="cs"/>
            <w:rtl/>
          </w:rPr>
          <w:t>ی</w:t>
        </w:r>
        <w:r w:rsidRPr="00A662B7">
          <w:rPr>
            <w:rStyle w:val="Hyperlink"/>
            <w:rtl/>
          </w:rPr>
          <w:t xml:space="preserve"> شرح مشکلات القواعد، حلّ</w:t>
        </w:r>
        <w:r w:rsidRPr="00A662B7">
          <w:rPr>
            <w:rStyle w:val="Hyperlink"/>
            <w:rFonts w:hint="cs"/>
            <w:rtl/>
          </w:rPr>
          <w:t>ی</w:t>
        </w:r>
        <w:r w:rsidRPr="00A662B7">
          <w:rPr>
            <w:rStyle w:val="Hyperlink"/>
            <w:rFonts w:hint="eastAsia"/>
            <w:rtl/>
          </w:rPr>
          <w:t>،</w:t>
        </w:r>
        <w:r w:rsidRPr="00A662B7">
          <w:rPr>
            <w:rStyle w:val="Hyperlink"/>
            <w:rtl/>
          </w:rPr>
          <w:t xml:space="preserve"> فخر المحقق</w:t>
        </w:r>
        <w:r w:rsidRPr="00A662B7">
          <w:rPr>
            <w:rStyle w:val="Hyperlink"/>
            <w:rFonts w:hint="cs"/>
            <w:rtl/>
          </w:rPr>
          <w:t>ی</w:t>
        </w:r>
        <w:r w:rsidRPr="00A662B7">
          <w:rPr>
            <w:rStyle w:val="Hyperlink"/>
            <w:rFonts w:hint="eastAsia"/>
            <w:rtl/>
          </w:rPr>
          <w:t>ن،</w:t>
        </w:r>
        <w:r w:rsidRPr="00A662B7">
          <w:rPr>
            <w:rStyle w:val="Hyperlink"/>
            <w:rtl/>
          </w:rPr>
          <w:t xml:space="preserve"> محمد بن حسن بن </w:t>
        </w:r>
        <w:r w:rsidRPr="00A662B7">
          <w:rPr>
            <w:rStyle w:val="Hyperlink"/>
            <w:rFonts w:hint="cs"/>
            <w:rtl/>
          </w:rPr>
          <w:t>ی</w:t>
        </w:r>
        <w:r w:rsidRPr="00A662B7">
          <w:rPr>
            <w:rStyle w:val="Hyperlink"/>
            <w:rFonts w:hint="eastAsia"/>
            <w:rtl/>
          </w:rPr>
          <w:t>وسف،</w:t>
        </w:r>
        <w:r w:rsidRPr="00A662B7">
          <w:rPr>
            <w:rStyle w:val="Hyperlink"/>
            <w:rtl/>
          </w:rPr>
          <w:t xml:space="preserve"> ج3، ص161.</w:t>
        </w:r>
      </w:hyperlink>
    </w:p>
  </w:footnote>
  <w:footnote w:id="14">
    <w:p w:rsidR="00A662B7" w:rsidRDefault="00A662B7" w:rsidP="00A662B7">
      <w:pPr>
        <w:pStyle w:val="FootnoteText"/>
      </w:pPr>
      <w:r>
        <w:rPr>
          <w:rStyle w:val="FootnoteReference"/>
        </w:rPr>
        <w:footnoteRef/>
      </w:r>
      <w:r>
        <w:rPr>
          <w:rtl/>
        </w:rPr>
        <w:t xml:space="preserve"> </w:t>
      </w:r>
      <w:r w:rsidRPr="00A662B7">
        <w:rPr>
          <w:rFonts w:hint="cs"/>
          <w:rtl/>
        </w:rPr>
        <w:t>كشف الرموز في شرح مختصر النافع، ج‌1، ص: 294‌</w:t>
      </w:r>
    </w:p>
  </w:footnote>
  <w:footnote w:id="15">
    <w:p w:rsidR="00E32195" w:rsidRDefault="00E32195" w:rsidP="00E32195">
      <w:pPr>
        <w:pStyle w:val="FootnoteText"/>
      </w:pPr>
      <w:r>
        <w:rPr>
          <w:rStyle w:val="FootnoteReference"/>
        </w:rPr>
        <w:footnoteRef/>
      </w:r>
      <w:r>
        <w:rPr>
          <w:rtl/>
        </w:rPr>
        <w:t xml:space="preserve"> </w:t>
      </w:r>
      <w:r w:rsidRPr="00E32195">
        <w:rPr>
          <w:rFonts w:hint="cs"/>
          <w:rtl/>
        </w:rPr>
        <w:t>كشف الرموز في شرح مختصر النافع، ج‌2، ص: 40‌</w:t>
      </w:r>
    </w:p>
  </w:footnote>
  <w:footnote w:id="16">
    <w:p w:rsidR="00400BBE" w:rsidRPr="00400BBE" w:rsidRDefault="00400BBE" w:rsidP="00400BBE">
      <w:pPr>
        <w:pStyle w:val="FootnoteText"/>
      </w:pPr>
      <w:r w:rsidRPr="00400BBE">
        <w:footnoteRef/>
      </w:r>
      <w:r w:rsidRPr="00400BBE">
        <w:rPr>
          <w:rtl/>
        </w:rPr>
        <w:t xml:space="preserve"> </w:t>
      </w:r>
      <w:hyperlink r:id="rId5" w:history="1">
        <w:r w:rsidRPr="00400BBE">
          <w:rPr>
            <w:rStyle w:val="Hyperlink"/>
            <w:rtl/>
          </w:rPr>
          <w:t>ذکر</w:t>
        </w:r>
        <w:r w:rsidRPr="00400BBE">
          <w:rPr>
            <w:rStyle w:val="Hyperlink"/>
            <w:rFonts w:hint="cs"/>
            <w:rtl/>
          </w:rPr>
          <w:t>ی</w:t>
        </w:r>
        <w:r w:rsidRPr="00400BBE">
          <w:rPr>
            <w:rStyle w:val="Hyperlink"/>
            <w:rtl/>
          </w:rPr>
          <w:t xml:space="preserve"> الش</w:t>
        </w:r>
        <w:r w:rsidRPr="00400BBE">
          <w:rPr>
            <w:rStyle w:val="Hyperlink"/>
            <w:rFonts w:hint="cs"/>
            <w:rtl/>
          </w:rPr>
          <w:t>ی</w:t>
        </w:r>
        <w:r w:rsidRPr="00400BBE">
          <w:rPr>
            <w:rStyle w:val="Hyperlink"/>
            <w:rFonts w:hint="eastAsia"/>
            <w:rtl/>
          </w:rPr>
          <w:t>عه،</w:t>
        </w:r>
        <w:r w:rsidRPr="00400BBE">
          <w:rPr>
            <w:rStyle w:val="Hyperlink"/>
            <w:rtl/>
          </w:rPr>
          <w:t xml:space="preserve"> محمد بن مک</w:t>
        </w:r>
        <w:r w:rsidRPr="00400BBE">
          <w:rPr>
            <w:rStyle w:val="Hyperlink"/>
            <w:rFonts w:hint="cs"/>
            <w:rtl/>
          </w:rPr>
          <w:t>ی</w:t>
        </w:r>
        <w:r w:rsidRPr="00400BBE">
          <w:rPr>
            <w:rStyle w:val="Hyperlink"/>
            <w:rtl/>
          </w:rPr>
          <w:t xml:space="preserve"> (الش</w:t>
        </w:r>
        <w:r w:rsidRPr="00400BBE">
          <w:rPr>
            <w:rStyle w:val="Hyperlink"/>
            <w:rFonts w:hint="cs"/>
            <w:rtl/>
          </w:rPr>
          <w:t>ی</w:t>
        </w:r>
        <w:r w:rsidRPr="00400BBE">
          <w:rPr>
            <w:rStyle w:val="Hyperlink"/>
            <w:rFonts w:hint="eastAsia"/>
            <w:rtl/>
          </w:rPr>
          <w:t>هد</w:t>
        </w:r>
        <w:r w:rsidRPr="00400BBE">
          <w:rPr>
            <w:rStyle w:val="Hyperlink"/>
            <w:rtl/>
          </w:rPr>
          <w:t xml:space="preserve"> الاول)، ج3، ص427.</w:t>
        </w:r>
      </w:hyperlink>
    </w:p>
  </w:footnote>
  <w:footnote w:id="17">
    <w:p w:rsidR="00AB2983" w:rsidRPr="00AB2983" w:rsidRDefault="00AB2983" w:rsidP="00AB2983">
      <w:pPr>
        <w:pStyle w:val="FootnoteText"/>
      </w:pPr>
      <w:r w:rsidRPr="00AB2983">
        <w:footnoteRef/>
      </w:r>
      <w:r w:rsidRPr="00AB2983">
        <w:rPr>
          <w:rtl/>
        </w:rPr>
        <w:t xml:space="preserve"> </w:t>
      </w:r>
      <w:hyperlink r:id="rId6" w:history="1">
        <w:r w:rsidRPr="00AB2983">
          <w:rPr>
            <w:rStyle w:val="Hyperlink"/>
            <w:rtl/>
          </w:rPr>
          <w:t>ر</w:t>
        </w:r>
        <w:r w:rsidRPr="00AB2983">
          <w:rPr>
            <w:rStyle w:val="Hyperlink"/>
            <w:rFonts w:hint="cs"/>
            <w:rtl/>
          </w:rPr>
          <w:t>ی</w:t>
        </w:r>
        <w:r w:rsidRPr="00AB2983">
          <w:rPr>
            <w:rStyle w:val="Hyperlink"/>
            <w:rFonts w:hint="eastAsia"/>
            <w:rtl/>
          </w:rPr>
          <w:t>اض</w:t>
        </w:r>
        <w:r w:rsidRPr="00AB2983">
          <w:rPr>
            <w:rStyle w:val="Hyperlink"/>
            <w:rtl/>
          </w:rPr>
          <w:t xml:space="preserve"> المسائل، س</w:t>
        </w:r>
        <w:r w:rsidRPr="00AB2983">
          <w:rPr>
            <w:rStyle w:val="Hyperlink"/>
            <w:rFonts w:hint="cs"/>
            <w:rtl/>
          </w:rPr>
          <w:t>ی</w:t>
        </w:r>
        <w:r w:rsidRPr="00AB2983">
          <w:rPr>
            <w:rStyle w:val="Hyperlink"/>
            <w:rFonts w:hint="eastAsia"/>
            <w:rtl/>
          </w:rPr>
          <w:t>د</w:t>
        </w:r>
        <w:r w:rsidRPr="00AB2983">
          <w:rPr>
            <w:rStyle w:val="Hyperlink"/>
            <w:rtl/>
          </w:rPr>
          <w:t xml:space="preserve"> عل</w:t>
        </w:r>
        <w:r w:rsidRPr="00AB2983">
          <w:rPr>
            <w:rStyle w:val="Hyperlink"/>
            <w:rFonts w:hint="cs"/>
            <w:rtl/>
          </w:rPr>
          <w:t>ی</w:t>
        </w:r>
        <w:r w:rsidRPr="00AB2983">
          <w:rPr>
            <w:rStyle w:val="Hyperlink"/>
            <w:rtl/>
          </w:rPr>
          <w:t xml:space="preserve"> طباطبا</w:t>
        </w:r>
        <w:r w:rsidRPr="00AB2983">
          <w:rPr>
            <w:rStyle w:val="Hyperlink"/>
            <w:rFonts w:hint="cs"/>
            <w:rtl/>
          </w:rPr>
          <w:t>یی</w:t>
        </w:r>
        <w:r w:rsidRPr="00AB2983">
          <w:rPr>
            <w:rStyle w:val="Hyperlink"/>
            <w:rFonts w:hint="eastAsia"/>
            <w:rtl/>
          </w:rPr>
          <w:t>،</w:t>
        </w:r>
        <w:r w:rsidRPr="00AB2983">
          <w:rPr>
            <w:rStyle w:val="Hyperlink"/>
            <w:rtl/>
          </w:rPr>
          <w:t xml:space="preserve"> ج12، ص312.</w:t>
        </w:r>
      </w:hyperlink>
    </w:p>
  </w:footnote>
  <w:footnote w:id="18">
    <w:p w:rsidR="001F3DD8" w:rsidRPr="00091D70" w:rsidRDefault="001F3DD8" w:rsidP="001F3DD8">
      <w:pPr>
        <w:pStyle w:val="FootnoteText"/>
      </w:pPr>
      <w:r w:rsidRPr="00091D70">
        <w:footnoteRef/>
      </w:r>
      <w:r w:rsidRPr="00091D70">
        <w:rPr>
          <w:rtl/>
        </w:rPr>
        <w:t xml:space="preserve"> </w:t>
      </w:r>
      <w:hyperlink r:id="rId7" w:history="1">
        <w:r w:rsidRPr="00091D70">
          <w:rPr>
            <w:rStyle w:val="Hyperlink"/>
            <w:rtl/>
          </w:rPr>
          <w:t>مسالک الأفهام إل</w:t>
        </w:r>
        <w:r w:rsidRPr="00091D70">
          <w:rPr>
            <w:rStyle w:val="Hyperlink"/>
            <w:rFonts w:hint="cs"/>
            <w:rtl/>
          </w:rPr>
          <w:t>ی</w:t>
        </w:r>
        <w:r w:rsidRPr="00091D70">
          <w:rPr>
            <w:rStyle w:val="Hyperlink"/>
            <w:rtl/>
          </w:rPr>
          <w:t xml:space="preserve"> تنق</w:t>
        </w:r>
        <w:r w:rsidRPr="00091D70">
          <w:rPr>
            <w:rStyle w:val="Hyperlink"/>
            <w:rFonts w:hint="cs"/>
            <w:rtl/>
          </w:rPr>
          <w:t>ی</w:t>
        </w:r>
        <w:r w:rsidRPr="00091D70">
          <w:rPr>
            <w:rStyle w:val="Hyperlink"/>
            <w:rFonts w:hint="eastAsia"/>
            <w:rtl/>
          </w:rPr>
          <w:t>ح</w:t>
        </w:r>
        <w:r w:rsidRPr="00091D70">
          <w:rPr>
            <w:rStyle w:val="Hyperlink"/>
            <w:rtl/>
          </w:rPr>
          <w:t xml:space="preserve"> شرائع الإسلام، ز</w:t>
        </w:r>
        <w:r w:rsidRPr="00091D70">
          <w:rPr>
            <w:rStyle w:val="Hyperlink"/>
            <w:rFonts w:hint="cs"/>
            <w:rtl/>
          </w:rPr>
          <w:t>ی</w:t>
        </w:r>
        <w:r w:rsidRPr="00091D70">
          <w:rPr>
            <w:rStyle w:val="Hyperlink"/>
            <w:rFonts w:hint="eastAsia"/>
            <w:rtl/>
          </w:rPr>
          <w:t>ن</w:t>
        </w:r>
        <w:r w:rsidRPr="00091D70">
          <w:rPr>
            <w:rStyle w:val="Hyperlink"/>
            <w:rtl/>
          </w:rPr>
          <w:t xml:space="preserve"> الد</w:t>
        </w:r>
        <w:r w:rsidRPr="00091D70">
          <w:rPr>
            <w:rStyle w:val="Hyperlink"/>
            <w:rFonts w:hint="cs"/>
            <w:rtl/>
          </w:rPr>
          <w:t>ی</w:t>
        </w:r>
        <w:r w:rsidRPr="00091D70">
          <w:rPr>
            <w:rStyle w:val="Hyperlink"/>
            <w:rFonts w:hint="eastAsia"/>
            <w:rtl/>
          </w:rPr>
          <w:t>ن</w:t>
        </w:r>
        <w:r w:rsidRPr="00091D70">
          <w:rPr>
            <w:rStyle w:val="Hyperlink"/>
            <w:rtl/>
          </w:rPr>
          <w:t xml:space="preserve"> بن عل</w:t>
        </w:r>
        <w:r w:rsidRPr="00091D70">
          <w:rPr>
            <w:rStyle w:val="Hyperlink"/>
            <w:rFonts w:hint="cs"/>
            <w:rtl/>
          </w:rPr>
          <w:t>ی</w:t>
        </w:r>
        <w:r w:rsidRPr="00091D70">
          <w:rPr>
            <w:rStyle w:val="Hyperlink"/>
            <w:rtl/>
          </w:rPr>
          <w:t xml:space="preserve"> العامل</w:t>
        </w:r>
        <w:r w:rsidRPr="00091D70">
          <w:rPr>
            <w:rStyle w:val="Hyperlink"/>
            <w:rFonts w:hint="cs"/>
            <w:rtl/>
          </w:rPr>
          <w:t>ی</w:t>
        </w:r>
        <w:r w:rsidRPr="00091D70">
          <w:rPr>
            <w:rStyle w:val="Hyperlink"/>
            <w:rtl/>
          </w:rPr>
          <w:t xml:space="preserve"> (الشه</w:t>
        </w:r>
        <w:r w:rsidRPr="00091D70">
          <w:rPr>
            <w:rStyle w:val="Hyperlink"/>
            <w:rFonts w:hint="cs"/>
            <w:rtl/>
          </w:rPr>
          <w:t>ی</w:t>
        </w:r>
        <w:r w:rsidRPr="00091D70">
          <w:rPr>
            <w:rStyle w:val="Hyperlink"/>
            <w:rFonts w:hint="eastAsia"/>
            <w:rtl/>
          </w:rPr>
          <w:t>د</w:t>
        </w:r>
        <w:r w:rsidRPr="00091D70">
          <w:rPr>
            <w:rStyle w:val="Hyperlink"/>
            <w:rtl/>
          </w:rPr>
          <w:t xml:space="preserve"> الثان</w:t>
        </w:r>
        <w:r w:rsidRPr="00091D70">
          <w:rPr>
            <w:rStyle w:val="Hyperlink"/>
            <w:rFonts w:hint="cs"/>
            <w:rtl/>
          </w:rPr>
          <w:t>ی</w:t>
        </w:r>
        <w:r w:rsidRPr="00091D70">
          <w:rPr>
            <w:rStyle w:val="Hyperlink"/>
            <w:rtl/>
          </w:rPr>
          <w:t>)، ج9، ص279.</w:t>
        </w:r>
      </w:hyperlink>
    </w:p>
  </w:footnote>
  <w:footnote w:id="19">
    <w:p w:rsidR="009E38E7" w:rsidRPr="009E38E7" w:rsidRDefault="009E38E7" w:rsidP="009E38E7">
      <w:pPr>
        <w:pStyle w:val="FootnoteText"/>
      </w:pPr>
      <w:r w:rsidRPr="009E38E7">
        <w:footnoteRef/>
      </w:r>
      <w:r w:rsidRPr="009E38E7">
        <w:rPr>
          <w:rtl/>
        </w:rPr>
        <w:t xml:space="preserve"> </w:t>
      </w:r>
      <w:r w:rsidRPr="009E38E7">
        <w:rPr>
          <w:rFonts w:hint="eastAsia"/>
          <w:rtl/>
        </w:rPr>
        <w:t>سوره</w:t>
      </w:r>
      <w:r w:rsidRPr="009E38E7">
        <w:rPr>
          <w:rtl/>
        </w:rPr>
        <w:t xml:space="preserve"> بقره، آيه 134.</w:t>
      </w:r>
    </w:p>
  </w:footnote>
  <w:footnote w:id="20">
    <w:p w:rsidR="00755E6E" w:rsidRDefault="00755E6E" w:rsidP="00755E6E">
      <w:pPr>
        <w:pStyle w:val="FootnoteText"/>
      </w:pPr>
      <w:r>
        <w:rPr>
          <w:rStyle w:val="FootnoteReference"/>
        </w:rPr>
        <w:footnoteRef/>
      </w:r>
      <w:r>
        <w:rPr>
          <w:rtl/>
        </w:rPr>
        <w:t xml:space="preserve"> </w:t>
      </w:r>
      <w:r w:rsidRPr="00755E6E">
        <w:rPr>
          <w:rFonts w:hint="cs"/>
          <w:rtl/>
        </w:rPr>
        <w:t>كشف اللثام و الإبها</w:t>
      </w:r>
      <w:r>
        <w:rPr>
          <w:rFonts w:hint="cs"/>
          <w:rtl/>
        </w:rPr>
        <w:t>م عن قواعد الأحكام، ج‌8، ص: 123 و 124</w:t>
      </w:r>
    </w:p>
  </w:footnote>
  <w:footnote w:id="21">
    <w:p w:rsidR="00BF7ABD" w:rsidRDefault="00BF7ABD">
      <w:pPr>
        <w:pStyle w:val="FootnoteText"/>
      </w:pPr>
      <w:r>
        <w:rPr>
          <w:rStyle w:val="FootnoteReference"/>
        </w:rPr>
        <w:footnoteRef/>
      </w:r>
      <w:r>
        <w:rPr>
          <w:rtl/>
        </w:rPr>
        <w:t xml:space="preserve"> </w:t>
      </w:r>
      <w:r>
        <w:rPr>
          <w:rFonts w:hint="cs"/>
          <w:rtl/>
        </w:rPr>
        <w:t>جلسه</w:t>
      </w:r>
      <w:r>
        <w:rPr>
          <w:rFonts w:hint="eastAsia"/>
          <w:rtl/>
        </w:rPr>
        <w:t>‌</w:t>
      </w:r>
      <w:r>
        <w:rPr>
          <w:rFonts w:hint="cs"/>
          <w:rtl/>
        </w:rPr>
        <w:t>ی قبل گفتیم روایتی که از طیب نهی کرده باشد، نداریم؛ اما در روایت زراره نهی از طیب وجود 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983C11">
      <w:rPr>
        <w:b/>
        <w:bCs/>
        <w:sz w:val="20"/>
        <w:szCs w:val="24"/>
        <w:rtl/>
      </w:rPr>
      <w:t>033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983C11">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983C11">
      <w:rPr>
        <w:b/>
        <w:bCs/>
        <w:color w:val="632423" w:themeColor="accent2" w:themeShade="80"/>
        <w:sz w:val="20"/>
        <w:szCs w:val="24"/>
        <w:rtl/>
      </w:rPr>
      <w:t>س</w:t>
    </w:r>
    <w:r w:rsidR="00983C11">
      <w:rPr>
        <w:rFonts w:hint="cs"/>
        <w:b/>
        <w:bCs/>
        <w:color w:val="632423" w:themeColor="accent2" w:themeShade="80"/>
        <w:sz w:val="20"/>
        <w:szCs w:val="24"/>
        <w:rtl/>
      </w:rPr>
      <w:t>ی</w:t>
    </w:r>
    <w:r w:rsidR="00983C11">
      <w:rPr>
        <w:rFonts w:hint="eastAsia"/>
        <w:b/>
        <w:bCs/>
        <w:color w:val="632423" w:themeColor="accent2" w:themeShade="80"/>
        <w:sz w:val="20"/>
        <w:szCs w:val="24"/>
        <w:rtl/>
      </w:rPr>
      <w:t>د</w:t>
    </w:r>
    <w:r w:rsidR="00983C11">
      <w:rPr>
        <w:b/>
        <w:bCs/>
        <w:color w:val="632423" w:themeColor="accent2" w:themeShade="80"/>
        <w:sz w:val="20"/>
        <w:szCs w:val="24"/>
        <w:rtl/>
      </w:rPr>
      <w:t xml:space="preserve"> محمد جواد شب</w:t>
    </w:r>
    <w:r w:rsidR="00983C11">
      <w:rPr>
        <w:rFonts w:hint="cs"/>
        <w:b/>
        <w:bCs/>
        <w:color w:val="632423" w:themeColor="accent2" w:themeShade="80"/>
        <w:sz w:val="20"/>
        <w:szCs w:val="24"/>
        <w:rtl/>
      </w:rPr>
      <w:t>ی</w:t>
    </w:r>
    <w:r w:rsidR="00983C11">
      <w:rPr>
        <w:rFonts w:hint="eastAsia"/>
        <w:b/>
        <w:bCs/>
        <w:color w:val="632423" w:themeColor="accent2" w:themeShade="80"/>
        <w:sz w:val="20"/>
        <w:szCs w:val="24"/>
        <w:rtl/>
      </w:rPr>
      <w:t>ر</w:t>
    </w:r>
    <w:r w:rsidR="00983C1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983C11">
      <w:rPr>
        <w:sz w:val="24"/>
        <w:szCs w:val="24"/>
        <w:rtl/>
      </w:rPr>
      <w:t>19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983C11">
      <w:rPr>
        <w:color w:val="000000" w:themeColor="text1"/>
        <w:sz w:val="24"/>
        <w:szCs w:val="24"/>
        <w:rtl/>
      </w:rPr>
      <w:t>عده‌</w:t>
    </w:r>
    <w:r w:rsidR="00983C11">
      <w:rPr>
        <w:rFonts w:hint="cs"/>
        <w:color w:val="000000" w:themeColor="text1"/>
        <w:sz w:val="24"/>
        <w:szCs w:val="24"/>
        <w:rtl/>
      </w:rPr>
      <w:t>ی</w:t>
    </w:r>
    <w:r w:rsidR="00983C11">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983C11">
      <w:rPr>
        <w:sz w:val="24"/>
        <w:szCs w:val="24"/>
        <w:rtl/>
      </w:rPr>
      <w:t>مهد</w:t>
    </w:r>
    <w:r w:rsidR="00983C11">
      <w:rPr>
        <w:rFonts w:hint="cs"/>
        <w:sz w:val="24"/>
        <w:szCs w:val="24"/>
        <w:rtl/>
      </w:rPr>
      <w:t>ی</w:t>
    </w:r>
    <w:r w:rsidR="00983C11">
      <w:rPr>
        <w:sz w:val="24"/>
        <w:szCs w:val="24"/>
        <w:rtl/>
      </w:rPr>
      <w:t xml:space="preserve"> کاظم</w:t>
    </w:r>
    <w:r w:rsidR="00983C1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983C11">
      <w:rPr>
        <w:sz w:val="24"/>
        <w:szCs w:val="24"/>
        <w:rtl/>
      </w:rPr>
      <w:t>عدم اشتراط حداد در صحت 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641"/>
    <w:rsid w:val="00004506"/>
    <w:rsid w:val="000072A3"/>
    <w:rsid w:val="00013322"/>
    <w:rsid w:val="00025777"/>
    <w:rsid w:val="00025B70"/>
    <w:rsid w:val="00027618"/>
    <w:rsid w:val="000327F9"/>
    <w:rsid w:val="000353D7"/>
    <w:rsid w:val="000473EC"/>
    <w:rsid w:val="0005094B"/>
    <w:rsid w:val="00055496"/>
    <w:rsid w:val="00077074"/>
    <w:rsid w:val="00080A41"/>
    <w:rsid w:val="000816F4"/>
    <w:rsid w:val="0008299B"/>
    <w:rsid w:val="000913AA"/>
    <w:rsid w:val="00091D70"/>
    <w:rsid w:val="00094847"/>
    <w:rsid w:val="00096C63"/>
    <w:rsid w:val="000B5DB5"/>
    <w:rsid w:val="000B6BFA"/>
    <w:rsid w:val="000C3483"/>
    <w:rsid w:val="000C3947"/>
    <w:rsid w:val="000C49F1"/>
    <w:rsid w:val="000C60A4"/>
    <w:rsid w:val="000D2A37"/>
    <w:rsid w:val="000D30E9"/>
    <w:rsid w:val="000D6818"/>
    <w:rsid w:val="000E335E"/>
    <w:rsid w:val="000F16CF"/>
    <w:rsid w:val="000F3A3C"/>
    <w:rsid w:val="000F5BAC"/>
    <w:rsid w:val="00100B2D"/>
    <w:rsid w:val="00102585"/>
    <w:rsid w:val="00114AB7"/>
    <w:rsid w:val="00116B2B"/>
    <w:rsid w:val="00124E3D"/>
    <w:rsid w:val="00127E95"/>
    <w:rsid w:val="00130659"/>
    <w:rsid w:val="001347C7"/>
    <w:rsid w:val="001356B0"/>
    <w:rsid w:val="00151937"/>
    <w:rsid w:val="00151AEB"/>
    <w:rsid w:val="001602EE"/>
    <w:rsid w:val="00172B0B"/>
    <w:rsid w:val="00174F7B"/>
    <w:rsid w:val="00181844"/>
    <w:rsid w:val="001837E9"/>
    <w:rsid w:val="00187DFA"/>
    <w:rsid w:val="001A1BC1"/>
    <w:rsid w:val="001A1E74"/>
    <w:rsid w:val="001A1EA5"/>
    <w:rsid w:val="001A2574"/>
    <w:rsid w:val="001A27D7"/>
    <w:rsid w:val="001A294E"/>
    <w:rsid w:val="001A4ED8"/>
    <w:rsid w:val="001B2488"/>
    <w:rsid w:val="001B6799"/>
    <w:rsid w:val="001C1362"/>
    <w:rsid w:val="001D2E9A"/>
    <w:rsid w:val="001D597F"/>
    <w:rsid w:val="001D6C8B"/>
    <w:rsid w:val="001E3FD4"/>
    <w:rsid w:val="001E48C1"/>
    <w:rsid w:val="001F3DD8"/>
    <w:rsid w:val="001F7468"/>
    <w:rsid w:val="002018C8"/>
    <w:rsid w:val="0020241A"/>
    <w:rsid w:val="00203821"/>
    <w:rsid w:val="00211632"/>
    <w:rsid w:val="00212B31"/>
    <w:rsid w:val="0021630D"/>
    <w:rsid w:val="0022173F"/>
    <w:rsid w:val="0024121B"/>
    <w:rsid w:val="00245B1D"/>
    <w:rsid w:val="00247D2F"/>
    <w:rsid w:val="00256560"/>
    <w:rsid w:val="0027605E"/>
    <w:rsid w:val="00281E00"/>
    <w:rsid w:val="002932A1"/>
    <w:rsid w:val="00294A52"/>
    <w:rsid w:val="002B575F"/>
    <w:rsid w:val="002B688F"/>
    <w:rsid w:val="002B729B"/>
    <w:rsid w:val="002C23B5"/>
    <w:rsid w:val="002C2E67"/>
    <w:rsid w:val="002C53A2"/>
    <w:rsid w:val="002C7747"/>
    <w:rsid w:val="002D0040"/>
    <w:rsid w:val="002D2FA8"/>
    <w:rsid w:val="002E220F"/>
    <w:rsid w:val="00303129"/>
    <w:rsid w:val="00307311"/>
    <w:rsid w:val="0032100F"/>
    <w:rsid w:val="003229AC"/>
    <w:rsid w:val="0033402C"/>
    <w:rsid w:val="00340521"/>
    <w:rsid w:val="00345C73"/>
    <w:rsid w:val="003508B3"/>
    <w:rsid w:val="00354A99"/>
    <w:rsid w:val="00360311"/>
    <w:rsid w:val="00361922"/>
    <w:rsid w:val="0037339B"/>
    <w:rsid w:val="00383E8A"/>
    <w:rsid w:val="00386C11"/>
    <w:rsid w:val="00397466"/>
    <w:rsid w:val="003A6148"/>
    <w:rsid w:val="003B4EAB"/>
    <w:rsid w:val="003C33F6"/>
    <w:rsid w:val="003C3D2E"/>
    <w:rsid w:val="003C43A5"/>
    <w:rsid w:val="003E1C5C"/>
    <w:rsid w:val="003E6650"/>
    <w:rsid w:val="003F4924"/>
    <w:rsid w:val="003F5B46"/>
    <w:rsid w:val="00400BBE"/>
    <w:rsid w:val="00401363"/>
    <w:rsid w:val="00402E47"/>
    <w:rsid w:val="00410A01"/>
    <w:rsid w:val="00415CB9"/>
    <w:rsid w:val="00425015"/>
    <w:rsid w:val="00430994"/>
    <w:rsid w:val="00441B6D"/>
    <w:rsid w:val="00445657"/>
    <w:rsid w:val="004556EF"/>
    <w:rsid w:val="00462B07"/>
    <w:rsid w:val="00465BD2"/>
    <w:rsid w:val="004715C8"/>
    <w:rsid w:val="00481C31"/>
    <w:rsid w:val="00482FC1"/>
    <w:rsid w:val="00483027"/>
    <w:rsid w:val="004871AA"/>
    <w:rsid w:val="004918D7"/>
    <w:rsid w:val="004926E1"/>
    <w:rsid w:val="004954E6"/>
    <w:rsid w:val="004A2FEA"/>
    <w:rsid w:val="004A7838"/>
    <w:rsid w:val="004D2DD7"/>
    <w:rsid w:val="004D75C5"/>
    <w:rsid w:val="004E2186"/>
    <w:rsid w:val="004E66FB"/>
    <w:rsid w:val="004F470A"/>
    <w:rsid w:val="004F4C59"/>
    <w:rsid w:val="00500C8F"/>
    <w:rsid w:val="00501909"/>
    <w:rsid w:val="00507BBB"/>
    <w:rsid w:val="0051284E"/>
    <w:rsid w:val="005128DF"/>
    <w:rsid w:val="0051592A"/>
    <w:rsid w:val="005206FE"/>
    <w:rsid w:val="005257ED"/>
    <w:rsid w:val="005306F8"/>
    <w:rsid w:val="0054023D"/>
    <w:rsid w:val="005426BF"/>
    <w:rsid w:val="005568D3"/>
    <w:rsid w:val="0056213C"/>
    <w:rsid w:val="00562750"/>
    <w:rsid w:val="00563021"/>
    <w:rsid w:val="00563CCB"/>
    <w:rsid w:val="00580C24"/>
    <w:rsid w:val="0059220F"/>
    <w:rsid w:val="005968EF"/>
    <w:rsid w:val="00596C1E"/>
    <w:rsid w:val="005A2E26"/>
    <w:rsid w:val="005B7BCA"/>
    <w:rsid w:val="005C0A88"/>
    <w:rsid w:val="005C0DAE"/>
    <w:rsid w:val="005C188E"/>
    <w:rsid w:val="005C3B31"/>
    <w:rsid w:val="005C3C7E"/>
    <w:rsid w:val="005C7586"/>
    <w:rsid w:val="005D07E6"/>
    <w:rsid w:val="005D2349"/>
    <w:rsid w:val="005E08B6"/>
    <w:rsid w:val="005E1B60"/>
    <w:rsid w:val="005E5507"/>
    <w:rsid w:val="005E607B"/>
    <w:rsid w:val="005F0A8D"/>
    <w:rsid w:val="00601229"/>
    <w:rsid w:val="00603B67"/>
    <w:rsid w:val="006162A2"/>
    <w:rsid w:val="006240DA"/>
    <w:rsid w:val="0062788A"/>
    <w:rsid w:val="0063256E"/>
    <w:rsid w:val="00632F9E"/>
    <w:rsid w:val="00633F04"/>
    <w:rsid w:val="00635219"/>
    <w:rsid w:val="00635EC0"/>
    <w:rsid w:val="00640B58"/>
    <w:rsid w:val="00641995"/>
    <w:rsid w:val="00651B02"/>
    <w:rsid w:val="00651B19"/>
    <w:rsid w:val="00660A29"/>
    <w:rsid w:val="0068172B"/>
    <w:rsid w:val="00693544"/>
    <w:rsid w:val="00695519"/>
    <w:rsid w:val="00696C6A"/>
    <w:rsid w:val="006A4134"/>
    <w:rsid w:val="006A5DDA"/>
    <w:rsid w:val="006A6701"/>
    <w:rsid w:val="006B21F4"/>
    <w:rsid w:val="006B3753"/>
    <w:rsid w:val="006B7AD6"/>
    <w:rsid w:val="006C1018"/>
    <w:rsid w:val="006C50FD"/>
    <w:rsid w:val="006D1DD4"/>
    <w:rsid w:val="006D4014"/>
    <w:rsid w:val="006D44C1"/>
    <w:rsid w:val="006E09E1"/>
    <w:rsid w:val="006E5651"/>
    <w:rsid w:val="006E5B85"/>
    <w:rsid w:val="006F026A"/>
    <w:rsid w:val="0070265B"/>
    <w:rsid w:val="00704813"/>
    <w:rsid w:val="0072290D"/>
    <w:rsid w:val="00723D6D"/>
    <w:rsid w:val="00724537"/>
    <w:rsid w:val="0073056B"/>
    <w:rsid w:val="00731724"/>
    <w:rsid w:val="0073474B"/>
    <w:rsid w:val="00735511"/>
    <w:rsid w:val="00737208"/>
    <w:rsid w:val="00744DE6"/>
    <w:rsid w:val="00755E6E"/>
    <w:rsid w:val="00762452"/>
    <w:rsid w:val="007639E0"/>
    <w:rsid w:val="00775507"/>
    <w:rsid w:val="00783473"/>
    <w:rsid w:val="00784D16"/>
    <w:rsid w:val="0078594B"/>
    <w:rsid w:val="00795E02"/>
    <w:rsid w:val="007979D0"/>
    <w:rsid w:val="007A4E18"/>
    <w:rsid w:val="007A5C05"/>
    <w:rsid w:val="007A61CE"/>
    <w:rsid w:val="007A7B8C"/>
    <w:rsid w:val="007B2675"/>
    <w:rsid w:val="007C1DED"/>
    <w:rsid w:val="007C6D9E"/>
    <w:rsid w:val="007D1C43"/>
    <w:rsid w:val="007D6C53"/>
    <w:rsid w:val="007E1564"/>
    <w:rsid w:val="007E1E87"/>
    <w:rsid w:val="007E2DC6"/>
    <w:rsid w:val="007E5B3F"/>
    <w:rsid w:val="007F2257"/>
    <w:rsid w:val="007F5BEC"/>
    <w:rsid w:val="0080091D"/>
    <w:rsid w:val="00804108"/>
    <w:rsid w:val="00804FC4"/>
    <w:rsid w:val="00816367"/>
    <w:rsid w:val="00816A0B"/>
    <w:rsid w:val="0081767E"/>
    <w:rsid w:val="00820505"/>
    <w:rsid w:val="00821F21"/>
    <w:rsid w:val="00824B22"/>
    <w:rsid w:val="00830C53"/>
    <w:rsid w:val="00834A76"/>
    <w:rsid w:val="00837FAA"/>
    <w:rsid w:val="00841F77"/>
    <w:rsid w:val="0085276D"/>
    <w:rsid w:val="0085610D"/>
    <w:rsid w:val="00863390"/>
    <w:rsid w:val="0086385C"/>
    <w:rsid w:val="008679A4"/>
    <w:rsid w:val="00871916"/>
    <w:rsid w:val="008956DD"/>
    <w:rsid w:val="008A510E"/>
    <w:rsid w:val="008A522A"/>
    <w:rsid w:val="008A79AD"/>
    <w:rsid w:val="008B4464"/>
    <w:rsid w:val="008B750B"/>
    <w:rsid w:val="008C3162"/>
    <w:rsid w:val="008D1F14"/>
    <w:rsid w:val="008D69D9"/>
    <w:rsid w:val="008E3924"/>
    <w:rsid w:val="008F13F7"/>
    <w:rsid w:val="008F5B4D"/>
    <w:rsid w:val="008F7241"/>
    <w:rsid w:val="009019D0"/>
    <w:rsid w:val="00907425"/>
    <w:rsid w:val="00917555"/>
    <w:rsid w:val="00923C34"/>
    <w:rsid w:val="00924152"/>
    <w:rsid w:val="0092513D"/>
    <w:rsid w:val="00927A9F"/>
    <w:rsid w:val="009335CC"/>
    <w:rsid w:val="00935A55"/>
    <w:rsid w:val="00941CEB"/>
    <w:rsid w:val="00944E32"/>
    <w:rsid w:val="0094720F"/>
    <w:rsid w:val="00953B28"/>
    <w:rsid w:val="00954322"/>
    <w:rsid w:val="00957CAA"/>
    <w:rsid w:val="0096174D"/>
    <w:rsid w:val="0096778A"/>
    <w:rsid w:val="00977656"/>
    <w:rsid w:val="00983C11"/>
    <w:rsid w:val="009846A7"/>
    <w:rsid w:val="0098794D"/>
    <w:rsid w:val="0099497B"/>
    <w:rsid w:val="00995D94"/>
    <w:rsid w:val="009A3FFE"/>
    <w:rsid w:val="009A43BA"/>
    <w:rsid w:val="009B0D05"/>
    <w:rsid w:val="009B436F"/>
    <w:rsid w:val="009B47CB"/>
    <w:rsid w:val="009B4CA6"/>
    <w:rsid w:val="009B79F8"/>
    <w:rsid w:val="009C66D5"/>
    <w:rsid w:val="009C77E7"/>
    <w:rsid w:val="009D13FD"/>
    <w:rsid w:val="009D266A"/>
    <w:rsid w:val="009E38E7"/>
    <w:rsid w:val="009F5BB6"/>
    <w:rsid w:val="009F7E07"/>
    <w:rsid w:val="00A01522"/>
    <w:rsid w:val="00A071A4"/>
    <w:rsid w:val="00A10A11"/>
    <w:rsid w:val="00A13C6A"/>
    <w:rsid w:val="00A17754"/>
    <w:rsid w:val="00A17B09"/>
    <w:rsid w:val="00A21EC0"/>
    <w:rsid w:val="00A258E4"/>
    <w:rsid w:val="00A35129"/>
    <w:rsid w:val="00A457C6"/>
    <w:rsid w:val="00A46AD0"/>
    <w:rsid w:val="00A47063"/>
    <w:rsid w:val="00A473A8"/>
    <w:rsid w:val="00A513F0"/>
    <w:rsid w:val="00A54407"/>
    <w:rsid w:val="00A61AC8"/>
    <w:rsid w:val="00A62189"/>
    <w:rsid w:val="00A6366F"/>
    <w:rsid w:val="00A65D4C"/>
    <w:rsid w:val="00A662B7"/>
    <w:rsid w:val="00A70512"/>
    <w:rsid w:val="00A74134"/>
    <w:rsid w:val="00A801ED"/>
    <w:rsid w:val="00A90486"/>
    <w:rsid w:val="00A9570F"/>
    <w:rsid w:val="00AA1A48"/>
    <w:rsid w:val="00AA1F60"/>
    <w:rsid w:val="00AA40D7"/>
    <w:rsid w:val="00AA41D9"/>
    <w:rsid w:val="00AB2983"/>
    <w:rsid w:val="00AB537B"/>
    <w:rsid w:val="00AB5F7D"/>
    <w:rsid w:val="00AC0C50"/>
    <w:rsid w:val="00AC3769"/>
    <w:rsid w:val="00AC47F8"/>
    <w:rsid w:val="00AC6FE2"/>
    <w:rsid w:val="00AE07BA"/>
    <w:rsid w:val="00AF296D"/>
    <w:rsid w:val="00AF3925"/>
    <w:rsid w:val="00B1296B"/>
    <w:rsid w:val="00B2292F"/>
    <w:rsid w:val="00B43169"/>
    <w:rsid w:val="00B501A8"/>
    <w:rsid w:val="00B55AE4"/>
    <w:rsid w:val="00B70B46"/>
    <w:rsid w:val="00B739B0"/>
    <w:rsid w:val="00B814A3"/>
    <w:rsid w:val="00B87E9E"/>
    <w:rsid w:val="00B96F38"/>
    <w:rsid w:val="00BA7DA8"/>
    <w:rsid w:val="00BB3167"/>
    <w:rsid w:val="00BC716B"/>
    <w:rsid w:val="00BD0E74"/>
    <w:rsid w:val="00BD5F8C"/>
    <w:rsid w:val="00BE29DD"/>
    <w:rsid w:val="00BF7ABD"/>
    <w:rsid w:val="00C066AF"/>
    <w:rsid w:val="00C10E06"/>
    <w:rsid w:val="00C11AED"/>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557A"/>
    <w:rsid w:val="00CC2733"/>
    <w:rsid w:val="00CC44B9"/>
    <w:rsid w:val="00CD0050"/>
    <w:rsid w:val="00CD0A48"/>
    <w:rsid w:val="00CE7481"/>
    <w:rsid w:val="00CF0A8F"/>
    <w:rsid w:val="00CF3E35"/>
    <w:rsid w:val="00D048CE"/>
    <w:rsid w:val="00D10998"/>
    <w:rsid w:val="00D12E6E"/>
    <w:rsid w:val="00D13504"/>
    <w:rsid w:val="00D15CBD"/>
    <w:rsid w:val="00D21B5F"/>
    <w:rsid w:val="00D221CB"/>
    <w:rsid w:val="00D23391"/>
    <w:rsid w:val="00D31805"/>
    <w:rsid w:val="00D37A60"/>
    <w:rsid w:val="00D444C4"/>
    <w:rsid w:val="00D552B9"/>
    <w:rsid w:val="00D735B2"/>
    <w:rsid w:val="00D74021"/>
    <w:rsid w:val="00D7545B"/>
    <w:rsid w:val="00D76D01"/>
    <w:rsid w:val="00D873AC"/>
    <w:rsid w:val="00D922A9"/>
    <w:rsid w:val="00D9394A"/>
    <w:rsid w:val="00DB0CBB"/>
    <w:rsid w:val="00DB67CC"/>
    <w:rsid w:val="00DC24B3"/>
    <w:rsid w:val="00DC3783"/>
    <w:rsid w:val="00DC74DC"/>
    <w:rsid w:val="00DE054D"/>
    <w:rsid w:val="00DE1070"/>
    <w:rsid w:val="00DF6E6D"/>
    <w:rsid w:val="00E00219"/>
    <w:rsid w:val="00E0316B"/>
    <w:rsid w:val="00E25E10"/>
    <w:rsid w:val="00E25F84"/>
    <w:rsid w:val="00E32195"/>
    <w:rsid w:val="00E50B41"/>
    <w:rsid w:val="00E5219B"/>
    <w:rsid w:val="00E52D07"/>
    <w:rsid w:val="00E5518B"/>
    <w:rsid w:val="00E609FE"/>
    <w:rsid w:val="00E61A1D"/>
    <w:rsid w:val="00E630BE"/>
    <w:rsid w:val="00E75920"/>
    <w:rsid w:val="00E80D96"/>
    <w:rsid w:val="00E871FA"/>
    <w:rsid w:val="00E936A4"/>
    <w:rsid w:val="00E954BB"/>
    <w:rsid w:val="00EA45E7"/>
    <w:rsid w:val="00EB78E3"/>
    <w:rsid w:val="00EB7BE3"/>
    <w:rsid w:val="00EC1C4B"/>
    <w:rsid w:val="00EC6B19"/>
    <w:rsid w:val="00EC735A"/>
    <w:rsid w:val="00ED5F38"/>
    <w:rsid w:val="00EF27FE"/>
    <w:rsid w:val="00F07FB6"/>
    <w:rsid w:val="00F149D0"/>
    <w:rsid w:val="00F16B53"/>
    <w:rsid w:val="00F227A1"/>
    <w:rsid w:val="00F25ECD"/>
    <w:rsid w:val="00F318BE"/>
    <w:rsid w:val="00F33297"/>
    <w:rsid w:val="00F343FB"/>
    <w:rsid w:val="00F359FE"/>
    <w:rsid w:val="00F3715F"/>
    <w:rsid w:val="00F37E9C"/>
    <w:rsid w:val="00F42159"/>
    <w:rsid w:val="00F4256E"/>
    <w:rsid w:val="00F42EE1"/>
    <w:rsid w:val="00F60F1F"/>
    <w:rsid w:val="00F63819"/>
    <w:rsid w:val="00F64141"/>
    <w:rsid w:val="00F67508"/>
    <w:rsid w:val="00F678C3"/>
    <w:rsid w:val="00F71FC9"/>
    <w:rsid w:val="00F73B48"/>
    <w:rsid w:val="00F74F51"/>
    <w:rsid w:val="00F75CF6"/>
    <w:rsid w:val="00F842AD"/>
    <w:rsid w:val="00F914EB"/>
    <w:rsid w:val="00F91B85"/>
    <w:rsid w:val="00F938E7"/>
    <w:rsid w:val="00FA3B17"/>
    <w:rsid w:val="00FA4492"/>
    <w:rsid w:val="00FA5E8D"/>
    <w:rsid w:val="00FA5F3D"/>
    <w:rsid w:val="00FB35AB"/>
    <w:rsid w:val="00FB399E"/>
    <w:rsid w:val="00FB7F50"/>
    <w:rsid w:val="00FC2A85"/>
    <w:rsid w:val="00FC40AF"/>
    <w:rsid w:val="00FC73B9"/>
    <w:rsid w:val="00FD0A16"/>
    <w:rsid w:val="00FD504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247916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950647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0909127">
      <w:bodyDiv w:val="1"/>
      <w:marLeft w:val="0"/>
      <w:marRight w:val="0"/>
      <w:marTop w:val="0"/>
      <w:marBottom w:val="0"/>
      <w:divBdr>
        <w:top w:val="none" w:sz="0" w:space="0" w:color="auto"/>
        <w:left w:val="none" w:sz="0" w:space="0" w:color="auto"/>
        <w:bottom w:val="none" w:sz="0" w:space="0" w:color="auto"/>
        <w:right w:val="none" w:sz="0" w:space="0" w:color="auto"/>
      </w:divBdr>
    </w:div>
    <w:div w:id="37042394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590465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110844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10301956">
      <w:bodyDiv w:val="1"/>
      <w:marLeft w:val="0"/>
      <w:marRight w:val="0"/>
      <w:marTop w:val="0"/>
      <w:marBottom w:val="0"/>
      <w:divBdr>
        <w:top w:val="none" w:sz="0" w:space="0" w:color="auto"/>
        <w:left w:val="none" w:sz="0" w:space="0" w:color="auto"/>
        <w:bottom w:val="none" w:sz="0" w:space="0" w:color="auto"/>
        <w:right w:val="none" w:sz="0" w:space="0" w:color="auto"/>
      </w:divBdr>
    </w:div>
    <w:div w:id="787502745">
      <w:bodyDiv w:val="1"/>
      <w:marLeft w:val="0"/>
      <w:marRight w:val="0"/>
      <w:marTop w:val="0"/>
      <w:marBottom w:val="0"/>
      <w:divBdr>
        <w:top w:val="none" w:sz="0" w:space="0" w:color="auto"/>
        <w:left w:val="none" w:sz="0" w:space="0" w:color="auto"/>
        <w:bottom w:val="none" w:sz="0" w:space="0" w:color="auto"/>
        <w:right w:val="none" w:sz="0" w:space="0" w:color="auto"/>
      </w:divBdr>
    </w:div>
    <w:div w:id="850988801">
      <w:bodyDiv w:val="1"/>
      <w:marLeft w:val="0"/>
      <w:marRight w:val="0"/>
      <w:marTop w:val="0"/>
      <w:marBottom w:val="0"/>
      <w:divBdr>
        <w:top w:val="none" w:sz="0" w:space="0" w:color="auto"/>
        <w:left w:val="none" w:sz="0" w:space="0" w:color="auto"/>
        <w:bottom w:val="none" w:sz="0" w:space="0" w:color="auto"/>
        <w:right w:val="none" w:sz="0" w:space="0" w:color="auto"/>
      </w:divBdr>
    </w:div>
    <w:div w:id="870806231">
      <w:bodyDiv w:val="1"/>
      <w:marLeft w:val="0"/>
      <w:marRight w:val="0"/>
      <w:marTop w:val="0"/>
      <w:marBottom w:val="0"/>
      <w:divBdr>
        <w:top w:val="none" w:sz="0" w:space="0" w:color="auto"/>
        <w:left w:val="none" w:sz="0" w:space="0" w:color="auto"/>
        <w:bottom w:val="none" w:sz="0" w:space="0" w:color="auto"/>
        <w:right w:val="none" w:sz="0" w:space="0" w:color="auto"/>
      </w:divBdr>
    </w:div>
    <w:div w:id="112303828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7430578">
      <w:bodyDiv w:val="1"/>
      <w:marLeft w:val="0"/>
      <w:marRight w:val="0"/>
      <w:marTop w:val="0"/>
      <w:marBottom w:val="0"/>
      <w:divBdr>
        <w:top w:val="none" w:sz="0" w:space="0" w:color="auto"/>
        <w:left w:val="none" w:sz="0" w:space="0" w:color="auto"/>
        <w:bottom w:val="none" w:sz="0" w:space="0" w:color="auto"/>
        <w:right w:val="none" w:sz="0" w:space="0" w:color="auto"/>
      </w:divBdr>
    </w:div>
    <w:div w:id="120050616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8506440">
      <w:bodyDiv w:val="1"/>
      <w:marLeft w:val="0"/>
      <w:marRight w:val="0"/>
      <w:marTop w:val="0"/>
      <w:marBottom w:val="0"/>
      <w:divBdr>
        <w:top w:val="none" w:sz="0" w:space="0" w:color="auto"/>
        <w:left w:val="none" w:sz="0" w:space="0" w:color="auto"/>
        <w:bottom w:val="none" w:sz="0" w:space="0" w:color="auto"/>
        <w:right w:val="none" w:sz="0" w:space="0" w:color="auto"/>
      </w:divBdr>
    </w:div>
    <w:div w:id="1388064084">
      <w:bodyDiv w:val="1"/>
      <w:marLeft w:val="0"/>
      <w:marRight w:val="0"/>
      <w:marTop w:val="0"/>
      <w:marBottom w:val="0"/>
      <w:divBdr>
        <w:top w:val="none" w:sz="0" w:space="0" w:color="auto"/>
        <w:left w:val="none" w:sz="0" w:space="0" w:color="auto"/>
        <w:bottom w:val="none" w:sz="0" w:space="0" w:color="auto"/>
        <w:right w:val="none" w:sz="0" w:space="0" w:color="auto"/>
      </w:divBdr>
    </w:div>
    <w:div w:id="1429351607">
      <w:bodyDiv w:val="1"/>
      <w:marLeft w:val="0"/>
      <w:marRight w:val="0"/>
      <w:marTop w:val="0"/>
      <w:marBottom w:val="0"/>
      <w:divBdr>
        <w:top w:val="none" w:sz="0" w:space="0" w:color="auto"/>
        <w:left w:val="none" w:sz="0" w:space="0" w:color="auto"/>
        <w:bottom w:val="none" w:sz="0" w:space="0" w:color="auto"/>
        <w:right w:val="none" w:sz="0" w:space="0" w:color="auto"/>
      </w:divBdr>
    </w:div>
    <w:div w:id="152705670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122317">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9590147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4278777">
      <w:bodyDiv w:val="1"/>
      <w:marLeft w:val="0"/>
      <w:marRight w:val="0"/>
      <w:marTop w:val="0"/>
      <w:marBottom w:val="0"/>
      <w:divBdr>
        <w:top w:val="none" w:sz="0" w:space="0" w:color="auto"/>
        <w:left w:val="none" w:sz="0" w:space="0" w:color="auto"/>
        <w:bottom w:val="none" w:sz="0" w:space="0" w:color="auto"/>
        <w:right w:val="none" w:sz="0" w:space="0" w:color="auto"/>
      </w:divBdr>
    </w:div>
    <w:div w:id="1851137454">
      <w:bodyDiv w:val="1"/>
      <w:marLeft w:val="0"/>
      <w:marRight w:val="0"/>
      <w:marTop w:val="0"/>
      <w:marBottom w:val="0"/>
      <w:divBdr>
        <w:top w:val="none" w:sz="0" w:space="0" w:color="auto"/>
        <w:left w:val="none" w:sz="0" w:space="0" w:color="auto"/>
        <w:bottom w:val="none" w:sz="0" w:space="0" w:color="auto"/>
        <w:right w:val="none" w:sz="0" w:space="0" w:color="auto"/>
      </w:divBdr>
    </w:div>
    <w:div w:id="190614171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065327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151778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20/1/465/&#1575;&#1604;&#1601;&#1575;&#1582;&#1585;" TargetMode="External"/><Relationship Id="rId7" Type="http://schemas.openxmlformats.org/officeDocument/2006/relationships/hyperlink" Target="http://lib.eshia.ir/10151/9/279/&#1575;&#1604;&#1601;&#1575;&#1582;&#1585;" TargetMode="External"/><Relationship Id="rId2" Type="http://schemas.openxmlformats.org/officeDocument/2006/relationships/hyperlink" Target="http://lib.eshia.ir/10151/9/279/&#1575;&#1604;&#1601;&#1575;&#1582;&#1585;" TargetMode="External"/><Relationship Id="rId1" Type="http://schemas.openxmlformats.org/officeDocument/2006/relationships/hyperlink" Target="http://lib.eshia.ir/10081/1/66/7" TargetMode="External"/><Relationship Id="rId6" Type="http://schemas.openxmlformats.org/officeDocument/2006/relationships/hyperlink" Target="http://lib.eshia.ir/27154/12/312/&#1593;&#1605;&#1583;&#1575;" TargetMode="External"/><Relationship Id="rId5" Type="http://schemas.openxmlformats.org/officeDocument/2006/relationships/hyperlink" Target="http://lib.eshia.ir/10184/3/427/&#1587;&#1604;&#1575;&#1585;" TargetMode="External"/><Relationship Id="rId4" Type="http://schemas.openxmlformats.org/officeDocument/2006/relationships/hyperlink" Target="http://lib.eshia.ir/71534/3/161/&#1587;&#1604;&#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9B34-1CE8-4334-9209-F47E445E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2705</TotalTime>
  <Pages>7</Pages>
  <Words>1416</Words>
  <Characters>8074</Characters>
  <Application>Microsoft Office Word</Application>
  <DocSecurity>0</DocSecurity>
  <Lines>67</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9472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135</cp:revision>
  <cp:lastPrinted>2020-12-12T12:08:00Z</cp:lastPrinted>
  <dcterms:created xsi:type="dcterms:W3CDTF">2020-12-09T19:03:00Z</dcterms:created>
  <dcterms:modified xsi:type="dcterms:W3CDTF">2020-12-13T06:10:00Z</dcterms:modified>
  <cp:contentStatus>ویرایش 2.5</cp:contentStatus>
  <cp:version>2.7</cp:version>
</cp:coreProperties>
</file>