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C16" w:rsidRDefault="004D1C16" w:rsidP="004D1C16">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b/>
          <w:bCs/>
          <w:color w:val="632423"/>
          <w:sz w:val="24"/>
          <w:szCs w:val="24"/>
          <w:shd w:val="clear" w:color="auto" w:fill="FFFFFF"/>
          <w:rtl/>
        </w:rPr>
        <w:t>درس خارج فقه استاد سید محمد جواد شبیری</w:t>
      </w:r>
    </w:p>
    <w:p w:rsidR="004D1C16" w:rsidRDefault="004D1C16" w:rsidP="004D1C16">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w:t>
      </w:r>
      <w:r>
        <w:rPr>
          <w:rFonts w:ascii="IRANSans" w:hAnsi="IRANSans" w:cs="IRANSans" w:hint="cs"/>
          <w:b/>
          <w:bCs/>
          <w:color w:val="0101FF"/>
          <w:sz w:val="24"/>
          <w:szCs w:val="24"/>
          <w:shd w:val="clear" w:color="auto" w:fill="FFFFFF"/>
          <w:rtl/>
        </w:rPr>
        <w:t>30</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1399 </w:t>
      </w:r>
      <w:r w:rsidRPr="008339E4">
        <w:rPr>
          <w:rFonts w:ascii="IRANSans" w:hAnsi="IRANSans" w:cs="IRANSans" w:hint="cs"/>
          <w:b/>
          <w:bCs/>
          <w:color w:val="0101FF"/>
          <w:sz w:val="24"/>
          <w:szCs w:val="24"/>
          <w:shd w:val="clear" w:color="auto" w:fill="FFFFFF"/>
          <w:rtl/>
        </w:rPr>
        <w:t xml:space="preserve">خروج از منزل و بیتوته </w:t>
      </w:r>
      <w:r>
        <w:rPr>
          <w:rFonts w:ascii="IRANSans" w:hAnsi="IRANSans" w:cs="IRANSans" w:hint="cs"/>
          <w:b/>
          <w:bCs/>
          <w:color w:val="0101FF"/>
          <w:sz w:val="24"/>
          <w:szCs w:val="24"/>
          <w:shd w:val="clear" w:color="auto" w:fill="FFFFFF"/>
          <w:rtl/>
        </w:rPr>
        <w:t>/عده‌ی وفات</w:t>
      </w:r>
      <w:r w:rsidRPr="005F6BC4">
        <w:rPr>
          <w:rFonts w:ascii="IRANSans" w:hAnsi="IRANSans" w:cs="IRANSans" w:hint="cs"/>
          <w:b/>
          <w:bCs/>
          <w:color w:val="0101FF"/>
          <w:sz w:val="24"/>
          <w:szCs w:val="24"/>
          <w:shd w:val="clear" w:color="auto" w:fill="FFFFFF"/>
          <w:rtl/>
        </w:rPr>
        <w:t>/</w:t>
      </w:r>
      <w:r>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DA423E" w:rsidP="009067F9">
      <w:pPr>
        <w:pBdr>
          <w:bottom w:val="double" w:sz="6" w:space="1" w:color="auto"/>
        </w:pBdr>
        <w:jc w:val="both"/>
        <w:rPr>
          <w:rtl/>
        </w:rPr>
      </w:pPr>
      <w:r>
        <w:rPr>
          <w:rFonts w:hint="cs"/>
          <w:rtl/>
        </w:rPr>
        <w:t>بحث در جواز یا عدم جواز مبیت در غیر از منزل و خروج از منزل در زمان عده</w:t>
      </w:r>
      <w:r>
        <w:rPr>
          <w:rFonts w:hint="eastAsia"/>
          <w:rtl/>
        </w:rPr>
        <w:t>‌</w:t>
      </w:r>
      <w:r>
        <w:rPr>
          <w:rFonts w:hint="cs"/>
          <w:rtl/>
        </w:rPr>
        <w:t>ی وفات بود.</w:t>
      </w:r>
      <w:r w:rsidR="00361DAD">
        <w:rPr>
          <w:rFonts w:hint="cs"/>
          <w:rtl/>
        </w:rPr>
        <w:t xml:space="preserve"> دو دسته روای</w:t>
      </w:r>
      <w:r w:rsidR="001F61BC">
        <w:rPr>
          <w:rFonts w:hint="cs"/>
          <w:rtl/>
        </w:rPr>
        <w:t>ت وجود دارد. یک دسته از روایات مبیت زن در غیر از منزلش را جائز نمی دانند و دسته</w:t>
      </w:r>
      <w:r w:rsidR="001F61BC">
        <w:rPr>
          <w:rFonts w:hint="eastAsia"/>
          <w:rtl/>
        </w:rPr>
        <w:t>‌</w:t>
      </w:r>
      <w:r w:rsidR="001F61BC">
        <w:rPr>
          <w:rFonts w:hint="cs"/>
          <w:rtl/>
        </w:rPr>
        <w:t>ی دوم جائز می دانند.</w:t>
      </w:r>
    </w:p>
    <w:p w:rsidR="001F61BC" w:rsidRDefault="001F61BC" w:rsidP="009067F9">
      <w:pPr>
        <w:pBdr>
          <w:bottom w:val="double" w:sz="6" w:space="1" w:color="auto"/>
        </w:pBdr>
        <w:jc w:val="both"/>
        <w:rPr>
          <w:rtl/>
        </w:rPr>
      </w:pPr>
      <w:r>
        <w:rPr>
          <w:rFonts w:hint="cs"/>
          <w:rtl/>
        </w:rPr>
        <w:t>مشهور فقها روایات عدم جواز را بر کراهت حمل کرده اند. بعضی از فقها روایات جواز را بر ضرورت حمل کرده اند.</w:t>
      </w:r>
    </w:p>
    <w:p w:rsidR="00852A1E" w:rsidRDefault="00B110EE" w:rsidP="009067F9">
      <w:pPr>
        <w:pBdr>
          <w:bottom w:val="double" w:sz="6" w:space="1" w:color="auto"/>
        </w:pBdr>
        <w:jc w:val="both"/>
        <w:rPr>
          <w:rtl/>
        </w:rPr>
      </w:pPr>
      <w:r>
        <w:rPr>
          <w:rFonts w:hint="cs"/>
          <w:rtl/>
        </w:rPr>
        <w:t xml:space="preserve">گفتیم </w:t>
      </w:r>
      <w:r w:rsidR="00852A1E">
        <w:rPr>
          <w:rFonts w:hint="cs"/>
          <w:rtl/>
        </w:rPr>
        <w:t>وجه حمل مشهور ترجیح دارد.</w:t>
      </w:r>
    </w:p>
    <w:p w:rsidR="00247D2F" w:rsidRPr="003A6148" w:rsidRDefault="00247D2F" w:rsidP="009067F9">
      <w:pPr>
        <w:pBdr>
          <w:bottom w:val="double" w:sz="6" w:space="1" w:color="auto"/>
        </w:pBdr>
        <w:jc w:val="both"/>
      </w:pPr>
    </w:p>
    <w:p w:rsidR="008F5B4D" w:rsidRDefault="008F5B4D" w:rsidP="009067F9">
      <w:pPr>
        <w:jc w:val="both"/>
      </w:pPr>
    </w:p>
    <w:p w:rsidR="003E6650" w:rsidRPr="001A27D7" w:rsidRDefault="003A1468" w:rsidP="003A1468">
      <w:pPr>
        <w:pStyle w:val="Heading1"/>
        <w:rPr>
          <w:rtl/>
        </w:rPr>
      </w:pPr>
      <w:bookmarkStart w:id="1" w:name="_Toc58346524"/>
      <w:r>
        <w:rPr>
          <w:rFonts w:hint="cs"/>
          <w:rtl/>
        </w:rPr>
        <w:t>جمع بین روایات</w:t>
      </w:r>
      <w:bookmarkEnd w:id="1"/>
    </w:p>
    <w:p w:rsidR="001A1EA5" w:rsidRDefault="00C80690" w:rsidP="009067F9">
      <w:pPr>
        <w:jc w:val="both"/>
        <w:rPr>
          <w:rtl/>
        </w:rPr>
      </w:pPr>
      <w:r>
        <w:rPr>
          <w:rFonts w:hint="cs"/>
          <w:rtl/>
        </w:rPr>
        <w:t>بحثی وجود دارد که اگر دو نوع جمع در دو دسته روایت وجود داشت و هر دو جمع عرفی بود و یک جمع متعین نبود، آیا این دو دسته روایت مشمول اخبار علاجیه می شوند؟</w:t>
      </w:r>
    </w:p>
    <w:p w:rsidR="009067F9" w:rsidRDefault="00C80690" w:rsidP="00C80690">
      <w:pPr>
        <w:jc w:val="both"/>
        <w:rPr>
          <w:rtl/>
        </w:rPr>
      </w:pPr>
      <w:r>
        <w:rPr>
          <w:rFonts w:hint="cs"/>
          <w:rtl/>
        </w:rPr>
        <w:t>به نظر می رسد</w:t>
      </w:r>
      <w:r w:rsidRPr="00C80690">
        <w:rPr>
          <w:rFonts w:hint="cs"/>
          <w:rtl/>
        </w:rPr>
        <w:t xml:space="preserve"> </w:t>
      </w:r>
      <w:r>
        <w:rPr>
          <w:rFonts w:hint="cs"/>
          <w:rtl/>
        </w:rPr>
        <w:t xml:space="preserve">اخبار علاجیه شامل جمع عرفی لا متعین </w:t>
      </w:r>
      <w:r w:rsidR="004B5B4D">
        <w:rPr>
          <w:rFonts w:hint="cs"/>
          <w:rtl/>
        </w:rPr>
        <w:t>نمی شوند؛ زیرا اخبار علاجیه شامل اخباری است که با هم سازگار نمی باشند؛ اما اخباری که با هم سازگارند و نحوه</w:t>
      </w:r>
      <w:r w:rsidR="004B5B4D">
        <w:rPr>
          <w:rFonts w:hint="eastAsia"/>
          <w:rtl/>
        </w:rPr>
        <w:t>‌</w:t>
      </w:r>
      <w:r w:rsidR="004B5B4D">
        <w:rPr>
          <w:rFonts w:hint="cs"/>
          <w:rtl/>
        </w:rPr>
        <w:t>ی سازگاری آن ها مشخص نیست</w:t>
      </w:r>
      <w:r w:rsidR="004448B4">
        <w:rPr>
          <w:rFonts w:hint="cs"/>
          <w:rtl/>
        </w:rPr>
        <w:t>، مشمول اخبار علاجیه نیستن</w:t>
      </w:r>
      <w:r w:rsidR="00DD3CC3">
        <w:rPr>
          <w:rFonts w:hint="cs"/>
          <w:rtl/>
        </w:rPr>
        <w:t>د و مجمل می شوند و حکم اخبار مجمل، رجوع به اصول عملیه است.</w:t>
      </w:r>
    </w:p>
    <w:p w:rsidR="00B9587D" w:rsidRDefault="00B9587D" w:rsidP="00B9587D">
      <w:pPr>
        <w:jc w:val="both"/>
        <w:rPr>
          <w:rtl/>
        </w:rPr>
      </w:pPr>
      <w:r>
        <w:rPr>
          <w:rFonts w:hint="cs"/>
          <w:rtl/>
        </w:rPr>
        <w:t>در بحث ما هم اگر هر دو جمع عرفی باشند</w:t>
      </w:r>
      <w:r w:rsidR="00962ABE">
        <w:rPr>
          <w:rFonts w:hint="cs"/>
          <w:rtl/>
        </w:rPr>
        <w:t xml:space="preserve"> و هیچ یک متعین نباشد</w:t>
      </w:r>
      <w:r>
        <w:rPr>
          <w:rFonts w:hint="cs"/>
          <w:rtl/>
        </w:rPr>
        <w:t>، باید به اصول عملیه رجوع کرد که در این بحث برائت و عدم حرمت خروج از منزل ثابت می شود.</w:t>
      </w:r>
    </w:p>
    <w:p w:rsidR="009067F9" w:rsidRDefault="007A2658" w:rsidP="009067F9">
      <w:pPr>
        <w:jc w:val="both"/>
        <w:rPr>
          <w:rtl/>
        </w:rPr>
      </w:pPr>
      <w:r>
        <w:rPr>
          <w:rFonts w:hint="cs"/>
          <w:rtl/>
        </w:rPr>
        <w:t>اما به نظر می رسد بحث بیتوته در خارج از منزل را باید به نحو دیگری بررسی کرد.</w:t>
      </w:r>
      <w:r>
        <w:rPr>
          <w:rStyle w:val="FootnoteReference"/>
          <w:rtl/>
        </w:rPr>
        <w:footnoteReference w:id="1"/>
      </w:r>
    </w:p>
    <w:p w:rsidR="00C243AA" w:rsidRDefault="001B04EF" w:rsidP="001B04EF">
      <w:pPr>
        <w:jc w:val="both"/>
        <w:rPr>
          <w:rtl/>
        </w:rPr>
      </w:pPr>
      <w:r>
        <w:rPr>
          <w:rFonts w:hint="cs"/>
          <w:rtl/>
        </w:rPr>
        <w:lastRenderedPageBreak/>
        <w:t>بیتوته در خارج از منزل در میان عامه نیز مطرح بوده و بین آن ها اختلافی است.</w:t>
      </w:r>
    </w:p>
    <w:p w:rsidR="0071127C" w:rsidRDefault="0071127C" w:rsidP="00E22E30">
      <w:pPr>
        <w:pStyle w:val="Heading2"/>
        <w:rPr>
          <w:rtl/>
        </w:rPr>
      </w:pPr>
      <w:bookmarkStart w:id="2" w:name="_Toc58344983"/>
      <w:bookmarkStart w:id="3" w:name="_Toc58346525"/>
      <w:r>
        <w:rPr>
          <w:rFonts w:hint="cs"/>
          <w:rtl/>
        </w:rPr>
        <w:t>کلام ابن قدامه در المغنی</w:t>
      </w:r>
      <w:bookmarkEnd w:id="2"/>
      <w:bookmarkEnd w:id="3"/>
    </w:p>
    <w:p w:rsidR="00CD0FAA" w:rsidRPr="006C65AB" w:rsidRDefault="00CD0FAA" w:rsidP="00CD0FAA">
      <w:pPr>
        <w:rPr>
          <w:color w:val="000080"/>
          <w:rtl/>
        </w:rPr>
      </w:pPr>
      <w:r w:rsidRPr="006C65AB">
        <w:rPr>
          <w:color w:val="000080"/>
          <w:rtl/>
        </w:rPr>
        <w:t>[فَصْلٌ الْمُتَوَفَّى عَنْهَا زَوْجُهَا تَعْتَدَّ فِي مَنْزِلِهَا]</w:t>
      </w:r>
    </w:p>
    <w:p w:rsidR="00CD0FAA" w:rsidRPr="00CD0FAA" w:rsidRDefault="00CD0FAA" w:rsidP="00CD0FAA">
      <w:pPr>
        <w:jc w:val="both"/>
        <w:rPr>
          <w:color w:val="000080"/>
          <w:rtl/>
        </w:rPr>
      </w:pPr>
      <w:r w:rsidRPr="00CD0FAA">
        <w:rPr>
          <w:color w:val="000080"/>
          <w:rtl/>
        </w:rPr>
        <w:t>(6392) فَصْلٌ: وَالرَّابِعُ الْمَبِيتُ فِي غَيْرِ مَنْزِلِهَا. وَمِمَّنْ أَوْجَبَ عَلَى الْمُتَوَفَّى عَنْهَا زَوْجُهَا الِاعْتِدَادَ فِي مَنْزِلِهَا، عُمَرُ، وَعُثْمَانُ - رَضِيَ اللَّهُ عَنْهُمَا - وَرُوِيَ ذَلِكَ عَنْ ابْنِ عُمَرَ، وَابْنِ مَسْعُودٍ، وَأُمِّ سَلَمَةَ، وَبِهِ يَقُولُ مَالِكٌ، وَالثَّوْرِيُّ، وَالْأَوْزَاعِيُّ، وَأَبُو حَنِيفَةَ، وَالشَّافِعِيُّ، وَإِسْحَاقُ وَقَالَ ابْنُ عَبْدِ الْبَرِّ: وَبِهِ يَقُولُ جَمَاعَةُ فُقَهَاءِ الْأَمْصَارِ، بِالْحِجَازِ، وَالشَّامِ، وَالْعِرَاقِ، وَمِصْرَ وَقَالَ جَابِرُ بْنُ زَيْدٍ، وَالْحَسَنُ، وَعَطَاءٌ تَعْتَدُّ حَيْثُ شَاءَتْ.</w:t>
      </w:r>
    </w:p>
    <w:p w:rsidR="0071127C" w:rsidRDefault="00CD0FAA" w:rsidP="00CD0FAA">
      <w:pPr>
        <w:jc w:val="both"/>
        <w:rPr>
          <w:rtl/>
        </w:rPr>
      </w:pPr>
      <w:r w:rsidRPr="00CD0FAA">
        <w:rPr>
          <w:color w:val="000080"/>
          <w:rtl/>
        </w:rPr>
        <w:t>وَرُوِيَ ذَلِكَ عَنْ عَلِيٍّ، وَابْنِ عَبَّاسٍ، وَجَابِرٍ، وَعَائِشَةَ - رَضِيَ اللَّهُ عَنْهُمْ - قَالَ ابْنُ عَبَّاسٍ: نَسَخَتْ هَذِهِ الْآيَةُ عِدَّتَهَا عِنْدَ أَهْلِهِ، وَسَكَنَتْ فِي وَصِيَّتِهَا، وَإِنْ شَاءَتْ خَرَجَتْ؛ لِقَوْلِ اللَّه تَعَالَى:</w:t>
      </w:r>
      <w:r w:rsidRPr="00CD0FAA">
        <w:rPr>
          <w:rFonts w:hint="cs"/>
          <w:color w:val="000080"/>
          <w:rtl/>
        </w:rPr>
        <w:t xml:space="preserve"> </w:t>
      </w:r>
      <w:r w:rsidRPr="00CD0FAA">
        <w:rPr>
          <w:color w:val="000080"/>
          <w:rtl/>
        </w:rPr>
        <w:t>{فَإِنْ خَرَجْنَ فَلا جُنَاحَ عَلَيْكُمْ فِي مَا فَعَلْنَ فِي أَنْفُسِهِنَّ} [البقرة: 240] . قَالَ عَطَاءٌ: ثُمَّ جَاءَ الْمِيرَاثُ، فَنَسَخَ السُّكْنَى، تَعْتَدُّ حَيْثُ شَاءَتْ. رَوَاهُمَا أَبُو دَاوُد.</w:t>
      </w:r>
      <w:r w:rsidR="006C65AB">
        <w:rPr>
          <w:rStyle w:val="FootnoteReference"/>
          <w:color w:val="000080"/>
          <w:rtl/>
        </w:rPr>
        <w:footnoteReference w:id="2"/>
      </w:r>
    </w:p>
    <w:p w:rsidR="0071127C" w:rsidRDefault="00192D11" w:rsidP="001B04EF">
      <w:pPr>
        <w:jc w:val="both"/>
        <w:rPr>
          <w:rtl/>
        </w:rPr>
      </w:pPr>
      <w:r>
        <w:rPr>
          <w:rFonts w:hint="cs"/>
          <w:rtl/>
        </w:rPr>
        <w:t>فقهای مشهور عامه مبیت معتده را در غیر منزلش جائز نمی دانند</w:t>
      </w:r>
      <w:r w:rsidR="0028184F">
        <w:rPr>
          <w:rFonts w:hint="cs"/>
          <w:rtl/>
        </w:rPr>
        <w:t xml:space="preserve">؛ حتی </w:t>
      </w:r>
      <w:r w:rsidR="00E22E30">
        <w:rPr>
          <w:rFonts w:hint="cs"/>
          <w:rtl/>
        </w:rPr>
        <w:t>حج را نیز جائز نمی دان</w:t>
      </w:r>
      <w:r w:rsidR="00B02BF9">
        <w:rPr>
          <w:rFonts w:hint="cs"/>
          <w:rtl/>
        </w:rPr>
        <w:t>ند:</w:t>
      </w:r>
    </w:p>
    <w:p w:rsidR="0071127C" w:rsidRPr="00D37DF9" w:rsidRDefault="00D37DF9" w:rsidP="001B04EF">
      <w:pPr>
        <w:jc w:val="both"/>
        <w:rPr>
          <w:color w:val="000080"/>
        </w:rPr>
      </w:pPr>
      <w:r w:rsidRPr="00D37DF9">
        <w:rPr>
          <w:color w:val="000080"/>
          <w:rtl/>
        </w:rPr>
        <w:t>وَلَوْ كَانَتْ عَلَيْهَا حِجَّةُ الْإِسْلَامِ، فَمَاتَ زَوْجُهَا، لَزِمَتْهَا الْعِدَّةُ فِي مَنْزِلِهَا وَإِنْ فَاتَهَا الْحَجُّ؛ لِأَنَّ الْعِدَّةَ فِي الْمَنْزِلِ تَفُوتُ، وَلَا بَدَلَ لَهَا، وَالْحَجُّ يُمْكِنُ الْإِتْيَانُ بِهِ فِي غَيْرِ هَذَا الْعَامِ</w:t>
      </w:r>
      <w:r>
        <w:rPr>
          <w:rStyle w:val="FootnoteReference"/>
          <w:color w:val="000080"/>
          <w:rtl/>
        </w:rPr>
        <w:footnoteReference w:id="3"/>
      </w:r>
    </w:p>
    <w:p w:rsidR="0071127C" w:rsidRDefault="00270396" w:rsidP="006A7FEF">
      <w:pPr>
        <w:jc w:val="both"/>
        <w:rPr>
          <w:rtl/>
        </w:rPr>
      </w:pPr>
      <w:r>
        <w:rPr>
          <w:rFonts w:hint="cs"/>
          <w:rtl/>
        </w:rPr>
        <w:t>با توجه به فتوای عامه،</w:t>
      </w:r>
      <w:r w:rsidR="006A716C">
        <w:rPr>
          <w:rFonts w:hint="cs"/>
          <w:rtl/>
        </w:rPr>
        <w:t xml:space="preserve"> ظهور</w:t>
      </w:r>
      <w:r>
        <w:rPr>
          <w:rFonts w:hint="cs"/>
          <w:rtl/>
        </w:rPr>
        <w:t xml:space="preserve"> روایات حرمت مبیت زن در غیر از منزل</w:t>
      </w:r>
      <w:r w:rsidR="006A716C">
        <w:rPr>
          <w:rFonts w:hint="cs"/>
          <w:rtl/>
        </w:rPr>
        <w:t>ش، قوی می شود و حمل بر کراهت مشکل است؛ همچنین روایات جواز را</w:t>
      </w:r>
      <w:r w:rsidR="001B6D88">
        <w:rPr>
          <w:rFonts w:hint="cs"/>
          <w:rtl/>
        </w:rPr>
        <w:t xml:space="preserve"> نمی توان بر صورت ضرورت حمل کرد؛ زیرا بحثی که در میان عامه وجود دارد ( سوالاتی که در مورد اصل خروج می باشد، نه کیفیت خروج)، در مورد صورت غیر ضرورت است.</w:t>
      </w:r>
      <w:r w:rsidR="006A716C">
        <w:rPr>
          <w:rFonts w:hint="cs"/>
          <w:rtl/>
        </w:rPr>
        <w:t xml:space="preserve"> البته در جلسات قبل گفتیم که حمل روایات جواز بر صورت ضرورت، ذاتا</w:t>
      </w:r>
      <w:r w:rsidR="001B6D88">
        <w:rPr>
          <w:rFonts w:hint="cs"/>
          <w:rtl/>
        </w:rPr>
        <w:t xml:space="preserve"> نیز</w:t>
      </w:r>
      <w:r w:rsidR="006A716C">
        <w:rPr>
          <w:rFonts w:hint="cs"/>
          <w:rtl/>
        </w:rPr>
        <w:t xml:space="preserve"> بعید است؛ زیرا حمل بر فرد نادر است.</w:t>
      </w:r>
    </w:p>
    <w:p w:rsidR="0071127C" w:rsidRDefault="00367120" w:rsidP="001B04EF">
      <w:pPr>
        <w:jc w:val="both"/>
        <w:rPr>
          <w:rtl/>
        </w:rPr>
      </w:pPr>
      <w:r>
        <w:rPr>
          <w:rFonts w:hint="cs"/>
          <w:rtl/>
        </w:rPr>
        <w:t>در نتیجه جمع عرفی که بیان شده بود، با توجه به اختلاف عامه، صحیح ن</w:t>
      </w:r>
      <w:r w:rsidR="00C929B5">
        <w:rPr>
          <w:rFonts w:hint="cs"/>
          <w:rtl/>
        </w:rPr>
        <w:t>می باشد</w:t>
      </w:r>
      <w:r w:rsidR="00967DE5">
        <w:rPr>
          <w:rFonts w:hint="cs"/>
          <w:rtl/>
        </w:rPr>
        <w:t xml:space="preserve"> و دو دسته روای</w:t>
      </w:r>
      <w:r w:rsidR="00C929B5">
        <w:rPr>
          <w:rFonts w:hint="cs"/>
          <w:rtl/>
        </w:rPr>
        <w:t>ت با هم متعارضند و باید به مرجحات رجوع کرد.</w:t>
      </w:r>
    </w:p>
    <w:p w:rsidR="00C929B5" w:rsidRDefault="00C929B5" w:rsidP="001B04EF">
      <w:pPr>
        <w:jc w:val="both"/>
        <w:rPr>
          <w:rtl/>
        </w:rPr>
      </w:pPr>
      <w:r>
        <w:rPr>
          <w:rFonts w:hint="cs"/>
          <w:rtl/>
        </w:rPr>
        <w:t xml:space="preserve">مرجح اول ترجیح قطعی الصدور بر ظنی الصدور است. با </w:t>
      </w:r>
      <w:r w:rsidR="00531A61">
        <w:rPr>
          <w:rFonts w:hint="cs"/>
          <w:rtl/>
        </w:rPr>
        <w:t>توجه به این که هر دو دسته روایت</w:t>
      </w:r>
      <w:r w:rsidR="0044366D">
        <w:rPr>
          <w:rFonts w:hint="cs"/>
          <w:rtl/>
        </w:rPr>
        <w:t xml:space="preserve"> متعددند، هر دو قطعی الصدورند هیچ یک ترجیحی بر دیگری ندارد.</w:t>
      </w:r>
    </w:p>
    <w:p w:rsidR="0071127C" w:rsidRDefault="00D97730" w:rsidP="001B04EF">
      <w:pPr>
        <w:jc w:val="both"/>
        <w:rPr>
          <w:rtl/>
        </w:rPr>
      </w:pPr>
      <w:r>
        <w:rPr>
          <w:rFonts w:hint="cs"/>
          <w:rtl/>
        </w:rPr>
        <w:lastRenderedPageBreak/>
        <w:t>مرجح دوم ترجیح موافق کتاب است</w:t>
      </w:r>
      <w:r w:rsidR="004909CB">
        <w:rPr>
          <w:rFonts w:hint="cs"/>
          <w:rtl/>
        </w:rPr>
        <w:t>.</w:t>
      </w:r>
      <w:r w:rsidR="005A207B">
        <w:rPr>
          <w:rFonts w:hint="cs"/>
          <w:rtl/>
        </w:rPr>
        <w:t xml:space="preserve"> روایات جواز، موافق این آیه هستند:</w:t>
      </w:r>
    </w:p>
    <w:p w:rsidR="005A207B" w:rsidRPr="005A207B" w:rsidRDefault="005A207B" w:rsidP="005A207B">
      <w:pPr>
        <w:jc w:val="both"/>
        <w:rPr>
          <w:color w:val="008000"/>
          <w:rtl/>
        </w:rPr>
      </w:pPr>
      <w:r>
        <w:rPr>
          <w:rFonts w:cs="Calibri"/>
          <w:color w:val="008000"/>
          <w:rtl/>
        </w:rPr>
        <w:t>﴿</w:t>
      </w:r>
      <w:r w:rsidRPr="005A207B">
        <w:rPr>
          <w:rFonts w:hint="cs"/>
          <w:color w:val="008000"/>
          <w:rtl/>
        </w:rPr>
        <w:t>وَالَّذِينَ يُتَوَفَّوْنَ مِنْكُمْ وَيَذَرُونَ أَزْوَاجًا وَصِيَّةً لِأَزْوَاجِهِمْ مَتَاعًا إ</w:t>
      </w:r>
      <w:r w:rsidR="00FE394E">
        <w:rPr>
          <w:rFonts w:hint="cs"/>
          <w:color w:val="008000"/>
          <w:rtl/>
        </w:rPr>
        <w:t>ِلَى الْحَوْلِ غَيْرَ إِخْرَاجٍ</w:t>
      </w:r>
      <w:r w:rsidRPr="005A207B">
        <w:rPr>
          <w:rFonts w:hint="cs"/>
          <w:color w:val="008000"/>
          <w:rtl/>
        </w:rPr>
        <w:t xml:space="preserve"> فَإِنْ خَرَجْنَ فَلَا جُنَاحَ عَلَيْكُمْ فِي مَا فَعَلْنَ فِي أَنْفُسِهِنَّ مِنْ مَعْرُوفٍ</w:t>
      </w:r>
      <w:r w:rsidRPr="005A207B">
        <w:rPr>
          <w:rFonts w:hint="cs"/>
          <w:color w:val="008000"/>
        </w:rPr>
        <w:t xml:space="preserve"> </w:t>
      </w:r>
      <w:r w:rsidRPr="005A207B">
        <w:rPr>
          <w:rFonts w:cs="Calibri" w:hint="cs"/>
          <w:color w:val="008000"/>
          <w:szCs w:val="22"/>
          <w:rtl/>
        </w:rPr>
        <w:t>ۗ</w:t>
      </w:r>
      <w:r w:rsidRPr="005A207B">
        <w:rPr>
          <w:rFonts w:hint="cs"/>
          <w:color w:val="008000"/>
        </w:rPr>
        <w:t xml:space="preserve"> </w:t>
      </w:r>
      <w:r w:rsidRPr="005A207B">
        <w:rPr>
          <w:rFonts w:hint="cs"/>
          <w:color w:val="008000"/>
          <w:rtl/>
        </w:rPr>
        <w:t>وَاللَّهُ عَزِيزٌ حَكِيمٌ</w:t>
      </w:r>
      <w:r w:rsidRPr="005A207B">
        <w:rPr>
          <w:rFonts w:cs="Calibri"/>
          <w:color w:val="008000"/>
          <w:rtl/>
        </w:rPr>
        <w:t>﴾</w:t>
      </w:r>
      <w:r>
        <w:rPr>
          <w:rStyle w:val="FootnoteReference"/>
          <w:rFonts w:cs="Calibri"/>
          <w:color w:val="008000"/>
          <w:rtl/>
        </w:rPr>
        <w:footnoteReference w:id="4"/>
      </w:r>
    </w:p>
    <w:p w:rsidR="00FE394E" w:rsidRDefault="00FE394E" w:rsidP="001B04EF">
      <w:pPr>
        <w:jc w:val="both"/>
        <w:rPr>
          <w:rtl/>
        </w:rPr>
      </w:pPr>
      <w:r>
        <w:rPr>
          <w:rFonts w:hint="cs"/>
          <w:rtl/>
        </w:rPr>
        <w:t>طبق ظاهر این آیه</w:t>
      </w:r>
      <w:r w:rsidR="00CC5360">
        <w:rPr>
          <w:rFonts w:hint="cs"/>
          <w:rtl/>
        </w:rPr>
        <w:t>، متوفی عنها زوجها می تواند از خانه خارج شو</w:t>
      </w:r>
      <w:r>
        <w:rPr>
          <w:rFonts w:hint="cs"/>
          <w:rtl/>
        </w:rPr>
        <w:t>د.</w:t>
      </w:r>
      <w:r w:rsidR="00686399">
        <w:rPr>
          <w:rFonts w:hint="cs"/>
          <w:rtl/>
        </w:rPr>
        <w:t xml:space="preserve"> بنابراین روایات حرمت خروج از منزل مخالف آیه</w:t>
      </w:r>
      <w:r w:rsidR="00686399">
        <w:rPr>
          <w:rFonts w:hint="eastAsia"/>
          <w:rtl/>
        </w:rPr>
        <w:t>‌</w:t>
      </w:r>
      <w:r w:rsidR="00686399">
        <w:rPr>
          <w:rFonts w:hint="cs"/>
          <w:rtl/>
        </w:rPr>
        <w:t>ی قرآن هستند و طرح می شوند.</w:t>
      </w:r>
    </w:p>
    <w:p w:rsidR="00D97730" w:rsidRDefault="00D97730" w:rsidP="001B04EF">
      <w:pPr>
        <w:jc w:val="both"/>
        <w:rPr>
          <w:rtl/>
        </w:rPr>
      </w:pPr>
      <w:r>
        <w:rPr>
          <w:rFonts w:hint="cs"/>
          <w:rtl/>
        </w:rPr>
        <w:t>مرجح سوم ترجیح مخالف عامه است</w:t>
      </w:r>
      <w:r w:rsidR="00DB743C">
        <w:rPr>
          <w:rFonts w:hint="cs"/>
          <w:rtl/>
        </w:rPr>
        <w:t>؛ گر چه بعضی از عامه قائل به جواز بیتوته</w:t>
      </w:r>
      <w:r w:rsidR="00DB743C">
        <w:rPr>
          <w:rFonts w:hint="eastAsia"/>
          <w:rtl/>
        </w:rPr>
        <w:t>‌</w:t>
      </w:r>
      <w:r w:rsidR="00DB743C">
        <w:rPr>
          <w:rFonts w:hint="cs"/>
          <w:rtl/>
        </w:rPr>
        <w:t xml:space="preserve">ی زن معتده در غیر </w:t>
      </w:r>
      <w:r w:rsidR="00003F20">
        <w:rPr>
          <w:rFonts w:hint="cs"/>
          <w:rtl/>
        </w:rPr>
        <w:t xml:space="preserve">از </w:t>
      </w:r>
      <w:r w:rsidR="00DB743C">
        <w:rPr>
          <w:rFonts w:hint="cs"/>
          <w:rtl/>
        </w:rPr>
        <w:t>منزلش هستند؛ اما اکثر فقهایشان و فقهای مشهورشان قائل به حرمت مبیت در غیر منزلش می باشند.</w:t>
      </w:r>
      <w:r w:rsidR="003A703D">
        <w:rPr>
          <w:rFonts w:hint="cs"/>
          <w:rtl/>
        </w:rPr>
        <w:t xml:space="preserve"> در نتیجه روایات حرمت مبیت معتده در غیر منزلش بر تقیه حمل می شود و روایات جواز ترجیح داده می شود.</w:t>
      </w:r>
    </w:p>
    <w:p w:rsidR="009A0B22" w:rsidRDefault="00B67E5A" w:rsidP="001B04EF">
      <w:pPr>
        <w:jc w:val="both"/>
        <w:rPr>
          <w:rtl/>
        </w:rPr>
      </w:pPr>
      <w:r>
        <w:rPr>
          <w:rFonts w:hint="cs"/>
          <w:rtl/>
        </w:rPr>
        <w:t>حمل بر تقیه دو گونه است.</w:t>
      </w:r>
    </w:p>
    <w:p w:rsidR="0071127C" w:rsidRDefault="002478EF" w:rsidP="001B04EF">
      <w:pPr>
        <w:jc w:val="both"/>
        <w:rPr>
          <w:rtl/>
        </w:rPr>
      </w:pPr>
      <w:r>
        <w:rPr>
          <w:rFonts w:hint="cs"/>
          <w:rtl/>
        </w:rPr>
        <w:t>گاهی جهت صدور روایات تقیه است و یکی از مرجحات نیز ترجیح مخالف عامه بر موافق عامه می باشد.</w:t>
      </w:r>
    </w:p>
    <w:p w:rsidR="002F35F4" w:rsidRDefault="009A0B22" w:rsidP="009A0B22">
      <w:pPr>
        <w:jc w:val="both"/>
        <w:rPr>
          <w:rtl/>
        </w:rPr>
      </w:pPr>
      <w:r>
        <w:rPr>
          <w:rFonts w:hint="cs"/>
          <w:rtl/>
        </w:rPr>
        <w:t>گاهی روایات بر صورت تقیه حمل می شوند؛ از آن جا که فقهای عامه به حرمت خروج زن معتده قائلند، به شیعیان دستور داده شده است که طبق مشهور فقهای عامه رفتار کنند تا شناخته نشوند.</w:t>
      </w:r>
    </w:p>
    <w:p w:rsidR="004B3221" w:rsidRDefault="004B3221" w:rsidP="009A0B22">
      <w:pPr>
        <w:jc w:val="both"/>
        <w:rPr>
          <w:rtl/>
        </w:rPr>
      </w:pPr>
      <w:r>
        <w:rPr>
          <w:rFonts w:hint="cs"/>
          <w:rtl/>
        </w:rPr>
        <w:t>اما تقیه</w:t>
      </w:r>
      <w:r>
        <w:rPr>
          <w:rFonts w:hint="eastAsia"/>
          <w:rtl/>
        </w:rPr>
        <w:t>‌</w:t>
      </w:r>
      <w:r>
        <w:rPr>
          <w:rFonts w:hint="cs"/>
          <w:rtl/>
        </w:rPr>
        <w:t>ی نوع اول روشن تر است؛ زیرا گر چه مشهور فقهای عامه قائل به حرمت خروج هستند؛ اما بعضی از فقهایشان قائل به جواز خروج هستند، به خصوص این که از عایشه، حسن بصری و ابن عباس جواز خروج نقل شده است.</w:t>
      </w:r>
    </w:p>
    <w:p w:rsidR="00E3124C" w:rsidRDefault="00E3124C" w:rsidP="009A0B22">
      <w:pPr>
        <w:jc w:val="both"/>
        <w:rPr>
          <w:rtl/>
        </w:rPr>
      </w:pPr>
      <w:r>
        <w:rPr>
          <w:rFonts w:hint="cs"/>
          <w:rtl/>
        </w:rPr>
        <w:t>اخبار علاجیه شامل مخالف مشهور عامه نیز می شود.</w:t>
      </w:r>
    </w:p>
    <w:p w:rsidR="00E754FC" w:rsidRPr="00C7738A" w:rsidRDefault="00E754FC" w:rsidP="00C7738A">
      <w:pPr>
        <w:jc w:val="both"/>
        <w:rPr>
          <w:color w:val="008000"/>
        </w:rPr>
      </w:pPr>
      <w:r>
        <w:rPr>
          <w:rFonts w:hint="cs"/>
          <w:rtl/>
        </w:rPr>
        <w:t xml:space="preserve">با صرف نظر از این مرجح، </w:t>
      </w:r>
      <w:r w:rsidRPr="00E754FC">
        <w:rPr>
          <w:rFonts w:hint="cs"/>
          <w:color w:val="008000"/>
          <w:rtl/>
        </w:rPr>
        <w:t>«</w:t>
      </w:r>
      <w:r w:rsidR="00C7738A" w:rsidRPr="00C7738A">
        <w:rPr>
          <w:rFonts w:hint="cs"/>
          <w:color w:val="008000"/>
          <w:rtl/>
        </w:rPr>
        <w:t>يُنْظَرُ إِلَى مَا هُمْ‏ إِلَيْهِ‏ أَمْيَلُ‏ حُكَّامُهُمْ‏ وَ قُضَاتُهُمْ فَيُتْرَك‏</w:t>
      </w:r>
      <w:r w:rsidRPr="00E754FC">
        <w:rPr>
          <w:rFonts w:hint="cs"/>
          <w:color w:val="008000"/>
          <w:rtl/>
        </w:rPr>
        <w:t>‏»</w:t>
      </w:r>
      <w:r>
        <w:rPr>
          <w:rStyle w:val="FootnoteReference"/>
          <w:color w:val="008000"/>
          <w:rtl/>
        </w:rPr>
        <w:footnoteReference w:id="5"/>
      </w:r>
      <w:r>
        <w:rPr>
          <w:rFonts w:hint="cs"/>
          <w:rtl/>
        </w:rPr>
        <w:t xml:space="preserve"> را باید مطرح کرد. ظاهرا </w:t>
      </w:r>
      <w:r w:rsidR="00C27A25">
        <w:rPr>
          <w:rFonts w:hint="cs"/>
          <w:rtl/>
        </w:rPr>
        <w:t>با توجه به این که مشهور فقهای عامه</w:t>
      </w:r>
      <w:r>
        <w:rPr>
          <w:rFonts w:hint="cs"/>
          <w:rtl/>
        </w:rPr>
        <w:t xml:space="preserve"> قائل به حرمت مبیت در غیر منزل خود هستند،</w:t>
      </w:r>
      <w:r w:rsidR="00BF2B23">
        <w:rPr>
          <w:rFonts w:hint="cs"/>
          <w:rtl/>
        </w:rPr>
        <w:t xml:space="preserve"> حکام و قضات آن ها نیز قائل به تحریم می باشند،</w:t>
      </w:r>
      <w:r w:rsidR="00C27A25">
        <w:rPr>
          <w:rFonts w:hint="cs"/>
          <w:rtl/>
        </w:rPr>
        <w:t xml:space="preserve"> در نتیجه</w:t>
      </w:r>
      <w:r>
        <w:rPr>
          <w:rFonts w:hint="cs"/>
          <w:rtl/>
        </w:rPr>
        <w:t xml:space="preserve"> </w:t>
      </w:r>
      <w:r w:rsidR="00C7738A">
        <w:rPr>
          <w:rFonts w:hint="cs"/>
          <w:rtl/>
        </w:rPr>
        <w:t>ترجیح با روایات جواز خواهد بود.</w:t>
      </w:r>
    </w:p>
    <w:p w:rsidR="00E754FC" w:rsidRDefault="003B16F5" w:rsidP="009A0B22">
      <w:pPr>
        <w:jc w:val="both"/>
      </w:pPr>
      <w:r>
        <w:rPr>
          <w:rFonts w:hint="cs"/>
          <w:rtl/>
        </w:rPr>
        <w:t>در نتیجه روایات جواز خروج ترجیح داده می شوند و روایات حرمت طرح می شوند؛ بنابراین کراهت خروج نیز ثابت نمی شود.</w:t>
      </w:r>
    </w:p>
    <w:p w:rsidR="00C243AA" w:rsidRDefault="00C243AA" w:rsidP="005A0E94">
      <w:pPr>
        <w:pStyle w:val="Heading1"/>
        <w:rPr>
          <w:rtl/>
        </w:rPr>
      </w:pPr>
      <w:bookmarkStart w:id="4" w:name="_Toc58344984"/>
      <w:bookmarkStart w:id="5" w:name="_Toc58346526"/>
      <w:r>
        <w:rPr>
          <w:rFonts w:hint="cs"/>
          <w:rtl/>
        </w:rPr>
        <w:t>مساله</w:t>
      </w:r>
      <w:r>
        <w:rPr>
          <w:rFonts w:hint="eastAsia"/>
          <w:rtl/>
        </w:rPr>
        <w:t>‌</w:t>
      </w:r>
      <w:r>
        <w:rPr>
          <w:rFonts w:hint="cs"/>
          <w:rtl/>
        </w:rPr>
        <w:t>ی چهارم تکمله</w:t>
      </w:r>
      <w:r>
        <w:rPr>
          <w:rFonts w:hint="eastAsia"/>
          <w:rtl/>
        </w:rPr>
        <w:t>‌</w:t>
      </w:r>
      <w:r>
        <w:rPr>
          <w:rFonts w:hint="cs"/>
          <w:rtl/>
        </w:rPr>
        <w:t>ی عروه</w:t>
      </w:r>
      <w:bookmarkEnd w:id="4"/>
      <w:bookmarkEnd w:id="5"/>
    </w:p>
    <w:p w:rsidR="00C243AA" w:rsidRPr="00C243AA" w:rsidRDefault="00C243AA" w:rsidP="00C243AA">
      <w:pPr>
        <w:jc w:val="both"/>
        <w:rPr>
          <w:color w:val="0000FF"/>
          <w:rtl/>
        </w:rPr>
      </w:pPr>
      <w:r w:rsidRPr="00C243AA">
        <w:rPr>
          <w:rFonts w:hint="cs"/>
          <w:color w:val="0000FF"/>
          <w:rtl/>
        </w:rPr>
        <w:t>مسألة 4: لا فرق في وجوب الحداد بين المسلمة و الذمية</w:t>
      </w:r>
      <w:r w:rsidRPr="00C243AA">
        <w:rPr>
          <w:rFonts w:hint="cs"/>
          <w:color w:val="0000FF"/>
        </w:rPr>
        <w:t>‌</w:t>
      </w:r>
      <w:r w:rsidRPr="00C243AA">
        <w:rPr>
          <w:rFonts w:hint="cs"/>
          <w:color w:val="0000FF"/>
          <w:rtl/>
        </w:rPr>
        <w:t>، قالوا و لا بين الكبيرة و الصغيرة، لكن في الصغيرة إشكال لأنّ الحداد تكليف لا يتوجه إلى الصغير و تكليف الولي غير معلوم و الأصل عدم الوجوب، و لذا تردد فيه ابن إدريس، و العلامة في المختلف، و مال إليه في الرياض، بل في كشف اللثام هو الأقوى، و هو الأقوى لما ذكر من عدم توجّه التكليف إلى الصغيرة، و كذا المجنونة، نعم الظّاهر عدم الفرق بين كون الزوج صغيرا أو كبيرا و إن كان لا يخلو عن إشكال أيضا في مثل الرضيع.</w:t>
      </w:r>
      <w:r w:rsidR="00431746">
        <w:rPr>
          <w:rStyle w:val="FootnoteReference"/>
          <w:color w:val="0000FF"/>
          <w:rtl/>
        </w:rPr>
        <w:footnoteReference w:id="6"/>
      </w:r>
    </w:p>
    <w:p w:rsidR="00C243AA" w:rsidRDefault="00DE5A2D" w:rsidP="009067F9">
      <w:pPr>
        <w:jc w:val="both"/>
        <w:rPr>
          <w:rtl/>
        </w:rPr>
      </w:pPr>
      <w:r>
        <w:rPr>
          <w:rFonts w:hint="cs"/>
          <w:rtl/>
        </w:rPr>
        <w:t>بین زن مسلمان و ذمی در وجوب حداد فرقی نیست؛ زیرا ذمی نیز مکلف به فروع است.</w:t>
      </w:r>
    </w:p>
    <w:p w:rsidR="00DE5A2D" w:rsidRDefault="00DE5A2D" w:rsidP="009067F9">
      <w:pPr>
        <w:jc w:val="both"/>
        <w:rPr>
          <w:rtl/>
        </w:rPr>
      </w:pPr>
      <w:r>
        <w:rPr>
          <w:rFonts w:hint="cs"/>
          <w:rtl/>
        </w:rPr>
        <w:t>علما بین</w:t>
      </w:r>
      <w:r w:rsidR="00F9170B">
        <w:rPr>
          <w:rFonts w:hint="cs"/>
          <w:rtl/>
        </w:rPr>
        <w:t xml:space="preserve"> کبیره و صغیره نیز فرق نگذاشته اند. مرحوم سید اشکال می کند که حداد تکلیف است و صبی تکلیف ندارد؛ در نتیجه حداد بر صغیره واجب نیست و دلیلی نداریم که ولی مکلف به حداد باشد.</w:t>
      </w:r>
    </w:p>
    <w:p w:rsidR="00A476BC" w:rsidRDefault="00A476BC" w:rsidP="009067F9">
      <w:pPr>
        <w:jc w:val="both"/>
        <w:rPr>
          <w:rtl/>
        </w:rPr>
      </w:pPr>
      <w:r>
        <w:rPr>
          <w:rFonts w:hint="cs"/>
          <w:rtl/>
        </w:rPr>
        <w:t>صاحب جواهر می فرماید:</w:t>
      </w:r>
      <w:r w:rsidR="00F37FAB">
        <w:rPr>
          <w:rFonts w:hint="cs"/>
          <w:rtl/>
        </w:rPr>
        <w:t xml:space="preserve"> زینت متوفی عنها زوجها، مبغوض شارع است</w:t>
      </w:r>
      <w:r w:rsidR="002F2A5F">
        <w:rPr>
          <w:rFonts w:hint="cs"/>
          <w:rtl/>
        </w:rPr>
        <w:t xml:space="preserve"> و ولی مکلف است صغیر را از زینت باز دارد.</w:t>
      </w:r>
    </w:p>
    <w:p w:rsidR="002F2A5F" w:rsidRDefault="002F2A5F" w:rsidP="009067F9">
      <w:pPr>
        <w:jc w:val="both"/>
        <w:rPr>
          <w:rtl/>
        </w:rPr>
      </w:pPr>
      <w:r>
        <w:rPr>
          <w:rFonts w:hint="cs"/>
          <w:rtl/>
        </w:rPr>
        <w:t>به دو بیان ممکن است تکلیف ولی اثبات شود:</w:t>
      </w:r>
    </w:p>
    <w:p w:rsidR="002F2A5F" w:rsidRDefault="002F2A5F" w:rsidP="002F2A5F">
      <w:pPr>
        <w:pStyle w:val="ListParagraph"/>
        <w:numPr>
          <w:ilvl w:val="0"/>
          <w:numId w:val="16"/>
        </w:numPr>
        <w:jc w:val="both"/>
        <w:rPr>
          <w:rtl/>
        </w:rPr>
      </w:pPr>
      <w:r>
        <w:rPr>
          <w:rFonts w:hint="cs"/>
          <w:rtl/>
        </w:rPr>
        <w:t>چنان که صاحب جواهر بیان کرده است،</w:t>
      </w:r>
      <w:r w:rsidR="00D42C3B">
        <w:rPr>
          <w:rFonts w:hint="cs"/>
          <w:rtl/>
        </w:rPr>
        <w:t xml:space="preserve"> در</w:t>
      </w:r>
      <w:r>
        <w:rPr>
          <w:rFonts w:hint="cs"/>
          <w:rtl/>
        </w:rPr>
        <w:t xml:space="preserve"> اموری که مبغوض شارع می باشد، ولی موظف است، صغیر را از </w:t>
      </w:r>
      <w:r w:rsidR="003373A9">
        <w:rPr>
          <w:rFonts w:hint="cs"/>
          <w:rtl/>
        </w:rPr>
        <w:t xml:space="preserve">آن امر مبغوض ( </w:t>
      </w:r>
      <w:r>
        <w:rPr>
          <w:rFonts w:hint="cs"/>
          <w:rtl/>
        </w:rPr>
        <w:t>زینت کردن</w:t>
      </w:r>
      <w:r w:rsidR="003373A9">
        <w:rPr>
          <w:rFonts w:hint="cs"/>
          <w:rtl/>
        </w:rPr>
        <w:t>)</w:t>
      </w:r>
      <w:r>
        <w:rPr>
          <w:rFonts w:hint="cs"/>
          <w:rtl/>
        </w:rPr>
        <w:t>، باز دارد.</w:t>
      </w:r>
    </w:p>
    <w:p w:rsidR="0064674F" w:rsidRDefault="0064674F" w:rsidP="0064674F">
      <w:pPr>
        <w:pStyle w:val="ListParagraph"/>
        <w:numPr>
          <w:ilvl w:val="0"/>
          <w:numId w:val="16"/>
        </w:numPr>
        <w:jc w:val="both"/>
        <w:rPr>
          <w:rtl/>
        </w:rPr>
      </w:pPr>
      <w:r>
        <w:rPr>
          <w:rFonts w:hint="cs"/>
          <w:rtl/>
        </w:rPr>
        <w:t>حداد</w:t>
      </w:r>
      <w:r w:rsidR="005375A9">
        <w:rPr>
          <w:rFonts w:hint="cs"/>
          <w:rtl/>
        </w:rPr>
        <w:t xml:space="preserve"> به عنوان حکم وضعی</w:t>
      </w:r>
      <w:r>
        <w:rPr>
          <w:rFonts w:hint="cs"/>
          <w:rtl/>
        </w:rPr>
        <w:t xml:space="preserve"> حقی برای شوهر بر عهده</w:t>
      </w:r>
      <w:r>
        <w:rPr>
          <w:rFonts w:hint="eastAsia"/>
          <w:rtl/>
        </w:rPr>
        <w:t>‌</w:t>
      </w:r>
      <w:r>
        <w:rPr>
          <w:rFonts w:hint="cs"/>
          <w:rtl/>
        </w:rPr>
        <w:t>ی زن است</w:t>
      </w:r>
      <w:r w:rsidR="005375A9">
        <w:rPr>
          <w:rFonts w:hint="cs"/>
          <w:rtl/>
        </w:rPr>
        <w:t>. این حکم وضعی در مورد صغیر نیز وجود دارد و ولی موظف است این حق شوهر را با اجتناب صغیر ادا کند.</w:t>
      </w:r>
    </w:p>
    <w:p w:rsidR="0064674F" w:rsidRDefault="005375A9" w:rsidP="009067F9">
      <w:pPr>
        <w:jc w:val="both"/>
        <w:rPr>
          <w:rtl/>
        </w:rPr>
      </w:pPr>
      <w:r>
        <w:rPr>
          <w:rFonts w:hint="cs"/>
          <w:rtl/>
        </w:rPr>
        <w:t>هیچ کدام از این دو بیان روشن نیست.</w:t>
      </w:r>
    </w:p>
    <w:p w:rsidR="000E2C9C" w:rsidRDefault="000E2C9C" w:rsidP="009067F9">
      <w:pPr>
        <w:jc w:val="both"/>
        <w:rPr>
          <w:rtl/>
        </w:rPr>
      </w:pPr>
      <w:r>
        <w:rPr>
          <w:rFonts w:hint="cs"/>
          <w:rtl/>
        </w:rPr>
        <w:t>در میان عامه نیز ا</w:t>
      </w:r>
      <w:r w:rsidR="00637872">
        <w:rPr>
          <w:rFonts w:hint="cs"/>
          <w:rtl/>
        </w:rPr>
        <w:t>ین مساله اختلافی است. در مغنی ابن قدامه</w:t>
      </w:r>
      <w:r w:rsidR="001F5A20">
        <w:rPr>
          <w:rFonts w:hint="cs"/>
          <w:rtl/>
        </w:rPr>
        <w:t xml:space="preserve"> چنین آمده است:</w:t>
      </w:r>
    </w:p>
    <w:p w:rsidR="001F5A20" w:rsidRPr="009F273C" w:rsidRDefault="009F273C" w:rsidP="009067F9">
      <w:pPr>
        <w:jc w:val="both"/>
        <w:rPr>
          <w:color w:val="000080"/>
          <w:rtl/>
        </w:rPr>
      </w:pPr>
      <w:r w:rsidRPr="009F273C">
        <w:rPr>
          <w:color w:val="000080"/>
          <w:rtl/>
        </w:rPr>
        <w:t>وَيَسْتَوِي فِي وُجُوبِهِ الْحُرَّةُ وَالْأَمَةُ، وَالْمُسْلِمَةُ وَالذِّمِّيَّةُ، وَالْكَبِيرَةُ وَالصَّغِيرَةُ. وَقَالَ أَصْحَابُ الرَّأْيِ: لَا إحْدَادَ عَلَى ذِمِّيَّةٍ وَلَا صَغِيرَةٍ؛ لِأَنَّهُمَا غَيْرُ مُكَلَّفَتَيْنِ.</w:t>
      </w:r>
      <w:r>
        <w:rPr>
          <w:rStyle w:val="FootnoteReference"/>
          <w:color w:val="000080"/>
          <w:rtl/>
        </w:rPr>
        <w:footnoteReference w:id="7"/>
      </w:r>
    </w:p>
    <w:p w:rsidR="000E2C9C" w:rsidRDefault="00990FC1" w:rsidP="00990FC1">
      <w:pPr>
        <w:jc w:val="both"/>
        <w:rPr>
          <w:rtl/>
        </w:rPr>
      </w:pPr>
      <w:r>
        <w:rPr>
          <w:rFonts w:hint="cs"/>
          <w:rtl/>
        </w:rPr>
        <w:t xml:space="preserve">با </w:t>
      </w:r>
      <w:r w:rsidR="009161D8">
        <w:rPr>
          <w:rFonts w:hint="cs"/>
          <w:rtl/>
        </w:rPr>
        <w:t>توجه به</w:t>
      </w:r>
      <w:r>
        <w:rPr>
          <w:rFonts w:hint="cs"/>
          <w:rtl/>
        </w:rPr>
        <w:t xml:space="preserve"> اختلاف موجود در بین عامه نمی توان گفت که مساله مفروغ عنه و مسلم بوده است و اگر ائمه قائل به حرمت بودند باید ردع می کردند.</w:t>
      </w:r>
    </w:p>
    <w:p w:rsidR="00025712" w:rsidRDefault="00B26DD3" w:rsidP="00025712">
      <w:pPr>
        <w:jc w:val="both"/>
        <w:rPr>
          <w:rtl/>
        </w:rPr>
      </w:pPr>
      <w:r>
        <w:rPr>
          <w:rFonts w:hint="cs"/>
          <w:rtl/>
        </w:rPr>
        <w:t>با توجه به همین اختلاف مشکل است که حکم وضعی استفاده شود؛ اصحاب الرای نیز آن را حکم تکلیفی فهمیده اند.</w:t>
      </w:r>
      <w:r w:rsidR="00025712">
        <w:rPr>
          <w:rFonts w:hint="cs"/>
          <w:rtl/>
        </w:rPr>
        <w:t xml:space="preserve"> اصل برائت اقتضا می کند، این حکم بر صغیره واجب نباشد.</w:t>
      </w:r>
    </w:p>
    <w:p w:rsidR="00BB0C0D" w:rsidRDefault="001D2BD4" w:rsidP="00025712">
      <w:pPr>
        <w:jc w:val="both"/>
        <w:rPr>
          <w:rtl/>
        </w:rPr>
      </w:pPr>
      <w:r>
        <w:rPr>
          <w:rFonts w:hint="cs"/>
          <w:rtl/>
        </w:rPr>
        <w:t xml:space="preserve">مرحوم سید می فرماید: </w:t>
      </w:r>
      <w:r w:rsidRPr="00C243AA">
        <w:rPr>
          <w:rFonts w:hint="cs"/>
          <w:color w:val="0000FF"/>
          <w:rtl/>
        </w:rPr>
        <w:t>و إن كان لا يخلو عن إشكال أيضا في مثل الرضيع</w:t>
      </w:r>
    </w:p>
    <w:p w:rsidR="001D2BD4" w:rsidRDefault="005A1878" w:rsidP="007207BA">
      <w:pPr>
        <w:jc w:val="both"/>
        <w:rPr>
          <w:rtl/>
        </w:rPr>
      </w:pPr>
      <w:r>
        <w:rPr>
          <w:rFonts w:hint="cs"/>
          <w:rtl/>
        </w:rPr>
        <w:t>ممکن است گفته شود اطلاق ادله شامل رضیع نیز می شود و گر چه شوهر رضیع با</w:t>
      </w:r>
      <w:r w:rsidR="000A5A2F">
        <w:rPr>
          <w:rFonts w:hint="cs"/>
          <w:rtl/>
        </w:rPr>
        <w:t>شد، باید احترام به او رعایت شود؛ چنان که اصل عده نیز در وفات شوهر رضیع واجب است.</w:t>
      </w:r>
    </w:p>
    <w:p w:rsidR="00A838D2" w:rsidRDefault="00A838D2" w:rsidP="00A838D2">
      <w:pPr>
        <w:pStyle w:val="Heading1"/>
        <w:rPr>
          <w:rtl/>
        </w:rPr>
      </w:pPr>
      <w:bookmarkStart w:id="6" w:name="_Toc58344985"/>
      <w:bookmarkStart w:id="7" w:name="_Toc58346527"/>
      <w:r>
        <w:rPr>
          <w:rFonts w:hint="cs"/>
          <w:rtl/>
        </w:rPr>
        <w:t>مساله</w:t>
      </w:r>
      <w:r>
        <w:rPr>
          <w:rFonts w:hint="eastAsia"/>
          <w:rtl/>
        </w:rPr>
        <w:t>‌</w:t>
      </w:r>
      <w:r>
        <w:rPr>
          <w:rFonts w:hint="cs"/>
          <w:rtl/>
        </w:rPr>
        <w:t>ی پنجم تکمله</w:t>
      </w:r>
      <w:r>
        <w:rPr>
          <w:rFonts w:hint="eastAsia"/>
          <w:rtl/>
        </w:rPr>
        <w:t>‌</w:t>
      </w:r>
      <w:r>
        <w:rPr>
          <w:rFonts w:hint="cs"/>
          <w:rtl/>
        </w:rPr>
        <w:t>ی عروه</w:t>
      </w:r>
      <w:bookmarkEnd w:id="6"/>
      <w:bookmarkEnd w:id="7"/>
    </w:p>
    <w:p w:rsidR="00A838D2" w:rsidRPr="00A838D2" w:rsidRDefault="00A838D2" w:rsidP="00A838D2">
      <w:pPr>
        <w:jc w:val="both"/>
        <w:rPr>
          <w:color w:val="0000FF"/>
          <w:rtl/>
        </w:rPr>
      </w:pPr>
      <w:r w:rsidRPr="00A838D2">
        <w:rPr>
          <w:rFonts w:hint="cs"/>
          <w:color w:val="0000FF"/>
          <w:rtl/>
        </w:rPr>
        <w:t>مسألة 5: إذا كانت الزوجة أمة فعن جماعة عدم الحداد عليها بل قيل أنّه الأشهر</w:t>
      </w:r>
      <w:r w:rsidRPr="00A838D2">
        <w:rPr>
          <w:rFonts w:hint="cs"/>
          <w:color w:val="0000FF"/>
        </w:rPr>
        <w:t>‌</w:t>
      </w:r>
      <w:r w:rsidRPr="00A838D2">
        <w:rPr>
          <w:rFonts w:hint="cs"/>
          <w:color w:val="0000FF"/>
          <w:rtl/>
        </w:rPr>
        <w:t>، و عن الشيخ في المبسوط و الحلّي في السرائر وجوبه عليها أيضا، و الأقوى الأول للأصل بعد انصراف الأدلة إلى الحرّة، و صحيح زرارة «أنّ الحرّة و الأمة كلتيهما إذا مات عنهما زوجهما سواء في العدة إلّا أنّ الحرة تحد و الأمة لا تحد» و هو مقيد للإطلاقات على فرض عدم انصرافها، و استدل للقول بالوجوب بالنبوي «لا يحل لامرأة تؤمن باللّه و اليوم الآخر أن تحد على ميت فوق ثلاث ليال إلّا على الزوج أربعة أشهر و عشرا» «و فيه» انّ المراد من الامرأة فيه هي الحرة لأنّ عدة الأمة شهران و خمسة أيام، مع إمكان دعوى انصرافها إلى الحرة كما في الإطلاقات، و العجب التمسك به مع ضعفه و عدم التمسك بإطلاق الأخبار، و إمكان دعوى الانصراف مشترك بينه و بينها.</w:t>
      </w:r>
      <w:r>
        <w:rPr>
          <w:rStyle w:val="FootnoteReference"/>
          <w:color w:val="0000FF"/>
          <w:rtl/>
        </w:rPr>
        <w:footnoteReference w:id="8"/>
      </w:r>
    </w:p>
    <w:p w:rsidR="005A0E94" w:rsidRDefault="001746F5" w:rsidP="009067F9">
      <w:pPr>
        <w:jc w:val="both"/>
        <w:rPr>
          <w:rtl/>
        </w:rPr>
      </w:pPr>
      <w:r>
        <w:rPr>
          <w:rFonts w:hint="cs"/>
          <w:rtl/>
        </w:rPr>
        <w:t>اثبات انصراف</w:t>
      </w:r>
      <w:r w:rsidR="00E14C21">
        <w:rPr>
          <w:rFonts w:hint="cs"/>
          <w:rtl/>
        </w:rPr>
        <w:t xml:space="preserve"> ادله به حره</w:t>
      </w:r>
      <w:r>
        <w:rPr>
          <w:rFonts w:hint="cs"/>
          <w:rtl/>
        </w:rPr>
        <w:t xml:space="preserve"> مشکل است؛ اما صحیح زراره وجوب حداد بر امه را نفی می کند.</w:t>
      </w:r>
    </w:p>
    <w:p w:rsidR="00A838D2" w:rsidRDefault="00BB6C7D" w:rsidP="00DF2F6C">
      <w:pPr>
        <w:jc w:val="both"/>
        <w:rPr>
          <w:rtl/>
        </w:rPr>
      </w:pPr>
      <w:r>
        <w:rPr>
          <w:rFonts w:hint="cs"/>
          <w:rtl/>
        </w:rPr>
        <w:t>نبوی</w:t>
      </w:r>
      <w:r w:rsidR="00664021">
        <w:rPr>
          <w:rFonts w:hint="cs"/>
          <w:rtl/>
        </w:rPr>
        <w:t xml:space="preserve"> مذکور</w:t>
      </w:r>
      <w:r>
        <w:rPr>
          <w:rFonts w:hint="cs"/>
          <w:rtl/>
        </w:rPr>
        <w:t xml:space="preserve"> غیر از اشکال سندی و انصراف، اشکال روشن تری دارد و آن اشکال دلالی است. از این روایت وجوب حداد استفاده نمی شود؛ زیرا می فرماید: حداد بر میت بیش از سه روز واجب نیست؛ مگر </w:t>
      </w:r>
      <w:r w:rsidR="00DF2F6C">
        <w:rPr>
          <w:rFonts w:hint="cs"/>
          <w:rtl/>
        </w:rPr>
        <w:t>به خاطر</w:t>
      </w:r>
      <w:r>
        <w:rPr>
          <w:rFonts w:hint="cs"/>
          <w:rtl/>
        </w:rPr>
        <w:t xml:space="preserve"> زوج که بیش از سه روز ( چهار ماه و ده روز) جائز است</w:t>
      </w:r>
      <w:r w:rsidR="00420E42">
        <w:rPr>
          <w:rFonts w:hint="cs"/>
          <w:rtl/>
        </w:rPr>
        <w:t>.</w:t>
      </w:r>
    </w:p>
    <w:p w:rsidR="00A838D2" w:rsidRDefault="00A838D2" w:rsidP="00A838D2">
      <w:pPr>
        <w:pStyle w:val="Heading1"/>
        <w:rPr>
          <w:rtl/>
        </w:rPr>
      </w:pPr>
      <w:bookmarkStart w:id="8" w:name="_Toc58344986"/>
      <w:bookmarkStart w:id="9" w:name="_Toc58346528"/>
      <w:r>
        <w:rPr>
          <w:rFonts w:hint="cs"/>
          <w:rtl/>
        </w:rPr>
        <w:t>مساله</w:t>
      </w:r>
      <w:r>
        <w:rPr>
          <w:rFonts w:hint="eastAsia"/>
          <w:rtl/>
        </w:rPr>
        <w:t>‌</w:t>
      </w:r>
      <w:r>
        <w:rPr>
          <w:rFonts w:hint="cs"/>
          <w:rtl/>
        </w:rPr>
        <w:t>ی ششم تکمله</w:t>
      </w:r>
      <w:r>
        <w:rPr>
          <w:rFonts w:hint="eastAsia"/>
          <w:rtl/>
        </w:rPr>
        <w:t>‌</w:t>
      </w:r>
      <w:r>
        <w:rPr>
          <w:rFonts w:hint="cs"/>
          <w:rtl/>
        </w:rPr>
        <w:t>ی عروه</w:t>
      </w:r>
      <w:bookmarkEnd w:id="8"/>
      <w:bookmarkEnd w:id="9"/>
    </w:p>
    <w:p w:rsidR="00A838D2" w:rsidRPr="00A838D2" w:rsidRDefault="00A838D2" w:rsidP="00A838D2">
      <w:pPr>
        <w:jc w:val="both"/>
        <w:rPr>
          <w:color w:val="0000FF"/>
        </w:rPr>
      </w:pPr>
      <w:r w:rsidRPr="00A838D2">
        <w:rPr>
          <w:rFonts w:hint="cs"/>
          <w:color w:val="0000FF"/>
          <w:rtl/>
        </w:rPr>
        <w:t>مسألة 6: هل الحكم شامل للمتعة أو مختص بعقد الدوام،</w:t>
      </w:r>
    </w:p>
    <w:p w:rsidR="00A838D2" w:rsidRPr="00A838D2" w:rsidRDefault="00A838D2" w:rsidP="00A838D2">
      <w:pPr>
        <w:jc w:val="both"/>
        <w:rPr>
          <w:color w:val="0000FF"/>
          <w:rtl/>
        </w:rPr>
      </w:pPr>
      <w:r w:rsidRPr="00A838D2">
        <w:rPr>
          <w:rFonts w:hint="cs"/>
          <w:color w:val="0000FF"/>
          <w:rtl/>
        </w:rPr>
        <w:t>اختار في الجواهر الأول للإطلاق، و هو مشكل، إذ يمكن دعوى الانصراف إلى الدوام خصوصا مع قلة الأجل في المتعة بمثل الساعة و الساعتين بل اليوم و اليومين، مع إمكان دعوى انّ مقتضى ما في صحيحة زرارة عن الباقر (ع) «من أنّ على المتعة ما على الأمة» عدم وجوب الحداد عليها لعدم وجوبه على الأمة كما تقدم فتأمل، و لا يبعد التفصيل بين اتخاذها زوجة له مدة معتد بها و بين غير هذه الصورة، كما إذا كانت ساعة أو ساعتين أو يوما أو يومين أو نحو ذلك، بدعوى الانصراف عن نحو ذلك، و يمكن أن يحمل على هذا التفصيل.</w:t>
      </w:r>
    </w:p>
    <w:p w:rsidR="00A838D2" w:rsidRPr="00A838D2" w:rsidRDefault="00A838D2" w:rsidP="00A838D2">
      <w:pPr>
        <w:jc w:val="both"/>
        <w:rPr>
          <w:color w:val="0000FF"/>
          <w:rtl/>
        </w:rPr>
      </w:pPr>
      <w:r w:rsidRPr="00A838D2">
        <w:rPr>
          <w:rFonts w:hint="cs"/>
          <w:color w:val="0000FF"/>
          <w:rtl/>
        </w:rPr>
        <w:t>خبر عبد الرحمن بن الحجاج عن أبى عبد اللّه (ع) «عن المرأة يتزوجها الرجل متعة ثم يتوفى عنها زوجها هل عليها العدة، فقال: تعتد أربعة أشهر و عشرا و إذا انقضت أيامها و هو حي فحيضة و نصف مثل ما يجب على الأمة، قال: قلت فتحد قال (ع): نعم إذا مكثت عنده أياما فعليها العدة و تحد، و إذا كانت عنده يوما أو يومين أو ساعة من النهار فقد وجبت العدة كملا و لا تحد».</w:t>
      </w:r>
    </w:p>
    <w:p w:rsidR="00A838D2" w:rsidRPr="00A838D2" w:rsidRDefault="00A838D2" w:rsidP="00A838D2">
      <w:pPr>
        <w:jc w:val="both"/>
        <w:rPr>
          <w:color w:val="0000FF"/>
          <w:rtl/>
        </w:rPr>
      </w:pPr>
      <w:r w:rsidRPr="00A838D2">
        <w:rPr>
          <w:rFonts w:hint="cs"/>
          <w:color w:val="0000FF"/>
          <w:rtl/>
        </w:rPr>
        <w:t>و لكنه مشكل إذ المستفاد منه التفصيل بين قلة المكث عنده و كثرته لا قلة المدة و كثرتها، و قد فصل بهذا التفصيل الصدوق في المقنع عملا بهذا الخبر لكنّه أيضا مشكل، و الأحوط الحداد مطلقا.</w:t>
      </w:r>
      <w:r>
        <w:rPr>
          <w:rStyle w:val="FootnoteReference"/>
          <w:color w:val="0000FF"/>
          <w:rtl/>
        </w:rPr>
        <w:footnoteReference w:id="9"/>
      </w:r>
    </w:p>
    <w:p w:rsidR="00A838D2" w:rsidRDefault="00AC37B3" w:rsidP="008D2E80">
      <w:pPr>
        <w:jc w:val="both"/>
        <w:rPr>
          <w:rtl/>
        </w:rPr>
      </w:pPr>
      <w:r>
        <w:rPr>
          <w:rFonts w:hint="cs"/>
          <w:rtl/>
        </w:rPr>
        <w:t>قبلا بحث کرده ایم که مشکل است از اطلاقات حکم متعه استفاده شود.</w:t>
      </w:r>
    </w:p>
    <w:p w:rsidR="00C243AA" w:rsidRDefault="004F2950" w:rsidP="00D411FD">
      <w:pPr>
        <w:jc w:val="both"/>
        <w:rPr>
          <w:rtl/>
        </w:rPr>
      </w:pPr>
      <w:r w:rsidRPr="00A838D2">
        <w:rPr>
          <w:rFonts w:hint="cs"/>
          <w:color w:val="0000FF"/>
          <w:rtl/>
        </w:rPr>
        <w:t>فتأمل</w:t>
      </w:r>
      <w:r>
        <w:rPr>
          <w:rFonts w:hint="cs"/>
          <w:rtl/>
        </w:rPr>
        <w:t xml:space="preserve"> ممکن است اشاره به این نکته باشد که طبق روایت </w:t>
      </w:r>
      <w:r w:rsidRPr="00A838D2">
        <w:rPr>
          <w:rFonts w:hint="cs"/>
          <w:color w:val="0000FF"/>
          <w:rtl/>
        </w:rPr>
        <w:t>«من أنّ على المتعة ما على الأمة»</w:t>
      </w:r>
      <w:r>
        <w:rPr>
          <w:rFonts w:hint="cs"/>
          <w:rtl/>
        </w:rPr>
        <w:t xml:space="preserve"> هر وظیفه ای که امه دارد، زن متمتع بها نیز دارد؛ اما </w:t>
      </w:r>
      <w:r w:rsidR="00D411FD">
        <w:rPr>
          <w:rFonts w:hint="cs"/>
          <w:rtl/>
        </w:rPr>
        <w:t>«</w:t>
      </w:r>
      <w:r>
        <w:rPr>
          <w:rFonts w:hint="cs"/>
          <w:rtl/>
        </w:rPr>
        <w:t xml:space="preserve">وظیفه ای که امه ندارد، </w:t>
      </w:r>
      <w:r w:rsidR="00D411FD">
        <w:rPr>
          <w:rFonts w:hint="cs"/>
          <w:rtl/>
        </w:rPr>
        <w:t>متمتع بها</w:t>
      </w:r>
      <w:r>
        <w:rPr>
          <w:rFonts w:hint="cs"/>
          <w:rtl/>
        </w:rPr>
        <w:t xml:space="preserve"> نیز ندارد</w:t>
      </w:r>
      <w:r w:rsidR="00D411FD">
        <w:rPr>
          <w:rFonts w:hint="cs"/>
          <w:rtl/>
        </w:rPr>
        <w:t>»</w:t>
      </w:r>
      <w:r>
        <w:rPr>
          <w:rFonts w:hint="cs"/>
          <w:rtl/>
        </w:rPr>
        <w:t>، از آن استفاده نمی شود.</w:t>
      </w:r>
    </w:p>
    <w:p w:rsidR="004F2950" w:rsidRDefault="004F2950" w:rsidP="00760006">
      <w:pPr>
        <w:jc w:val="both"/>
        <w:rPr>
          <w:rtl/>
        </w:rPr>
      </w:pPr>
      <w:r>
        <w:rPr>
          <w:rFonts w:hint="cs"/>
          <w:rtl/>
        </w:rPr>
        <w:t xml:space="preserve">ممکن است </w:t>
      </w:r>
      <w:r w:rsidRPr="00A838D2">
        <w:rPr>
          <w:rFonts w:hint="cs"/>
          <w:color w:val="0000FF"/>
          <w:rtl/>
        </w:rPr>
        <w:t>فتأمل</w:t>
      </w:r>
      <w:r>
        <w:rPr>
          <w:rFonts w:hint="cs"/>
          <w:rtl/>
        </w:rPr>
        <w:t xml:space="preserve"> اشاره به جواب این اشکال باشد، به این بیان که این روایت در مقام بیان وظائف متعه و در مقام تحدید است و </w:t>
      </w:r>
      <w:r w:rsidR="005C3699">
        <w:rPr>
          <w:rFonts w:hint="cs"/>
          <w:rtl/>
        </w:rPr>
        <w:t xml:space="preserve">مفهوم دارد؛ یعنی فقط آن چه بر امه واجب است، بر </w:t>
      </w:r>
      <w:r w:rsidR="00760006">
        <w:rPr>
          <w:rFonts w:hint="cs"/>
          <w:rtl/>
        </w:rPr>
        <w:t>متمتع بها</w:t>
      </w:r>
      <w:r w:rsidR="005C3699">
        <w:rPr>
          <w:rFonts w:hint="cs"/>
          <w:rtl/>
        </w:rPr>
        <w:t xml:space="preserve"> نیز واجب است.</w:t>
      </w:r>
    </w:p>
    <w:p w:rsidR="009067F9" w:rsidRPr="006162A2" w:rsidRDefault="009067F9" w:rsidP="009067F9">
      <w:pPr>
        <w:jc w:val="both"/>
        <w:rPr>
          <w:rtl/>
        </w:rPr>
      </w:pPr>
    </w:p>
    <w:sectPr w:rsidR="009067F9"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8F5" w:rsidRDefault="00C148F5" w:rsidP="008B750B">
      <w:pPr>
        <w:spacing w:line="240" w:lineRule="auto"/>
      </w:pPr>
      <w:r>
        <w:separator/>
      </w:r>
    </w:p>
  </w:endnote>
  <w:endnote w:type="continuationSeparator" w:id="0">
    <w:p w:rsidR="00C148F5" w:rsidRDefault="00C148F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D1C16" w:rsidRPr="004D1C16">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9C256E" w:rsidP="001B6799">
          <w:pPr>
            <w:pStyle w:val="Footer"/>
            <w:bidi w:val="0"/>
            <w:rPr>
              <w:color w:val="808080" w:themeColor="background1" w:themeShade="80"/>
              <w:rtl/>
            </w:rPr>
          </w:pPr>
          <w:bookmarkStart w:id="17" w:name="BokAdres"/>
          <w:bookmarkEnd w:id="17"/>
          <w:r>
            <w:rPr>
              <w:color w:val="808080" w:themeColor="background1" w:themeShade="80"/>
            </w:rPr>
            <w:t>F1js1_13990917-031_mk3_mfeb.ir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8F5" w:rsidRDefault="00C148F5" w:rsidP="008B750B">
      <w:pPr>
        <w:spacing w:line="240" w:lineRule="auto"/>
      </w:pPr>
      <w:r>
        <w:separator/>
      </w:r>
    </w:p>
  </w:footnote>
  <w:footnote w:type="continuationSeparator" w:id="0">
    <w:p w:rsidR="00C148F5" w:rsidRDefault="00C148F5" w:rsidP="008B750B">
      <w:pPr>
        <w:spacing w:line="240" w:lineRule="auto"/>
      </w:pPr>
      <w:r>
        <w:continuationSeparator/>
      </w:r>
    </w:p>
  </w:footnote>
  <w:footnote w:id="1">
    <w:p w:rsidR="007A2658" w:rsidRDefault="007A2658">
      <w:pPr>
        <w:pStyle w:val="FootnoteText"/>
      </w:pPr>
      <w:r>
        <w:rPr>
          <w:rStyle w:val="FootnoteReference"/>
        </w:rPr>
        <w:footnoteRef/>
      </w:r>
      <w:r>
        <w:rPr>
          <w:rtl/>
        </w:rPr>
        <w:t xml:space="preserve"> </w:t>
      </w:r>
      <w:r>
        <w:rPr>
          <w:rFonts w:hint="cs"/>
          <w:rtl/>
        </w:rPr>
        <w:t>نه به صورتی که در جلسه</w:t>
      </w:r>
      <w:r>
        <w:rPr>
          <w:rFonts w:hint="eastAsia"/>
          <w:rtl/>
        </w:rPr>
        <w:t>‌</w:t>
      </w:r>
      <w:r>
        <w:rPr>
          <w:rFonts w:hint="cs"/>
          <w:rtl/>
        </w:rPr>
        <w:t>ی قبل بررسی کردیم و در ابتدای این جلسه ادامه دادیم.</w:t>
      </w:r>
    </w:p>
  </w:footnote>
  <w:footnote w:id="2">
    <w:p w:rsidR="006C65AB" w:rsidRDefault="006C65AB">
      <w:pPr>
        <w:pStyle w:val="FootnoteText"/>
      </w:pPr>
      <w:r>
        <w:rPr>
          <w:rStyle w:val="FootnoteReference"/>
        </w:rPr>
        <w:footnoteRef/>
      </w:r>
      <w:r>
        <w:rPr>
          <w:rtl/>
        </w:rPr>
        <w:t xml:space="preserve"> </w:t>
      </w:r>
      <w:r w:rsidR="004430FA">
        <w:rPr>
          <w:rtl/>
        </w:rPr>
        <w:t>المغني</w:t>
      </w:r>
      <w:r w:rsidR="004430FA">
        <w:rPr>
          <w:rFonts w:hint="cs"/>
          <w:rtl/>
        </w:rPr>
        <w:t>،</w:t>
      </w:r>
      <w:r w:rsidR="004430FA">
        <w:rPr>
          <w:rtl/>
        </w:rPr>
        <w:t xml:space="preserve"> </w:t>
      </w:r>
      <w:r w:rsidRPr="006C65AB">
        <w:rPr>
          <w:rtl/>
        </w:rPr>
        <w:t xml:space="preserve">ابن </w:t>
      </w:r>
      <w:r w:rsidR="004430FA">
        <w:rPr>
          <w:rtl/>
        </w:rPr>
        <w:t>قدامة المقدسي</w:t>
      </w:r>
      <w:r w:rsidR="004430FA">
        <w:rPr>
          <w:rFonts w:hint="cs"/>
          <w:rtl/>
        </w:rPr>
        <w:t>،</w:t>
      </w:r>
      <w:r w:rsidR="004430FA">
        <w:rPr>
          <w:rtl/>
        </w:rPr>
        <w:t xml:space="preserve"> ج 8</w:t>
      </w:r>
      <w:r w:rsidR="004430FA">
        <w:rPr>
          <w:rFonts w:hint="cs"/>
          <w:rtl/>
        </w:rPr>
        <w:t>،</w:t>
      </w:r>
      <w:r w:rsidR="004430FA">
        <w:rPr>
          <w:rtl/>
        </w:rPr>
        <w:t xml:space="preserve"> ص</w:t>
      </w:r>
      <w:r w:rsidRPr="006C65AB">
        <w:rPr>
          <w:rtl/>
        </w:rPr>
        <w:t xml:space="preserve"> 158</w:t>
      </w:r>
      <w:r w:rsidR="004430FA">
        <w:rPr>
          <w:rFonts w:hint="cs"/>
          <w:rtl/>
        </w:rPr>
        <w:t xml:space="preserve"> و 159</w:t>
      </w:r>
    </w:p>
  </w:footnote>
  <w:footnote w:id="3">
    <w:p w:rsidR="00D37DF9" w:rsidRDefault="00D37DF9" w:rsidP="00D37DF9">
      <w:pPr>
        <w:pStyle w:val="FootnoteText"/>
      </w:pPr>
      <w:r>
        <w:rPr>
          <w:rStyle w:val="FootnoteReference"/>
        </w:rPr>
        <w:footnoteRef/>
      </w:r>
      <w:r>
        <w:rPr>
          <w:rtl/>
        </w:rPr>
        <w:t xml:space="preserve"> </w:t>
      </w:r>
      <w:r>
        <w:rPr>
          <w:rFonts w:hint="cs"/>
          <w:rtl/>
        </w:rPr>
        <w:t>ا</w:t>
      </w:r>
      <w:r>
        <w:rPr>
          <w:rtl/>
        </w:rPr>
        <w:t>لمغني</w:t>
      </w:r>
      <w:r>
        <w:rPr>
          <w:rFonts w:hint="cs"/>
          <w:rtl/>
        </w:rPr>
        <w:t>،</w:t>
      </w:r>
      <w:r>
        <w:rPr>
          <w:rtl/>
        </w:rPr>
        <w:t xml:space="preserve"> </w:t>
      </w:r>
      <w:r w:rsidRPr="006C65AB">
        <w:rPr>
          <w:rtl/>
        </w:rPr>
        <w:t xml:space="preserve">ابن </w:t>
      </w:r>
      <w:r>
        <w:rPr>
          <w:rtl/>
        </w:rPr>
        <w:t>قدامة المقدسي</w:t>
      </w:r>
      <w:r>
        <w:rPr>
          <w:rFonts w:hint="cs"/>
          <w:rtl/>
        </w:rPr>
        <w:t>،</w:t>
      </w:r>
      <w:r>
        <w:rPr>
          <w:rtl/>
        </w:rPr>
        <w:t xml:space="preserve"> ج 8</w:t>
      </w:r>
      <w:r>
        <w:rPr>
          <w:rFonts w:hint="cs"/>
          <w:rtl/>
        </w:rPr>
        <w:t>،</w:t>
      </w:r>
      <w:r>
        <w:rPr>
          <w:rtl/>
        </w:rPr>
        <w:t xml:space="preserve"> ص 1</w:t>
      </w:r>
      <w:r>
        <w:rPr>
          <w:rFonts w:hint="cs"/>
          <w:rtl/>
        </w:rPr>
        <w:t>68</w:t>
      </w:r>
    </w:p>
  </w:footnote>
  <w:footnote w:id="4">
    <w:p w:rsidR="005A207B" w:rsidRPr="005A207B" w:rsidRDefault="005A207B" w:rsidP="005A207B">
      <w:pPr>
        <w:pStyle w:val="FootnoteText"/>
      </w:pPr>
      <w:r w:rsidRPr="005A207B">
        <w:footnoteRef/>
      </w:r>
      <w:r w:rsidRPr="005A207B">
        <w:rPr>
          <w:rtl/>
        </w:rPr>
        <w:t xml:space="preserve"> </w:t>
      </w:r>
      <w:r w:rsidRPr="005A207B">
        <w:rPr>
          <w:rFonts w:hint="eastAsia"/>
          <w:rtl/>
        </w:rPr>
        <w:t>سوره</w:t>
      </w:r>
      <w:r w:rsidRPr="005A207B">
        <w:rPr>
          <w:rtl/>
        </w:rPr>
        <w:t xml:space="preserve"> بقره، آيه 240.</w:t>
      </w:r>
    </w:p>
  </w:footnote>
  <w:footnote w:id="5">
    <w:p w:rsidR="00E754FC" w:rsidRPr="00E754FC" w:rsidRDefault="00E754FC" w:rsidP="00E754FC">
      <w:pPr>
        <w:pStyle w:val="FootnoteText"/>
      </w:pPr>
      <w:r w:rsidRPr="00E754FC">
        <w:footnoteRef/>
      </w:r>
      <w:r w:rsidRPr="00E754FC">
        <w:rPr>
          <w:rtl/>
        </w:rPr>
        <w:t xml:space="preserve"> </w:t>
      </w:r>
      <w:hyperlink r:id="rId1" w:history="1">
        <w:r w:rsidRPr="00E754FC">
          <w:rPr>
            <w:rStyle w:val="Hyperlink"/>
            <w:rFonts w:hint="eastAsia"/>
            <w:rtl/>
          </w:rPr>
          <w:t>الکاف</w:t>
        </w:r>
        <w:r w:rsidRPr="00E754FC">
          <w:rPr>
            <w:rStyle w:val="Hyperlink"/>
            <w:rFonts w:hint="cs"/>
            <w:rtl/>
          </w:rPr>
          <w:t>ی</w:t>
        </w:r>
        <w:r w:rsidRPr="00E754FC">
          <w:rPr>
            <w:rStyle w:val="Hyperlink"/>
            <w:rFonts w:hint="eastAsia"/>
            <w:rtl/>
          </w:rPr>
          <w:t>،</w:t>
        </w:r>
        <w:r w:rsidRPr="00E754FC">
          <w:rPr>
            <w:rStyle w:val="Hyperlink"/>
            <w:rtl/>
          </w:rPr>
          <w:t xml:space="preserve"> محمد بن </w:t>
        </w:r>
        <w:r w:rsidRPr="00E754FC">
          <w:rPr>
            <w:rStyle w:val="Hyperlink"/>
            <w:rFonts w:hint="cs"/>
            <w:rtl/>
          </w:rPr>
          <w:t>ی</w:t>
        </w:r>
        <w:r w:rsidRPr="00E754FC">
          <w:rPr>
            <w:rStyle w:val="Hyperlink"/>
            <w:rFonts w:hint="eastAsia"/>
            <w:rtl/>
          </w:rPr>
          <w:t>عقوب</w:t>
        </w:r>
        <w:r w:rsidRPr="00E754FC">
          <w:rPr>
            <w:rStyle w:val="Hyperlink"/>
            <w:rtl/>
          </w:rPr>
          <w:t xml:space="preserve"> کل</w:t>
        </w:r>
        <w:r w:rsidRPr="00E754FC">
          <w:rPr>
            <w:rStyle w:val="Hyperlink"/>
            <w:rFonts w:hint="cs"/>
            <w:rtl/>
          </w:rPr>
          <w:t>ی</w:t>
        </w:r>
        <w:r w:rsidRPr="00E754FC">
          <w:rPr>
            <w:rStyle w:val="Hyperlink"/>
            <w:rFonts w:hint="eastAsia"/>
            <w:rtl/>
          </w:rPr>
          <w:t>ن</w:t>
        </w:r>
        <w:r w:rsidRPr="00E754FC">
          <w:rPr>
            <w:rStyle w:val="Hyperlink"/>
            <w:rFonts w:hint="cs"/>
            <w:rtl/>
          </w:rPr>
          <w:t>ی</w:t>
        </w:r>
        <w:r w:rsidRPr="00E754FC">
          <w:rPr>
            <w:rStyle w:val="Hyperlink"/>
            <w:rFonts w:hint="eastAsia"/>
            <w:rtl/>
          </w:rPr>
          <w:t>،</w:t>
        </w:r>
        <w:r w:rsidRPr="00E754FC">
          <w:rPr>
            <w:rStyle w:val="Hyperlink"/>
            <w:rtl/>
          </w:rPr>
          <w:t xml:space="preserve"> ج1، ص68.</w:t>
        </w:r>
      </w:hyperlink>
    </w:p>
  </w:footnote>
  <w:footnote w:id="6">
    <w:p w:rsidR="00431746" w:rsidRPr="00431746" w:rsidRDefault="00431746" w:rsidP="00431746">
      <w:pPr>
        <w:pStyle w:val="FootnoteText"/>
      </w:pPr>
      <w:r w:rsidRPr="00431746">
        <w:footnoteRef/>
      </w:r>
      <w:r w:rsidRPr="00431746">
        <w:rPr>
          <w:rtl/>
        </w:rPr>
        <w:t xml:space="preserve"> </w:t>
      </w:r>
      <w:hyperlink r:id="rId2" w:history="1">
        <w:r w:rsidRPr="00431746">
          <w:rPr>
            <w:rStyle w:val="Hyperlink"/>
            <w:rtl/>
          </w:rPr>
          <w:t>تکملة العروة الوثق</w:t>
        </w:r>
        <w:r w:rsidRPr="00431746">
          <w:rPr>
            <w:rStyle w:val="Hyperlink"/>
            <w:rFonts w:hint="cs"/>
            <w:rtl/>
          </w:rPr>
          <w:t>ی</w:t>
        </w:r>
        <w:r w:rsidRPr="00431746">
          <w:rPr>
            <w:rStyle w:val="Hyperlink"/>
            <w:rFonts w:hint="eastAsia"/>
            <w:rtl/>
          </w:rPr>
          <w:t>،</w:t>
        </w:r>
        <w:r w:rsidRPr="00431746">
          <w:rPr>
            <w:rStyle w:val="Hyperlink"/>
            <w:rtl/>
          </w:rPr>
          <w:t xml:space="preserve"> الس</w:t>
        </w:r>
        <w:r w:rsidRPr="00431746">
          <w:rPr>
            <w:rStyle w:val="Hyperlink"/>
            <w:rFonts w:hint="cs"/>
            <w:rtl/>
          </w:rPr>
          <w:t>ی</w:t>
        </w:r>
        <w:r w:rsidRPr="00431746">
          <w:rPr>
            <w:rStyle w:val="Hyperlink"/>
            <w:rFonts w:hint="eastAsia"/>
            <w:rtl/>
          </w:rPr>
          <w:t>د</w:t>
        </w:r>
        <w:r w:rsidRPr="00431746">
          <w:rPr>
            <w:rStyle w:val="Hyperlink"/>
            <w:rtl/>
          </w:rPr>
          <w:t xml:space="preserve"> محمد کاظم الطباطبائ</w:t>
        </w:r>
        <w:r w:rsidRPr="00431746">
          <w:rPr>
            <w:rStyle w:val="Hyperlink"/>
            <w:rFonts w:hint="cs"/>
            <w:rtl/>
          </w:rPr>
          <w:t>ی</w:t>
        </w:r>
        <w:r w:rsidRPr="00431746">
          <w:rPr>
            <w:rStyle w:val="Hyperlink"/>
            <w:rtl/>
          </w:rPr>
          <w:t xml:space="preserve"> ال</w:t>
        </w:r>
        <w:r w:rsidRPr="00431746">
          <w:rPr>
            <w:rStyle w:val="Hyperlink"/>
            <w:rFonts w:hint="cs"/>
            <w:rtl/>
          </w:rPr>
          <w:t>ی</w:t>
        </w:r>
        <w:r w:rsidRPr="00431746">
          <w:rPr>
            <w:rStyle w:val="Hyperlink"/>
            <w:rFonts w:hint="eastAsia"/>
            <w:rtl/>
          </w:rPr>
          <w:t>زد</w:t>
        </w:r>
        <w:r w:rsidRPr="00431746">
          <w:rPr>
            <w:rStyle w:val="Hyperlink"/>
            <w:rFonts w:hint="cs"/>
            <w:rtl/>
          </w:rPr>
          <w:t>ی</w:t>
        </w:r>
        <w:r w:rsidRPr="00431746">
          <w:rPr>
            <w:rStyle w:val="Hyperlink"/>
            <w:rFonts w:hint="eastAsia"/>
            <w:rtl/>
          </w:rPr>
          <w:t>،</w:t>
        </w:r>
        <w:r w:rsidRPr="00431746">
          <w:rPr>
            <w:rStyle w:val="Hyperlink"/>
            <w:rtl/>
          </w:rPr>
          <w:t xml:space="preserve"> ج1، ص65</w:t>
        </w:r>
        <w:r w:rsidRPr="00431746">
          <w:rPr>
            <w:rStyle w:val="Hyperlink"/>
          </w:rPr>
          <w:t>.</w:t>
        </w:r>
      </w:hyperlink>
    </w:p>
  </w:footnote>
  <w:footnote w:id="7">
    <w:p w:rsidR="009F273C" w:rsidRDefault="009F273C">
      <w:pPr>
        <w:pStyle w:val="FootnoteText"/>
      </w:pPr>
      <w:r>
        <w:rPr>
          <w:rStyle w:val="FootnoteReference"/>
        </w:rPr>
        <w:footnoteRef/>
      </w:r>
      <w:r>
        <w:rPr>
          <w:rtl/>
        </w:rPr>
        <w:t xml:space="preserve"> </w:t>
      </w:r>
      <w:r>
        <w:rPr>
          <w:rFonts w:hint="cs"/>
          <w:rtl/>
        </w:rPr>
        <w:t>ا</w:t>
      </w:r>
      <w:r>
        <w:rPr>
          <w:rtl/>
        </w:rPr>
        <w:t>لمغني</w:t>
      </w:r>
      <w:r>
        <w:rPr>
          <w:rFonts w:hint="cs"/>
          <w:rtl/>
        </w:rPr>
        <w:t>،</w:t>
      </w:r>
      <w:r>
        <w:rPr>
          <w:rtl/>
        </w:rPr>
        <w:t xml:space="preserve"> </w:t>
      </w:r>
      <w:r w:rsidRPr="006C65AB">
        <w:rPr>
          <w:rtl/>
        </w:rPr>
        <w:t xml:space="preserve">ابن </w:t>
      </w:r>
      <w:r>
        <w:rPr>
          <w:rtl/>
        </w:rPr>
        <w:t>قدامة المقدسي</w:t>
      </w:r>
      <w:r>
        <w:rPr>
          <w:rFonts w:hint="cs"/>
          <w:rtl/>
        </w:rPr>
        <w:t>،</w:t>
      </w:r>
      <w:r>
        <w:rPr>
          <w:rtl/>
        </w:rPr>
        <w:t xml:space="preserve"> ج 8</w:t>
      </w:r>
      <w:r>
        <w:rPr>
          <w:rFonts w:hint="cs"/>
          <w:rtl/>
        </w:rPr>
        <w:t>،</w:t>
      </w:r>
      <w:r>
        <w:rPr>
          <w:rtl/>
        </w:rPr>
        <w:t xml:space="preserve"> ص 1</w:t>
      </w:r>
      <w:r>
        <w:rPr>
          <w:rFonts w:hint="cs"/>
          <w:rtl/>
        </w:rPr>
        <w:t>54</w:t>
      </w:r>
    </w:p>
  </w:footnote>
  <w:footnote w:id="8">
    <w:p w:rsidR="00A838D2" w:rsidRPr="00A838D2" w:rsidRDefault="00A838D2" w:rsidP="00A838D2">
      <w:pPr>
        <w:pStyle w:val="FootnoteText"/>
      </w:pPr>
      <w:r w:rsidRPr="00A838D2">
        <w:footnoteRef/>
      </w:r>
      <w:r w:rsidRPr="00A838D2">
        <w:rPr>
          <w:rtl/>
        </w:rPr>
        <w:t xml:space="preserve"> </w:t>
      </w:r>
      <w:hyperlink r:id="rId3" w:history="1">
        <w:r w:rsidRPr="00A838D2">
          <w:rPr>
            <w:rStyle w:val="Hyperlink"/>
            <w:rtl/>
          </w:rPr>
          <w:t>تکملة العروة الوثق</w:t>
        </w:r>
        <w:r w:rsidRPr="00A838D2">
          <w:rPr>
            <w:rStyle w:val="Hyperlink"/>
            <w:rFonts w:hint="cs"/>
            <w:rtl/>
          </w:rPr>
          <w:t>ی</w:t>
        </w:r>
        <w:r w:rsidRPr="00A838D2">
          <w:rPr>
            <w:rStyle w:val="Hyperlink"/>
            <w:rFonts w:hint="eastAsia"/>
            <w:rtl/>
          </w:rPr>
          <w:t>،</w:t>
        </w:r>
        <w:r w:rsidRPr="00A838D2">
          <w:rPr>
            <w:rStyle w:val="Hyperlink"/>
            <w:rtl/>
          </w:rPr>
          <w:t xml:space="preserve"> الس</w:t>
        </w:r>
        <w:r w:rsidRPr="00A838D2">
          <w:rPr>
            <w:rStyle w:val="Hyperlink"/>
            <w:rFonts w:hint="cs"/>
            <w:rtl/>
          </w:rPr>
          <w:t>ی</w:t>
        </w:r>
        <w:r w:rsidRPr="00A838D2">
          <w:rPr>
            <w:rStyle w:val="Hyperlink"/>
            <w:rFonts w:hint="eastAsia"/>
            <w:rtl/>
          </w:rPr>
          <w:t>د</w:t>
        </w:r>
        <w:r w:rsidRPr="00A838D2">
          <w:rPr>
            <w:rStyle w:val="Hyperlink"/>
            <w:rtl/>
          </w:rPr>
          <w:t xml:space="preserve"> محمد کاظم الطباطبائ</w:t>
        </w:r>
        <w:r w:rsidRPr="00A838D2">
          <w:rPr>
            <w:rStyle w:val="Hyperlink"/>
            <w:rFonts w:hint="cs"/>
            <w:rtl/>
          </w:rPr>
          <w:t>ی</w:t>
        </w:r>
        <w:r w:rsidRPr="00A838D2">
          <w:rPr>
            <w:rStyle w:val="Hyperlink"/>
            <w:rtl/>
          </w:rPr>
          <w:t xml:space="preserve"> ال</w:t>
        </w:r>
        <w:r w:rsidRPr="00A838D2">
          <w:rPr>
            <w:rStyle w:val="Hyperlink"/>
            <w:rFonts w:hint="cs"/>
            <w:rtl/>
          </w:rPr>
          <w:t>ی</w:t>
        </w:r>
        <w:r w:rsidRPr="00A838D2">
          <w:rPr>
            <w:rStyle w:val="Hyperlink"/>
            <w:rFonts w:hint="eastAsia"/>
            <w:rtl/>
          </w:rPr>
          <w:t>زد</w:t>
        </w:r>
        <w:r w:rsidRPr="00A838D2">
          <w:rPr>
            <w:rStyle w:val="Hyperlink"/>
            <w:rFonts w:hint="cs"/>
            <w:rtl/>
          </w:rPr>
          <w:t>ی</w:t>
        </w:r>
        <w:r w:rsidRPr="00A838D2">
          <w:rPr>
            <w:rStyle w:val="Hyperlink"/>
            <w:rFonts w:hint="eastAsia"/>
            <w:rtl/>
          </w:rPr>
          <w:t>،</w:t>
        </w:r>
        <w:r w:rsidRPr="00A838D2">
          <w:rPr>
            <w:rStyle w:val="Hyperlink"/>
            <w:rtl/>
          </w:rPr>
          <w:t xml:space="preserve"> ج1، ص65</w:t>
        </w:r>
        <w:r w:rsidRPr="00A838D2">
          <w:rPr>
            <w:rStyle w:val="Hyperlink"/>
          </w:rPr>
          <w:t>.</w:t>
        </w:r>
      </w:hyperlink>
    </w:p>
  </w:footnote>
  <w:footnote w:id="9">
    <w:p w:rsidR="00A838D2" w:rsidRPr="00A838D2" w:rsidRDefault="00A838D2" w:rsidP="00A838D2">
      <w:pPr>
        <w:pStyle w:val="FootnoteText"/>
      </w:pPr>
      <w:r w:rsidRPr="00A838D2">
        <w:footnoteRef/>
      </w:r>
      <w:r w:rsidRPr="00A838D2">
        <w:rPr>
          <w:rtl/>
        </w:rPr>
        <w:t xml:space="preserve"> </w:t>
      </w:r>
      <w:hyperlink r:id="rId4" w:history="1">
        <w:r w:rsidRPr="00A838D2">
          <w:rPr>
            <w:rStyle w:val="Hyperlink"/>
            <w:rtl/>
          </w:rPr>
          <w:t>تکملة العروة الوثق</w:t>
        </w:r>
        <w:r w:rsidRPr="00A838D2">
          <w:rPr>
            <w:rStyle w:val="Hyperlink"/>
            <w:rFonts w:hint="cs"/>
            <w:rtl/>
          </w:rPr>
          <w:t>ی</w:t>
        </w:r>
        <w:r w:rsidRPr="00A838D2">
          <w:rPr>
            <w:rStyle w:val="Hyperlink"/>
            <w:rFonts w:hint="eastAsia"/>
            <w:rtl/>
          </w:rPr>
          <w:t>،</w:t>
        </w:r>
        <w:r w:rsidRPr="00A838D2">
          <w:rPr>
            <w:rStyle w:val="Hyperlink"/>
            <w:rtl/>
          </w:rPr>
          <w:t xml:space="preserve"> الس</w:t>
        </w:r>
        <w:r w:rsidRPr="00A838D2">
          <w:rPr>
            <w:rStyle w:val="Hyperlink"/>
            <w:rFonts w:hint="cs"/>
            <w:rtl/>
          </w:rPr>
          <w:t>ی</w:t>
        </w:r>
        <w:r w:rsidRPr="00A838D2">
          <w:rPr>
            <w:rStyle w:val="Hyperlink"/>
            <w:rFonts w:hint="eastAsia"/>
            <w:rtl/>
          </w:rPr>
          <w:t>د</w:t>
        </w:r>
        <w:r w:rsidRPr="00A838D2">
          <w:rPr>
            <w:rStyle w:val="Hyperlink"/>
            <w:rtl/>
          </w:rPr>
          <w:t xml:space="preserve"> محمد کاظم الطباطبائ</w:t>
        </w:r>
        <w:r w:rsidRPr="00A838D2">
          <w:rPr>
            <w:rStyle w:val="Hyperlink"/>
            <w:rFonts w:hint="cs"/>
            <w:rtl/>
          </w:rPr>
          <w:t>ی</w:t>
        </w:r>
        <w:r w:rsidRPr="00A838D2">
          <w:rPr>
            <w:rStyle w:val="Hyperlink"/>
            <w:rtl/>
          </w:rPr>
          <w:t xml:space="preserve"> ال</w:t>
        </w:r>
        <w:r w:rsidRPr="00A838D2">
          <w:rPr>
            <w:rStyle w:val="Hyperlink"/>
            <w:rFonts w:hint="cs"/>
            <w:rtl/>
          </w:rPr>
          <w:t>ی</w:t>
        </w:r>
        <w:r w:rsidRPr="00A838D2">
          <w:rPr>
            <w:rStyle w:val="Hyperlink"/>
            <w:rFonts w:hint="eastAsia"/>
            <w:rtl/>
          </w:rPr>
          <w:t>زد</w:t>
        </w:r>
        <w:r w:rsidRPr="00A838D2">
          <w:rPr>
            <w:rStyle w:val="Hyperlink"/>
            <w:rFonts w:hint="cs"/>
            <w:rtl/>
          </w:rPr>
          <w:t>ی</w:t>
        </w:r>
        <w:r w:rsidRPr="00A838D2">
          <w:rPr>
            <w:rStyle w:val="Hyperlink"/>
            <w:rFonts w:hint="eastAsia"/>
            <w:rtl/>
          </w:rPr>
          <w:t>،</w:t>
        </w:r>
        <w:r w:rsidRPr="00A838D2">
          <w:rPr>
            <w:rStyle w:val="Hyperlink"/>
            <w:rtl/>
          </w:rPr>
          <w:t xml:space="preserve"> ج1، ص65</w:t>
        </w:r>
        <w:r w:rsidRPr="00A838D2">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9C256E">
      <w:rPr>
        <w:b/>
        <w:bCs/>
        <w:sz w:val="20"/>
        <w:szCs w:val="24"/>
        <w:rtl/>
      </w:rPr>
      <w:t>031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9C256E">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9C256E">
      <w:rPr>
        <w:b/>
        <w:bCs/>
        <w:color w:val="632423" w:themeColor="accent2" w:themeShade="80"/>
        <w:sz w:val="20"/>
        <w:szCs w:val="24"/>
        <w:rtl/>
      </w:rPr>
      <w:t>س</w:t>
    </w:r>
    <w:r w:rsidR="009C256E">
      <w:rPr>
        <w:rFonts w:hint="cs"/>
        <w:b/>
        <w:bCs/>
        <w:color w:val="632423" w:themeColor="accent2" w:themeShade="80"/>
        <w:sz w:val="20"/>
        <w:szCs w:val="24"/>
        <w:rtl/>
      </w:rPr>
      <w:t>ی</w:t>
    </w:r>
    <w:r w:rsidR="009C256E">
      <w:rPr>
        <w:rFonts w:hint="eastAsia"/>
        <w:b/>
        <w:bCs/>
        <w:color w:val="632423" w:themeColor="accent2" w:themeShade="80"/>
        <w:sz w:val="20"/>
        <w:szCs w:val="24"/>
        <w:rtl/>
      </w:rPr>
      <w:t>د</w:t>
    </w:r>
    <w:r w:rsidR="009C256E">
      <w:rPr>
        <w:b/>
        <w:bCs/>
        <w:color w:val="632423" w:themeColor="accent2" w:themeShade="80"/>
        <w:sz w:val="20"/>
        <w:szCs w:val="24"/>
        <w:rtl/>
      </w:rPr>
      <w:t xml:space="preserve"> محمد جواد شب</w:t>
    </w:r>
    <w:r w:rsidR="009C256E">
      <w:rPr>
        <w:rFonts w:hint="cs"/>
        <w:b/>
        <w:bCs/>
        <w:color w:val="632423" w:themeColor="accent2" w:themeShade="80"/>
        <w:sz w:val="20"/>
        <w:szCs w:val="24"/>
        <w:rtl/>
      </w:rPr>
      <w:t>ی</w:t>
    </w:r>
    <w:r w:rsidR="009C256E">
      <w:rPr>
        <w:rFonts w:hint="eastAsia"/>
        <w:b/>
        <w:bCs/>
        <w:color w:val="632423" w:themeColor="accent2" w:themeShade="80"/>
        <w:sz w:val="20"/>
        <w:szCs w:val="24"/>
        <w:rtl/>
      </w:rPr>
      <w:t>ر</w:t>
    </w:r>
    <w:r w:rsidR="009C256E">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9C256E">
      <w:rPr>
        <w:sz w:val="24"/>
        <w:szCs w:val="24"/>
        <w:rtl/>
      </w:rPr>
      <w:t>17 /9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9C256E">
      <w:rPr>
        <w:color w:val="000000" w:themeColor="text1"/>
        <w:sz w:val="24"/>
        <w:szCs w:val="24"/>
        <w:rtl/>
      </w:rPr>
      <w:t>عده</w:t>
    </w:r>
    <w:r w:rsidR="009067F9">
      <w:rPr>
        <w:rFonts w:hint="cs"/>
        <w:color w:val="000000" w:themeColor="text1"/>
        <w:sz w:val="24"/>
        <w:szCs w:val="24"/>
        <w:rtl/>
      </w:rPr>
      <w:t>‌ی</w:t>
    </w:r>
    <w:r w:rsidR="009C256E">
      <w:rPr>
        <w:color w:val="000000" w:themeColor="text1"/>
        <w:sz w:val="24"/>
        <w:szCs w:val="24"/>
        <w:rtl/>
      </w:rPr>
      <w:t xml:space="preserve"> وفات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9C256E">
      <w:rPr>
        <w:sz w:val="24"/>
        <w:szCs w:val="24"/>
        <w:rtl/>
      </w:rPr>
      <w:t>مهد</w:t>
    </w:r>
    <w:r w:rsidR="009C256E">
      <w:rPr>
        <w:rFonts w:hint="cs"/>
        <w:sz w:val="24"/>
        <w:szCs w:val="24"/>
        <w:rtl/>
      </w:rPr>
      <w:t>ی</w:t>
    </w:r>
    <w:r w:rsidR="009C256E">
      <w:rPr>
        <w:sz w:val="24"/>
        <w:szCs w:val="24"/>
        <w:rtl/>
      </w:rPr>
      <w:t xml:space="preserve"> کاظم</w:t>
    </w:r>
    <w:r w:rsidR="009C256E">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9C256E">
      <w:rPr>
        <w:sz w:val="24"/>
        <w:szCs w:val="24"/>
        <w:rtl/>
      </w:rPr>
      <w:t>خروج از منزل و ب</w:t>
    </w:r>
    <w:r w:rsidR="009C256E">
      <w:rPr>
        <w:rFonts w:hint="cs"/>
        <w:sz w:val="24"/>
        <w:szCs w:val="24"/>
        <w:rtl/>
      </w:rPr>
      <w:t>ی</w:t>
    </w:r>
    <w:r w:rsidR="009C256E">
      <w:rPr>
        <w:rFonts w:hint="eastAsia"/>
        <w:sz w:val="24"/>
        <w:szCs w:val="24"/>
        <w:rtl/>
      </w:rPr>
      <w:t>توته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A5DB8"/>
    <w:multiLevelType w:val="hybridMultilevel"/>
    <w:tmpl w:val="41221CFC"/>
    <w:lvl w:ilvl="0" w:tplc="DD0CB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3F20"/>
    <w:rsid w:val="00006AFD"/>
    <w:rsid w:val="000072A3"/>
    <w:rsid w:val="00025712"/>
    <w:rsid w:val="00025777"/>
    <w:rsid w:val="00025B70"/>
    <w:rsid w:val="000353D7"/>
    <w:rsid w:val="00055496"/>
    <w:rsid w:val="00080A41"/>
    <w:rsid w:val="0008299B"/>
    <w:rsid w:val="000913AA"/>
    <w:rsid w:val="00094847"/>
    <w:rsid w:val="00096C63"/>
    <w:rsid w:val="000A5A2F"/>
    <w:rsid w:val="000B5DB5"/>
    <w:rsid w:val="000C3947"/>
    <w:rsid w:val="000D2A37"/>
    <w:rsid w:val="000D30E9"/>
    <w:rsid w:val="000D6818"/>
    <w:rsid w:val="000E2C9C"/>
    <w:rsid w:val="000E335E"/>
    <w:rsid w:val="000F16CF"/>
    <w:rsid w:val="000F5BAC"/>
    <w:rsid w:val="00102585"/>
    <w:rsid w:val="00114AB7"/>
    <w:rsid w:val="00116B2B"/>
    <w:rsid w:val="00124E3D"/>
    <w:rsid w:val="00127E95"/>
    <w:rsid w:val="00130659"/>
    <w:rsid w:val="001347C7"/>
    <w:rsid w:val="001356B0"/>
    <w:rsid w:val="00151937"/>
    <w:rsid w:val="001746F5"/>
    <w:rsid w:val="00181844"/>
    <w:rsid w:val="001837E9"/>
    <w:rsid w:val="00187DFA"/>
    <w:rsid w:val="00192D11"/>
    <w:rsid w:val="001A1BC1"/>
    <w:rsid w:val="001A1EA5"/>
    <w:rsid w:val="001A2574"/>
    <w:rsid w:val="001A27D7"/>
    <w:rsid w:val="001A294E"/>
    <w:rsid w:val="001A4ED8"/>
    <w:rsid w:val="001B04EF"/>
    <w:rsid w:val="001B2488"/>
    <w:rsid w:val="001B6799"/>
    <w:rsid w:val="001B6D88"/>
    <w:rsid w:val="001C1362"/>
    <w:rsid w:val="001D2BD4"/>
    <w:rsid w:val="001D2E9A"/>
    <w:rsid w:val="001D597F"/>
    <w:rsid w:val="001E3FD4"/>
    <w:rsid w:val="001F5A20"/>
    <w:rsid w:val="001F61BC"/>
    <w:rsid w:val="0020241A"/>
    <w:rsid w:val="00203821"/>
    <w:rsid w:val="00211632"/>
    <w:rsid w:val="0021630D"/>
    <w:rsid w:val="002305B7"/>
    <w:rsid w:val="0024121B"/>
    <w:rsid w:val="002478EF"/>
    <w:rsid w:val="00247D2F"/>
    <w:rsid w:val="00256560"/>
    <w:rsid w:val="00270396"/>
    <w:rsid w:val="0027605E"/>
    <w:rsid w:val="0028184F"/>
    <w:rsid w:val="00281E00"/>
    <w:rsid w:val="00294A52"/>
    <w:rsid w:val="002B575F"/>
    <w:rsid w:val="002B729B"/>
    <w:rsid w:val="002C23B5"/>
    <w:rsid w:val="002C53A2"/>
    <w:rsid w:val="002D0040"/>
    <w:rsid w:val="002D2FA8"/>
    <w:rsid w:val="002E220F"/>
    <w:rsid w:val="002F2A5F"/>
    <w:rsid w:val="002F35F4"/>
    <w:rsid w:val="00307311"/>
    <w:rsid w:val="003111F0"/>
    <w:rsid w:val="0032100F"/>
    <w:rsid w:val="0033402C"/>
    <w:rsid w:val="003373A9"/>
    <w:rsid w:val="00340521"/>
    <w:rsid w:val="00345C73"/>
    <w:rsid w:val="00354A99"/>
    <w:rsid w:val="00360311"/>
    <w:rsid w:val="00361922"/>
    <w:rsid w:val="00361DAD"/>
    <w:rsid w:val="00367120"/>
    <w:rsid w:val="0037339B"/>
    <w:rsid w:val="00386C11"/>
    <w:rsid w:val="00397466"/>
    <w:rsid w:val="003A1468"/>
    <w:rsid w:val="003A6148"/>
    <w:rsid w:val="003A703D"/>
    <w:rsid w:val="003B16F5"/>
    <w:rsid w:val="003C33F6"/>
    <w:rsid w:val="003C3D2E"/>
    <w:rsid w:val="003C43A5"/>
    <w:rsid w:val="003E1C5C"/>
    <w:rsid w:val="003E6650"/>
    <w:rsid w:val="003F5B46"/>
    <w:rsid w:val="00401363"/>
    <w:rsid w:val="00402E47"/>
    <w:rsid w:val="00417AF0"/>
    <w:rsid w:val="00420E42"/>
    <w:rsid w:val="0042497D"/>
    <w:rsid w:val="00425015"/>
    <w:rsid w:val="00430994"/>
    <w:rsid w:val="00431746"/>
    <w:rsid w:val="00441B6D"/>
    <w:rsid w:val="004430FA"/>
    <w:rsid w:val="0044366D"/>
    <w:rsid w:val="004448B4"/>
    <w:rsid w:val="00454ACA"/>
    <w:rsid w:val="004556EF"/>
    <w:rsid w:val="00462B07"/>
    <w:rsid w:val="00465BD2"/>
    <w:rsid w:val="004715C8"/>
    <w:rsid w:val="00481C31"/>
    <w:rsid w:val="00482FC1"/>
    <w:rsid w:val="00483027"/>
    <w:rsid w:val="004871AA"/>
    <w:rsid w:val="004909CB"/>
    <w:rsid w:val="004918D7"/>
    <w:rsid w:val="004926E1"/>
    <w:rsid w:val="004A0B97"/>
    <w:rsid w:val="004A2FEA"/>
    <w:rsid w:val="004B3221"/>
    <w:rsid w:val="004B5B4D"/>
    <w:rsid w:val="004D1C16"/>
    <w:rsid w:val="004D23E2"/>
    <w:rsid w:val="004D2DD7"/>
    <w:rsid w:val="004D75C5"/>
    <w:rsid w:val="004E2186"/>
    <w:rsid w:val="004E66FB"/>
    <w:rsid w:val="004F2950"/>
    <w:rsid w:val="004F470A"/>
    <w:rsid w:val="004F4C59"/>
    <w:rsid w:val="00500C8F"/>
    <w:rsid w:val="00501909"/>
    <w:rsid w:val="00507BBB"/>
    <w:rsid w:val="005128DF"/>
    <w:rsid w:val="0051592A"/>
    <w:rsid w:val="005206FE"/>
    <w:rsid w:val="005235C2"/>
    <w:rsid w:val="005257ED"/>
    <w:rsid w:val="005306F8"/>
    <w:rsid w:val="00531A61"/>
    <w:rsid w:val="005375A9"/>
    <w:rsid w:val="0054023D"/>
    <w:rsid w:val="005426BF"/>
    <w:rsid w:val="00547187"/>
    <w:rsid w:val="0055372B"/>
    <w:rsid w:val="0056213C"/>
    <w:rsid w:val="00580C24"/>
    <w:rsid w:val="005968EF"/>
    <w:rsid w:val="00596C1E"/>
    <w:rsid w:val="005A0E94"/>
    <w:rsid w:val="005A1878"/>
    <w:rsid w:val="005A207B"/>
    <w:rsid w:val="005A2E26"/>
    <w:rsid w:val="005B7BCA"/>
    <w:rsid w:val="005C0DAE"/>
    <w:rsid w:val="005C188E"/>
    <w:rsid w:val="005C3699"/>
    <w:rsid w:val="005D2349"/>
    <w:rsid w:val="005E1B60"/>
    <w:rsid w:val="005E5507"/>
    <w:rsid w:val="005E607B"/>
    <w:rsid w:val="005F0A8D"/>
    <w:rsid w:val="00601229"/>
    <w:rsid w:val="00603B67"/>
    <w:rsid w:val="006162A2"/>
    <w:rsid w:val="006240DA"/>
    <w:rsid w:val="0063256E"/>
    <w:rsid w:val="00633F04"/>
    <w:rsid w:val="00635219"/>
    <w:rsid w:val="00635EC0"/>
    <w:rsid w:val="00637872"/>
    <w:rsid w:val="00640B58"/>
    <w:rsid w:val="0064674F"/>
    <w:rsid w:val="00651B02"/>
    <w:rsid w:val="00651B19"/>
    <w:rsid w:val="00660A29"/>
    <w:rsid w:val="00664021"/>
    <w:rsid w:val="00665285"/>
    <w:rsid w:val="00686399"/>
    <w:rsid w:val="00695519"/>
    <w:rsid w:val="006A4134"/>
    <w:rsid w:val="006A5DDA"/>
    <w:rsid w:val="006A6701"/>
    <w:rsid w:val="006A716C"/>
    <w:rsid w:val="006A7FEF"/>
    <w:rsid w:val="006B21F4"/>
    <w:rsid w:val="006B3753"/>
    <w:rsid w:val="006B7AD6"/>
    <w:rsid w:val="006C50FD"/>
    <w:rsid w:val="006C65AB"/>
    <w:rsid w:val="006D1DD4"/>
    <w:rsid w:val="006D4014"/>
    <w:rsid w:val="006D44C1"/>
    <w:rsid w:val="006E5651"/>
    <w:rsid w:val="006E5B85"/>
    <w:rsid w:val="006F026A"/>
    <w:rsid w:val="0070265B"/>
    <w:rsid w:val="00704813"/>
    <w:rsid w:val="0071127C"/>
    <w:rsid w:val="007207BA"/>
    <w:rsid w:val="0072290D"/>
    <w:rsid w:val="00723D6D"/>
    <w:rsid w:val="00724537"/>
    <w:rsid w:val="00731724"/>
    <w:rsid w:val="0073474B"/>
    <w:rsid w:val="00735511"/>
    <w:rsid w:val="00737208"/>
    <w:rsid w:val="00744DE6"/>
    <w:rsid w:val="00760006"/>
    <w:rsid w:val="00762452"/>
    <w:rsid w:val="007639E0"/>
    <w:rsid w:val="00775507"/>
    <w:rsid w:val="00783473"/>
    <w:rsid w:val="0078594B"/>
    <w:rsid w:val="00795E02"/>
    <w:rsid w:val="007979D0"/>
    <w:rsid w:val="007A2658"/>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183"/>
    <w:rsid w:val="00824B22"/>
    <w:rsid w:val="00830C53"/>
    <w:rsid w:val="00837FAA"/>
    <w:rsid w:val="00841F77"/>
    <w:rsid w:val="00846ADA"/>
    <w:rsid w:val="0085276D"/>
    <w:rsid w:val="00852A1E"/>
    <w:rsid w:val="00863390"/>
    <w:rsid w:val="0086385C"/>
    <w:rsid w:val="00871916"/>
    <w:rsid w:val="008956DD"/>
    <w:rsid w:val="008A510E"/>
    <w:rsid w:val="008A522A"/>
    <w:rsid w:val="008B4464"/>
    <w:rsid w:val="008B750B"/>
    <w:rsid w:val="008C3162"/>
    <w:rsid w:val="008D1F14"/>
    <w:rsid w:val="008D2E80"/>
    <w:rsid w:val="008E3924"/>
    <w:rsid w:val="008E7B0E"/>
    <w:rsid w:val="008F13F7"/>
    <w:rsid w:val="008F5B4D"/>
    <w:rsid w:val="009067F9"/>
    <w:rsid w:val="00907425"/>
    <w:rsid w:val="009161D8"/>
    <w:rsid w:val="00923C34"/>
    <w:rsid w:val="00924152"/>
    <w:rsid w:val="0092513D"/>
    <w:rsid w:val="00927A9F"/>
    <w:rsid w:val="009335CC"/>
    <w:rsid w:val="00935A55"/>
    <w:rsid w:val="00941CEB"/>
    <w:rsid w:val="00946ACB"/>
    <w:rsid w:val="0094720F"/>
    <w:rsid w:val="00953B28"/>
    <w:rsid w:val="00954322"/>
    <w:rsid w:val="00957CAA"/>
    <w:rsid w:val="00962ABE"/>
    <w:rsid w:val="0096778A"/>
    <w:rsid w:val="00967DE5"/>
    <w:rsid w:val="00977656"/>
    <w:rsid w:val="009846A7"/>
    <w:rsid w:val="0098794D"/>
    <w:rsid w:val="00990FC1"/>
    <w:rsid w:val="0099497B"/>
    <w:rsid w:val="009A0B22"/>
    <w:rsid w:val="009A43BA"/>
    <w:rsid w:val="009B0D05"/>
    <w:rsid w:val="009B4CA6"/>
    <w:rsid w:val="009B79F8"/>
    <w:rsid w:val="009C256E"/>
    <w:rsid w:val="009C66D5"/>
    <w:rsid w:val="009D13FD"/>
    <w:rsid w:val="009D266A"/>
    <w:rsid w:val="009F273C"/>
    <w:rsid w:val="009F7E07"/>
    <w:rsid w:val="00A01522"/>
    <w:rsid w:val="00A10A11"/>
    <w:rsid w:val="00A13C6A"/>
    <w:rsid w:val="00A17B09"/>
    <w:rsid w:val="00A457C6"/>
    <w:rsid w:val="00A46AD0"/>
    <w:rsid w:val="00A47063"/>
    <w:rsid w:val="00A473A8"/>
    <w:rsid w:val="00A476BC"/>
    <w:rsid w:val="00A513F0"/>
    <w:rsid w:val="00A61AC8"/>
    <w:rsid w:val="00A6366F"/>
    <w:rsid w:val="00A65D4C"/>
    <w:rsid w:val="00A70512"/>
    <w:rsid w:val="00A838D2"/>
    <w:rsid w:val="00AA1F60"/>
    <w:rsid w:val="00AA40D7"/>
    <w:rsid w:val="00AB5F7D"/>
    <w:rsid w:val="00AC0C50"/>
    <w:rsid w:val="00AC37B3"/>
    <w:rsid w:val="00AC6FE2"/>
    <w:rsid w:val="00AF3925"/>
    <w:rsid w:val="00B02BF9"/>
    <w:rsid w:val="00B110EE"/>
    <w:rsid w:val="00B1296B"/>
    <w:rsid w:val="00B2292F"/>
    <w:rsid w:val="00B26DD3"/>
    <w:rsid w:val="00B43169"/>
    <w:rsid w:val="00B501A8"/>
    <w:rsid w:val="00B5276D"/>
    <w:rsid w:val="00B55AE4"/>
    <w:rsid w:val="00B67E5A"/>
    <w:rsid w:val="00B70B46"/>
    <w:rsid w:val="00B739B0"/>
    <w:rsid w:val="00B814A3"/>
    <w:rsid w:val="00B91D15"/>
    <w:rsid w:val="00B9587D"/>
    <w:rsid w:val="00B96F38"/>
    <w:rsid w:val="00BB0C0D"/>
    <w:rsid w:val="00BB6C7D"/>
    <w:rsid w:val="00BC716B"/>
    <w:rsid w:val="00BD0E74"/>
    <w:rsid w:val="00BD5F8C"/>
    <w:rsid w:val="00BE29DD"/>
    <w:rsid w:val="00BF2B23"/>
    <w:rsid w:val="00C066AF"/>
    <w:rsid w:val="00C10E06"/>
    <w:rsid w:val="00C145B8"/>
    <w:rsid w:val="00C148F5"/>
    <w:rsid w:val="00C2438F"/>
    <w:rsid w:val="00C243AA"/>
    <w:rsid w:val="00C27A25"/>
    <w:rsid w:val="00C31AF0"/>
    <w:rsid w:val="00C32A7E"/>
    <w:rsid w:val="00C34F28"/>
    <w:rsid w:val="00C36215"/>
    <w:rsid w:val="00C368DF"/>
    <w:rsid w:val="00C442C5"/>
    <w:rsid w:val="00C57B5C"/>
    <w:rsid w:val="00C57C7C"/>
    <w:rsid w:val="00C61049"/>
    <w:rsid w:val="00C63FFE"/>
    <w:rsid w:val="00C77203"/>
    <w:rsid w:val="00C7738A"/>
    <w:rsid w:val="00C80690"/>
    <w:rsid w:val="00C91EB6"/>
    <w:rsid w:val="00C929B5"/>
    <w:rsid w:val="00CA10B0"/>
    <w:rsid w:val="00CA2F8E"/>
    <w:rsid w:val="00CA3EE2"/>
    <w:rsid w:val="00CA6B76"/>
    <w:rsid w:val="00CA7FD5"/>
    <w:rsid w:val="00CB3287"/>
    <w:rsid w:val="00CB33E2"/>
    <w:rsid w:val="00CB4E68"/>
    <w:rsid w:val="00CC2733"/>
    <w:rsid w:val="00CC5360"/>
    <w:rsid w:val="00CD0050"/>
    <w:rsid w:val="00CD0FAA"/>
    <w:rsid w:val="00CE7481"/>
    <w:rsid w:val="00CF0A8F"/>
    <w:rsid w:val="00D048CE"/>
    <w:rsid w:val="00D10998"/>
    <w:rsid w:val="00D15CBD"/>
    <w:rsid w:val="00D221CB"/>
    <w:rsid w:val="00D23391"/>
    <w:rsid w:val="00D31805"/>
    <w:rsid w:val="00D37DF9"/>
    <w:rsid w:val="00D411FD"/>
    <w:rsid w:val="00D42C3B"/>
    <w:rsid w:val="00D552B9"/>
    <w:rsid w:val="00D735B2"/>
    <w:rsid w:val="00D74021"/>
    <w:rsid w:val="00D76D01"/>
    <w:rsid w:val="00D85069"/>
    <w:rsid w:val="00D922A9"/>
    <w:rsid w:val="00D9394A"/>
    <w:rsid w:val="00D97730"/>
    <w:rsid w:val="00DA423E"/>
    <w:rsid w:val="00DB0CBB"/>
    <w:rsid w:val="00DB67CC"/>
    <w:rsid w:val="00DB743C"/>
    <w:rsid w:val="00DC3783"/>
    <w:rsid w:val="00DD3CC3"/>
    <w:rsid w:val="00DE1070"/>
    <w:rsid w:val="00DE5A2D"/>
    <w:rsid w:val="00DF2F6C"/>
    <w:rsid w:val="00E00219"/>
    <w:rsid w:val="00E0316B"/>
    <w:rsid w:val="00E14C21"/>
    <w:rsid w:val="00E22E30"/>
    <w:rsid w:val="00E25E10"/>
    <w:rsid w:val="00E3124C"/>
    <w:rsid w:val="00E50B41"/>
    <w:rsid w:val="00E5219B"/>
    <w:rsid w:val="00E52D07"/>
    <w:rsid w:val="00E5518B"/>
    <w:rsid w:val="00E609FE"/>
    <w:rsid w:val="00E630BE"/>
    <w:rsid w:val="00E66918"/>
    <w:rsid w:val="00E754FC"/>
    <w:rsid w:val="00E75920"/>
    <w:rsid w:val="00E80D96"/>
    <w:rsid w:val="00E871FA"/>
    <w:rsid w:val="00E936A4"/>
    <w:rsid w:val="00E954BB"/>
    <w:rsid w:val="00EA1464"/>
    <w:rsid w:val="00EA45E7"/>
    <w:rsid w:val="00EA6D46"/>
    <w:rsid w:val="00EB78E3"/>
    <w:rsid w:val="00EB7BE3"/>
    <w:rsid w:val="00EC1C4B"/>
    <w:rsid w:val="00EC735A"/>
    <w:rsid w:val="00ED5F38"/>
    <w:rsid w:val="00ED6733"/>
    <w:rsid w:val="00EF07E5"/>
    <w:rsid w:val="00EF27FE"/>
    <w:rsid w:val="00F07FB6"/>
    <w:rsid w:val="00F149D0"/>
    <w:rsid w:val="00F16B53"/>
    <w:rsid w:val="00F25ECD"/>
    <w:rsid w:val="00F318BE"/>
    <w:rsid w:val="00F33297"/>
    <w:rsid w:val="00F343FB"/>
    <w:rsid w:val="00F359FE"/>
    <w:rsid w:val="00F37FAB"/>
    <w:rsid w:val="00F42159"/>
    <w:rsid w:val="00F4256E"/>
    <w:rsid w:val="00F42EE1"/>
    <w:rsid w:val="00F60F1F"/>
    <w:rsid w:val="00F64141"/>
    <w:rsid w:val="00F67508"/>
    <w:rsid w:val="00F71FC9"/>
    <w:rsid w:val="00F73B48"/>
    <w:rsid w:val="00F74F51"/>
    <w:rsid w:val="00F842AD"/>
    <w:rsid w:val="00F914EB"/>
    <w:rsid w:val="00F9170B"/>
    <w:rsid w:val="00F91B85"/>
    <w:rsid w:val="00F938E7"/>
    <w:rsid w:val="00FA3B17"/>
    <w:rsid w:val="00FA5E8D"/>
    <w:rsid w:val="00FA5F3D"/>
    <w:rsid w:val="00FB399E"/>
    <w:rsid w:val="00FB7F50"/>
    <w:rsid w:val="00FC2A85"/>
    <w:rsid w:val="00FC40AF"/>
    <w:rsid w:val="00FC73B9"/>
    <w:rsid w:val="00FD0A16"/>
    <w:rsid w:val="00FE394E"/>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78190809">
      <w:bodyDiv w:val="1"/>
      <w:marLeft w:val="0"/>
      <w:marRight w:val="0"/>
      <w:marTop w:val="0"/>
      <w:marBottom w:val="0"/>
      <w:divBdr>
        <w:top w:val="none" w:sz="0" w:space="0" w:color="auto"/>
        <w:left w:val="none" w:sz="0" w:space="0" w:color="auto"/>
        <w:bottom w:val="none" w:sz="0" w:space="0" w:color="auto"/>
        <w:right w:val="none" w:sz="0" w:space="0" w:color="auto"/>
      </w:divBdr>
    </w:div>
    <w:div w:id="102926054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18455732">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1893658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92279708">
      <w:bodyDiv w:val="1"/>
      <w:marLeft w:val="0"/>
      <w:marRight w:val="0"/>
      <w:marTop w:val="0"/>
      <w:marBottom w:val="0"/>
      <w:divBdr>
        <w:top w:val="none" w:sz="0" w:space="0" w:color="auto"/>
        <w:left w:val="none" w:sz="0" w:space="0" w:color="auto"/>
        <w:bottom w:val="none" w:sz="0" w:space="0" w:color="auto"/>
        <w:right w:val="none" w:sz="0" w:space="0" w:color="auto"/>
      </w:divBdr>
    </w:div>
    <w:div w:id="173311849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15826290">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63997984">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51606549">
      <w:bodyDiv w:val="1"/>
      <w:marLeft w:val="0"/>
      <w:marRight w:val="0"/>
      <w:marTop w:val="0"/>
      <w:marBottom w:val="0"/>
      <w:divBdr>
        <w:top w:val="none" w:sz="0" w:space="0" w:color="auto"/>
        <w:left w:val="none" w:sz="0" w:space="0" w:color="auto"/>
        <w:bottom w:val="none" w:sz="0" w:space="0" w:color="auto"/>
        <w:right w:val="none" w:sz="0" w:space="0" w:color="auto"/>
      </w:divBdr>
    </w:div>
    <w:div w:id="2103452769">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1/1/65/5" TargetMode="External"/><Relationship Id="rId2" Type="http://schemas.openxmlformats.org/officeDocument/2006/relationships/hyperlink" Target="http://lib.eshia.ir/10081/1/65/4" TargetMode="External"/><Relationship Id="rId1" Type="http://schemas.openxmlformats.org/officeDocument/2006/relationships/hyperlink" Target="http://lib.eshia.ir/11005/1/68/&#1575;&#1605;&#1740;&#1604;" TargetMode="External"/><Relationship Id="rId4" Type="http://schemas.openxmlformats.org/officeDocument/2006/relationships/hyperlink" Target="http://lib.eshia.ir/10081/1/6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6A2C0-102E-402E-88BE-E287FE600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550</TotalTime>
  <Pages>6</Pages>
  <Words>1434</Words>
  <Characters>8175</Characters>
  <Application>Microsoft Office Word</Application>
  <DocSecurity>0</DocSecurity>
  <Lines>68</Lines>
  <Paragraphs>19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9590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113</cp:revision>
  <cp:lastPrinted>2020-12-08T15:32:00Z</cp:lastPrinted>
  <dcterms:created xsi:type="dcterms:W3CDTF">2020-12-07T18:11:00Z</dcterms:created>
  <dcterms:modified xsi:type="dcterms:W3CDTF">2020-12-13T06:08:00Z</dcterms:modified>
  <cp:contentStatus>ویرایش 2.5</cp:contentStatus>
  <cp:version>2.7</cp:version>
</cp:coreProperties>
</file>