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7F2" w:rsidRDefault="000717F2" w:rsidP="000717F2">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0717F2" w:rsidRDefault="000717F2" w:rsidP="000717F2">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30</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1399 </w:t>
      </w:r>
      <w:r w:rsidRPr="00595C40">
        <w:rPr>
          <w:rFonts w:ascii="IRANSans" w:hAnsi="IRANSans" w:cs="IRANSans"/>
          <w:b/>
          <w:bCs/>
          <w:color w:val="0101FF"/>
          <w:sz w:val="24"/>
          <w:szCs w:val="24"/>
          <w:shd w:val="clear" w:color="auto" w:fill="FFFFFF"/>
          <w:rtl/>
        </w:rPr>
        <w:t>مساله</w:t>
      </w:r>
      <w:r w:rsidRPr="00595C40">
        <w:rPr>
          <w:rFonts w:ascii="IRANSans" w:hAnsi="IRANSans" w:cs="IRANSans" w:hint="cs"/>
          <w:b/>
          <w:bCs/>
          <w:color w:val="0101FF"/>
          <w:sz w:val="24"/>
          <w:szCs w:val="24"/>
          <w:shd w:val="clear" w:color="auto" w:fill="FFFFFF"/>
          <w:rtl/>
        </w:rPr>
        <w:t>‌ی</w:t>
      </w:r>
      <w:r w:rsidRPr="00595C40">
        <w:rPr>
          <w:rFonts w:ascii="IRANSans" w:hAnsi="IRANSans" w:cs="IRANSans"/>
          <w:b/>
          <w:bCs/>
          <w:color w:val="0101FF"/>
          <w:sz w:val="24"/>
          <w:szCs w:val="24"/>
          <w:shd w:val="clear" w:color="auto" w:fill="FFFFFF"/>
          <w:rtl/>
        </w:rPr>
        <w:t xml:space="preserve"> دوم ( حداد)</w:t>
      </w:r>
      <w:r w:rsidRPr="00595C40">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4C525A" w:rsidP="00105EBD">
      <w:pPr>
        <w:pBdr>
          <w:bottom w:val="double" w:sz="6" w:space="1" w:color="auto"/>
        </w:pBdr>
        <w:jc w:val="both"/>
        <w:rPr>
          <w:rtl/>
        </w:rPr>
      </w:pPr>
      <w:r>
        <w:rPr>
          <w:rFonts w:hint="cs"/>
          <w:rtl/>
        </w:rPr>
        <w:t>بحث در لزوم حداد بر زن متوفی عنها زوجها بود. روایات زیادی بر وجوب حداد دلالت می کنند.</w:t>
      </w:r>
      <w:r w:rsidR="002B14F0">
        <w:rPr>
          <w:rFonts w:hint="cs"/>
          <w:rtl/>
        </w:rPr>
        <w:t xml:space="preserve"> در مقابل این روایات از روایت عمار ساباطی استفاده می شود که حداد لازم نیست.</w:t>
      </w:r>
    </w:p>
    <w:p w:rsidR="00247D2F" w:rsidRPr="003A6148" w:rsidRDefault="00247D2F" w:rsidP="00105EBD">
      <w:pPr>
        <w:pBdr>
          <w:bottom w:val="double" w:sz="6" w:space="1" w:color="auto"/>
        </w:pBdr>
        <w:jc w:val="both"/>
      </w:pPr>
    </w:p>
    <w:p w:rsidR="008F5B4D" w:rsidRDefault="008F5B4D" w:rsidP="00105EBD">
      <w:pPr>
        <w:jc w:val="both"/>
      </w:pPr>
    </w:p>
    <w:p w:rsidR="001A1EA5" w:rsidRDefault="00704096" w:rsidP="00704096">
      <w:pPr>
        <w:pStyle w:val="Heading1"/>
      </w:pPr>
      <w:bookmarkStart w:id="1" w:name="_Toc57847857"/>
      <w:bookmarkStart w:id="2" w:name="_Toc57848593"/>
      <w:bookmarkStart w:id="3" w:name="_Toc57848612"/>
      <w:r>
        <w:rPr>
          <w:rFonts w:hint="cs"/>
          <w:rtl/>
        </w:rPr>
        <w:t>عدم پذیرش روایت عمار</w:t>
      </w:r>
      <w:bookmarkEnd w:id="1"/>
      <w:bookmarkEnd w:id="2"/>
      <w:bookmarkEnd w:id="3"/>
    </w:p>
    <w:p w:rsidR="00C51902" w:rsidRDefault="00C51902" w:rsidP="00C51902">
      <w:pPr>
        <w:pStyle w:val="Heading2"/>
        <w:rPr>
          <w:rtl/>
        </w:rPr>
      </w:pPr>
      <w:bookmarkStart w:id="4" w:name="_Toc57847858"/>
      <w:bookmarkStart w:id="5" w:name="_Toc57848594"/>
      <w:bookmarkStart w:id="6" w:name="_Toc57848613"/>
      <w:r>
        <w:rPr>
          <w:rFonts w:hint="cs"/>
          <w:rtl/>
        </w:rPr>
        <w:t>بیان اول</w:t>
      </w:r>
      <w:r w:rsidR="00445BEA">
        <w:rPr>
          <w:rFonts w:hint="cs"/>
          <w:rtl/>
        </w:rPr>
        <w:t xml:space="preserve"> ( علم اجمالی به وقوع اشتباهی در روایت)</w:t>
      </w:r>
      <w:bookmarkEnd w:id="4"/>
      <w:bookmarkEnd w:id="5"/>
      <w:bookmarkEnd w:id="6"/>
    </w:p>
    <w:p w:rsidR="002465E3" w:rsidRDefault="00704096" w:rsidP="00105EBD">
      <w:pPr>
        <w:jc w:val="both"/>
        <w:rPr>
          <w:rtl/>
        </w:rPr>
      </w:pPr>
      <w:r>
        <w:rPr>
          <w:rFonts w:hint="cs"/>
          <w:rtl/>
        </w:rPr>
        <w:t xml:space="preserve">لزوم حداد در میان عامه کالمجمع علیه است و برای رد این فتوای مجمع علیه نمی توان به یک روایتی که از شخصی مثل عمار ساباطی که فطحی نیز می باشد، اعتماد کرد؛ در نتیجه </w:t>
      </w:r>
      <w:r w:rsidR="00853ECA">
        <w:rPr>
          <w:rFonts w:hint="cs"/>
          <w:rtl/>
        </w:rPr>
        <w:t xml:space="preserve">یا </w:t>
      </w:r>
      <w:r>
        <w:rPr>
          <w:rFonts w:hint="cs"/>
          <w:rtl/>
        </w:rPr>
        <w:t>روایت صادر نشده است و عمار</w:t>
      </w:r>
      <w:r w:rsidR="00853ECA">
        <w:rPr>
          <w:rFonts w:hint="cs"/>
          <w:rtl/>
        </w:rPr>
        <w:t xml:space="preserve"> اشتباه کرده است یا به این شکل </w:t>
      </w:r>
      <w:r w:rsidR="00853ECA">
        <w:rPr>
          <w:rFonts w:hint="cs"/>
          <w:rtl/>
        </w:rPr>
        <w:lastRenderedPageBreak/>
        <w:t>صادر نشده است و در نقل روایت اشتباهی رخ داده است</w:t>
      </w:r>
      <w:r w:rsidR="002320E5">
        <w:rPr>
          <w:rFonts w:hint="cs"/>
          <w:rtl/>
        </w:rPr>
        <w:t>؛ یعنی به وقوع اشتباهی در جهتی از جهات این روایت، علم اجمالی داریم؛ بنابراین نمی توان به این روایت استناد کرد.</w:t>
      </w:r>
    </w:p>
    <w:p w:rsidR="00C51902" w:rsidRDefault="00C51902" w:rsidP="00C51902">
      <w:pPr>
        <w:pStyle w:val="Heading2"/>
        <w:rPr>
          <w:rtl/>
        </w:rPr>
      </w:pPr>
      <w:bookmarkStart w:id="7" w:name="_Toc57847859"/>
      <w:bookmarkStart w:id="8" w:name="_Toc57848595"/>
      <w:bookmarkStart w:id="9" w:name="_Toc57848614"/>
      <w:r>
        <w:rPr>
          <w:rFonts w:hint="cs"/>
          <w:rtl/>
        </w:rPr>
        <w:t>بیان دوم</w:t>
      </w:r>
      <w:r w:rsidR="00445BEA">
        <w:rPr>
          <w:rFonts w:hint="cs"/>
          <w:rtl/>
        </w:rPr>
        <w:t xml:space="preserve"> (عدم حجیت ذاتی موثقات)</w:t>
      </w:r>
      <w:bookmarkEnd w:id="7"/>
      <w:bookmarkEnd w:id="8"/>
      <w:bookmarkEnd w:id="9"/>
    </w:p>
    <w:p w:rsidR="002465E3" w:rsidRDefault="00C51902" w:rsidP="00213812">
      <w:pPr>
        <w:jc w:val="both"/>
        <w:rPr>
          <w:rtl/>
        </w:rPr>
      </w:pPr>
      <w:r>
        <w:rPr>
          <w:rFonts w:hint="cs"/>
          <w:rtl/>
        </w:rPr>
        <w:t>این روایت موثقه است و روایات موثقه ذاتا حجت نیستند و در صورتی که اصحاب به روایت موثقی عمل کنند، حجت خواهد بود و یا این که ظن را به</w:t>
      </w:r>
      <w:r w:rsidR="00A778B1">
        <w:rPr>
          <w:rFonts w:hint="cs"/>
          <w:rtl/>
        </w:rPr>
        <w:t xml:space="preserve"> واسطه</w:t>
      </w:r>
      <w:r w:rsidR="00A778B1">
        <w:rPr>
          <w:rFonts w:hint="eastAsia"/>
          <w:rtl/>
        </w:rPr>
        <w:t>‌</w:t>
      </w:r>
      <w:r w:rsidR="00A778B1">
        <w:rPr>
          <w:rFonts w:hint="cs"/>
          <w:rtl/>
        </w:rPr>
        <w:t>ی</w:t>
      </w:r>
      <w:r>
        <w:rPr>
          <w:rFonts w:hint="cs"/>
          <w:rtl/>
        </w:rPr>
        <w:t xml:space="preserve"> دلیل انسداد حجت بدانیم. آیت الله والد اخیرا به این نظر متمایل شده اند که روایات موثقه حجیت ندارد و حجیت این روایات تابع اعتبار روایات ظنی الصدور با دلیل انسداد می باشد.</w:t>
      </w:r>
      <w:r w:rsidR="001F29E1">
        <w:rPr>
          <w:rFonts w:hint="cs"/>
          <w:rtl/>
        </w:rPr>
        <w:t xml:space="preserve"> در محل بحث ما با توجه به تعارض روایت </w:t>
      </w:r>
      <w:r w:rsidR="00213812">
        <w:rPr>
          <w:rFonts w:hint="cs"/>
          <w:rtl/>
        </w:rPr>
        <w:t>عمار ساباطی</w:t>
      </w:r>
      <w:r w:rsidR="001F29E1">
        <w:rPr>
          <w:rFonts w:hint="cs"/>
          <w:rtl/>
        </w:rPr>
        <w:t xml:space="preserve"> با روایات متعدد</w:t>
      </w:r>
      <w:r w:rsidR="00213812">
        <w:rPr>
          <w:rFonts w:hint="cs"/>
          <w:rtl/>
        </w:rPr>
        <w:t>،</w:t>
      </w:r>
      <w:r w:rsidR="001F29E1">
        <w:rPr>
          <w:rFonts w:hint="cs"/>
          <w:rtl/>
        </w:rPr>
        <w:t xml:space="preserve"> </w:t>
      </w:r>
      <w:r w:rsidR="00213812">
        <w:rPr>
          <w:rFonts w:hint="cs"/>
          <w:rtl/>
        </w:rPr>
        <w:t xml:space="preserve">این روایت </w:t>
      </w:r>
      <w:r w:rsidR="001F29E1">
        <w:rPr>
          <w:rFonts w:hint="cs"/>
          <w:rtl/>
        </w:rPr>
        <w:t>قابل اعتنا نیست؛ به این معنا که ظن حاصل نمی شود تا با دلیل انسداد حجت شود.</w:t>
      </w:r>
    </w:p>
    <w:p w:rsidR="00377A9A" w:rsidRDefault="00377A9A" w:rsidP="00377A9A">
      <w:pPr>
        <w:pStyle w:val="Heading2"/>
        <w:rPr>
          <w:rtl/>
        </w:rPr>
      </w:pPr>
      <w:bookmarkStart w:id="10" w:name="_Toc57847860"/>
      <w:bookmarkStart w:id="11" w:name="_Toc57848596"/>
      <w:bookmarkStart w:id="12" w:name="_Toc57848615"/>
      <w:r>
        <w:rPr>
          <w:rFonts w:hint="cs"/>
          <w:rtl/>
        </w:rPr>
        <w:t>بیان سوم</w:t>
      </w:r>
      <w:r w:rsidR="009521A0">
        <w:rPr>
          <w:rFonts w:hint="cs"/>
          <w:rtl/>
        </w:rPr>
        <w:t xml:space="preserve"> ( حجیت مشروط موثقات)</w:t>
      </w:r>
      <w:bookmarkEnd w:id="10"/>
      <w:bookmarkEnd w:id="11"/>
      <w:bookmarkEnd w:id="12"/>
    </w:p>
    <w:p w:rsidR="002465E3" w:rsidRDefault="00377A9A" w:rsidP="00105EBD">
      <w:pPr>
        <w:jc w:val="both"/>
        <w:rPr>
          <w:rtl/>
        </w:rPr>
      </w:pPr>
      <w:r>
        <w:rPr>
          <w:rFonts w:hint="cs"/>
          <w:rtl/>
        </w:rPr>
        <w:t>شرط حجیت رو</w:t>
      </w:r>
      <w:r w:rsidR="001206FC">
        <w:rPr>
          <w:rFonts w:hint="cs"/>
          <w:rtl/>
        </w:rPr>
        <w:t>ایات موثق این است که مخالف فتاوی</w:t>
      </w:r>
      <w:r>
        <w:rPr>
          <w:rFonts w:hint="cs"/>
          <w:rtl/>
        </w:rPr>
        <w:t xml:space="preserve"> و روایات امامیه نباش</w:t>
      </w:r>
      <w:r w:rsidR="001206FC">
        <w:rPr>
          <w:rFonts w:hint="cs"/>
          <w:rtl/>
        </w:rPr>
        <w:t>ن</w:t>
      </w:r>
      <w:r>
        <w:rPr>
          <w:rFonts w:hint="cs"/>
          <w:rtl/>
        </w:rPr>
        <w:t>د.</w:t>
      </w:r>
      <w:r w:rsidR="004E23C3">
        <w:rPr>
          <w:rFonts w:hint="cs"/>
          <w:rtl/>
        </w:rPr>
        <w:t xml:space="preserve"> شیخ طوسی در عده نقل می کند که اصحاب </w:t>
      </w:r>
      <w:r w:rsidR="00CB2B21">
        <w:rPr>
          <w:rFonts w:hint="cs"/>
          <w:rtl/>
        </w:rPr>
        <w:t>با دو شرط به روایات غیر امامی عمل می کنند:</w:t>
      </w:r>
    </w:p>
    <w:p w:rsidR="00CB2B21" w:rsidRDefault="00CB2B21" w:rsidP="00CB2B21">
      <w:pPr>
        <w:pStyle w:val="ListParagraph"/>
        <w:numPr>
          <w:ilvl w:val="0"/>
          <w:numId w:val="16"/>
        </w:numPr>
        <w:jc w:val="both"/>
      </w:pPr>
      <w:r>
        <w:rPr>
          <w:rFonts w:hint="cs"/>
          <w:rtl/>
        </w:rPr>
        <w:t>مخالف فتوای امامیه نباشد.</w:t>
      </w:r>
    </w:p>
    <w:p w:rsidR="00CB2B21" w:rsidRDefault="00CB2B21" w:rsidP="00CB2B21">
      <w:pPr>
        <w:pStyle w:val="ListParagraph"/>
        <w:numPr>
          <w:ilvl w:val="0"/>
          <w:numId w:val="16"/>
        </w:numPr>
        <w:jc w:val="both"/>
        <w:rPr>
          <w:rtl/>
        </w:rPr>
      </w:pPr>
      <w:r>
        <w:rPr>
          <w:rFonts w:hint="cs"/>
          <w:rtl/>
        </w:rPr>
        <w:t>مخالف روایات امامیه نباشد.</w:t>
      </w:r>
    </w:p>
    <w:p w:rsidR="001F29E1" w:rsidRDefault="006C3899" w:rsidP="00D85BD6">
      <w:pPr>
        <w:jc w:val="both"/>
        <w:rPr>
          <w:rtl/>
        </w:rPr>
      </w:pPr>
      <w:r>
        <w:rPr>
          <w:rFonts w:hint="cs"/>
          <w:rtl/>
        </w:rPr>
        <w:t>روایت عمار ساباطی از هر دو جهت مخالف است؛ زیرا روایات متعددی بر خلاف آن وجود دارد. همچنین فقهایی که فتاوای آن ها در اختیار ماست، هیچ کدام طبق روایت عمار فتوا نمی ده</w:t>
      </w:r>
      <w:r w:rsidR="00CB435C">
        <w:rPr>
          <w:rFonts w:hint="cs"/>
          <w:rtl/>
        </w:rPr>
        <w:t>ن</w:t>
      </w:r>
      <w:r>
        <w:rPr>
          <w:rFonts w:hint="cs"/>
          <w:rtl/>
        </w:rPr>
        <w:t>د.</w:t>
      </w:r>
      <w:r w:rsidR="00D85BD6">
        <w:rPr>
          <w:rFonts w:hint="cs"/>
          <w:rtl/>
        </w:rPr>
        <w:t xml:space="preserve"> اصحاب ائمه ( که مهم فتوای آن هاست) اگر به لزوم حداد قائل نبودند، باید این مطلب در احادیث منعکس می شد</w:t>
      </w:r>
      <w:r w:rsidR="000707F9">
        <w:rPr>
          <w:rFonts w:hint="cs"/>
          <w:rtl/>
        </w:rPr>
        <w:t>؛ زیرا مساله</w:t>
      </w:r>
      <w:r w:rsidR="000707F9">
        <w:rPr>
          <w:rFonts w:hint="eastAsia"/>
          <w:rtl/>
        </w:rPr>
        <w:t>‌</w:t>
      </w:r>
      <w:r w:rsidR="000707F9">
        <w:rPr>
          <w:rFonts w:hint="cs"/>
          <w:rtl/>
        </w:rPr>
        <w:t>ی لزوم حداد از مسائل مورد ابتلا می باشد، اگر فتوای اصحاب بر خلاف این بود، باید اثری از آن در روایات دیده می شد و منحصر در روایت عمار ساباطی نمی بود.</w:t>
      </w:r>
      <w:r w:rsidR="00D43618">
        <w:rPr>
          <w:rFonts w:hint="cs"/>
          <w:rtl/>
        </w:rPr>
        <w:t xml:space="preserve"> همین مساله کاشف از این است که فقهای اصحاب ائمه به وجوب حداد فتوا می دهند.</w:t>
      </w:r>
      <w:r w:rsidR="00B61EBD">
        <w:rPr>
          <w:rFonts w:hint="cs"/>
          <w:rtl/>
        </w:rPr>
        <w:t xml:space="preserve"> مرحوم شهید صدر در بحث روش های احراز اتصال سیره</w:t>
      </w:r>
      <w:r w:rsidR="00B61EBD">
        <w:rPr>
          <w:rFonts w:hint="eastAsia"/>
          <w:rtl/>
        </w:rPr>
        <w:t>‌</w:t>
      </w:r>
      <w:r w:rsidR="00B61EBD">
        <w:rPr>
          <w:rFonts w:hint="cs"/>
          <w:rtl/>
        </w:rPr>
        <w:t>ی متشرعه به زمان معصوم شبیه همین مطلب را بیان می کند.</w:t>
      </w:r>
    </w:p>
    <w:p w:rsidR="00D85BD6" w:rsidRDefault="00D85BD6" w:rsidP="000707F9">
      <w:pPr>
        <w:pStyle w:val="Heading2"/>
        <w:rPr>
          <w:rtl/>
        </w:rPr>
      </w:pPr>
      <w:bookmarkStart w:id="13" w:name="_Toc57847861"/>
      <w:bookmarkStart w:id="14" w:name="_Toc57848597"/>
      <w:bookmarkStart w:id="15" w:name="_Toc57848616"/>
      <w:r>
        <w:rPr>
          <w:rFonts w:hint="cs"/>
          <w:rtl/>
        </w:rPr>
        <w:t>بیان چهارم</w:t>
      </w:r>
      <w:r w:rsidR="008F1DA4">
        <w:rPr>
          <w:rFonts w:hint="cs"/>
          <w:rtl/>
        </w:rPr>
        <w:t xml:space="preserve"> ( حجیت ذاتی موثقات)</w:t>
      </w:r>
      <w:bookmarkEnd w:id="13"/>
      <w:bookmarkEnd w:id="14"/>
      <w:bookmarkEnd w:id="15"/>
    </w:p>
    <w:p w:rsidR="001F29E1" w:rsidRDefault="00894A72" w:rsidP="00105EBD">
      <w:pPr>
        <w:jc w:val="both"/>
        <w:rPr>
          <w:rtl/>
        </w:rPr>
      </w:pPr>
      <w:r>
        <w:rPr>
          <w:rFonts w:hint="cs"/>
          <w:rtl/>
        </w:rPr>
        <w:t>در صورتی که روایات موثقه را ذاتا حجت بدانیم، روایت عمار ساباطی با سایر روایات معارضه می کند. در این صورت باید سراغ مرجحات رفت. طبق مبنای ما سه مرجح به این ترتیب وجود دارد:</w:t>
      </w:r>
    </w:p>
    <w:p w:rsidR="00894A72" w:rsidRDefault="00894A72" w:rsidP="00894A72">
      <w:pPr>
        <w:pStyle w:val="ListParagraph"/>
        <w:numPr>
          <w:ilvl w:val="0"/>
          <w:numId w:val="17"/>
        </w:numPr>
        <w:jc w:val="both"/>
      </w:pPr>
      <w:r>
        <w:rPr>
          <w:rFonts w:hint="cs"/>
          <w:rtl/>
        </w:rPr>
        <w:lastRenderedPageBreak/>
        <w:t>ترجیح قطعی الصدور بر ظنی الصدور</w:t>
      </w:r>
    </w:p>
    <w:p w:rsidR="00894A72" w:rsidRDefault="00894A72" w:rsidP="00894A72">
      <w:pPr>
        <w:pStyle w:val="ListParagraph"/>
        <w:numPr>
          <w:ilvl w:val="0"/>
          <w:numId w:val="17"/>
        </w:numPr>
        <w:jc w:val="both"/>
      </w:pPr>
      <w:r>
        <w:rPr>
          <w:rFonts w:hint="cs"/>
          <w:rtl/>
        </w:rPr>
        <w:t>ترجیح موافق کتاب بر مخالف کتاب</w:t>
      </w:r>
    </w:p>
    <w:p w:rsidR="00894A72" w:rsidRDefault="00894A72" w:rsidP="00894A72">
      <w:pPr>
        <w:pStyle w:val="ListParagraph"/>
        <w:numPr>
          <w:ilvl w:val="0"/>
          <w:numId w:val="17"/>
        </w:numPr>
        <w:jc w:val="both"/>
        <w:rPr>
          <w:rtl/>
        </w:rPr>
      </w:pPr>
      <w:r>
        <w:rPr>
          <w:rFonts w:hint="cs"/>
          <w:rtl/>
        </w:rPr>
        <w:t>ترجیح مخالف عامه بر موافق عامه</w:t>
      </w:r>
    </w:p>
    <w:p w:rsidR="00894A72" w:rsidRDefault="00894A72" w:rsidP="00105EBD">
      <w:pPr>
        <w:jc w:val="both"/>
        <w:rPr>
          <w:rtl/>
        </w:rPr>
      </w:pPr>
      <w:r>
        <w:rPr>
          <w:rFonts w:hint="cs"/>
          <w:rtl/>
        </w:rPr>
        <w:t>طبق مرجح اول روایت عمار ساباطی طرح می شود؛ زیرا در مقابل آن، روایات متعددی وارد شده است که قطعا صادر شده ا</w:t>
      </w:r>
      <w:r w:rsidR="00196745">
        <w:rPr>
          <w:rFonts w:hint="cs"/>
          <w:rtl/>
        </w:rPr>
        <w:t>ند و روایت عمار ساباطی مظنون الصدور است.</w:t>
      </w:r>
    </w:p>
    <w:p w:rsidR="00824C05" w:rsidRDefault="00824C05" w:rsidP="00105EBD">
      <w:pPr>
        <w:jc w:val="both"/>
        <w:rPr>
          <w:rtl/>
        </w:rPr>
      </w:pPr>
      <w:r>
        <w:rPr>
          <w:rFonts w:hint="cs"/>
          <w:rtl/>
        </w:rPr>
        <w:t>همه</w:t>
      </w:r>
      <w:r>
        <w:rPr>
          <w:rFonts w:hint="eastAsia"/>
          <w:rtl/>
        </w:rPr>
        <w:t>‌</w:t>
      </w:r>
      <w:r>
        <w:rPr>
          <w:rFonts w:hint="cs"/>
          <w:rtl/>
        </w:rPr>
        <w:t>ی این بحث ها مبتنی بر ثقه بودن عمار ساباطی است؛ در حالی که ممکن است در ثقه بودن او اشکال شود.</w:t>
      </w:r>
    </w:p>
    <w:p w:rsidR="00894A72" w:rsidRDefault="00966523" w:rsidP="00966523">
      <w:pPr>
        <w:pStyle w:val="Heading1"/>
        <w:rPr>
          <w:rtl/>
        </w:rPr>
      </w:pPr>
      <w:bookmarkStart w:id="16" w:name="_Toc57847862"/>
      <w:bookmarkStart w:id="17" w:name="_Toc57848598"/>
      <w:bookmarkStart w:id="18" w:name="_Toc57848617"/>
      <w:r>
        <w:rPr>
          <w:rFonts w:hint="cs"/>
          <w:rtl/>
        </w:rPr>
        <w:t>توثیق یا عدم توثیق عمار ساباطی</w:t>
      </w:r>
      <w:bookmarkEnd w:id="16"/>
      <w:bookmarkEnd w:id="17"/>
      <w:bookmarkEnd w:id="18"/>
    </w:p>
    <w:p w:rsidR="00894A72" w:rsidRDefault="00C72C36" w:rsidP="00105EBD">
      <w:pPr>
        <w:jc w:val="both"/>
        <w:rPr>
          <w:rtl/>
        </w:rPr>
      </w:pPr>
      <w:r>
        <w:rPr>
          <w:rFonts w:hint="cs"/>
          <w:rtl/>
        </w:rPr>
        <w:t>در تعبیرات بعضی از فقها در مورد عمار ساباطی چنین آمده است: الروایة ضعیفة بعمار</w:t>
      </w:r>
    </w:p>
    <w:p w:rsidR="00C72C36" w:rsidRDefault="00C72C36" w:rsidP="00105EBD">
      <w:pPr>
        <w:jc w:val="both"/>
        <w:rPr>
          <w:rtl/>
        </w:rPr>
      </w:pPr>
      <w:r>
        <w:rPr>
          <w:rFonts w:hint="cs"/>
          <w:rtl/>
        </w:rPr>
        <w:t>ظاهرا مراد از «ضعیف» در عبارات فقها،</w:t>
      </w:r>
      <w:r w:rsidR="00BC606E">
        <w:rPr>
          <w:rFonts w:hint="cs"/>
          <w:rtl/>
        </w:rPr>
        <w:t xml:space="preserve"> «ضعیف»</w:t>
      </w:r>
      <w:r>
        <w:rPr>
          <w:rFonts w:hint="cs"/>
          <w:rtl/>
        </w:rPr>
        <w:t xml:space="preserve"> به اصطلاح قدما می باشد؛ ضعیف یعنی واجد شرایط اعتبار تام و تمام نیست؛ یکی از شرایطی که در اعتبار تام و تمام خبر دخالت دارد، صحت مذهب می باشد و با توجه به فطحی بودن عمار ساباطی، روایاتش ضعیف تلقی می شود.</w:t>
      </w:r>
    </w:p>
    <w:p w:rsidR="00711385" w:rsidRDefault="008E22C5" w:rsidP="00800EB3">
      <w:pPr>
        <w:jc w:val="both"/>
        <w:rPr>
          <w:rtl/>
        </w:rPr>
      </w:pPr>
      <w:r>
        <w:rPr>
          <w:rFonts w:hint="cs"/>
          <w:rtl/>
        </w:rPr>
        <w:t>برخی</w:t>
      </w:r>
      <w:r w:rsidR="00711385">
        <w:rPr>
          <w:rFonts w:hint="cs"/>
          <w:rtl/>
        </w:rPr>
        <w:t xml:space="preserve"> نقل کرده اند که </w:t>
      </w:r>
      <w:r w:rsidR="00AD4DD9">
        <w:rPr>
          <w:rFonts w:hint="cs"/>
          <w:rtl/>
        </w:rPr>
        <w:t xml:space="preserve">شیخ طوسی در عده، </w:t>
      </w:r>
      <w:r w:rsidR="00711385">
        <w:rPr>
          <w:rFonts w:hint="cs"/>
          <w:rtl/>
        </w:rPr>
        <w:t>عمار ساباطی را توثیق کرده است؛ در حالی که در عده توثیقی برای عمار ساباطی وجود ندارد.</w:t>
      </w:r>
      <w:r w:rsidR="00C46FF2">
        <w:rPr>
          <w:rFonts w:hint="cs"/>
          <w:rtl/>
        </w:rPr>
        <w:t xml:space="preserve"> شیخ طوسی در دو جای عده در مورد عمل اصحاب به روایات شیعه</w:t>
      </w:r>
      <w:r w:rsidR="00C46FF2">
        <w:rPr>
          <w:rFonts w:hint="eastAsia"/>
          <w:rtl/>
        </w:rPr>
        <w:t>‌</w:t>
      </w:r>
      <w:r w:rsidR="00C46FF2">
        <w:rPr>
          <w:rFonts w:hint="cs"/>
          <w:rtl/>
        </w:rPr>
        <w:t xml:space="preserve">ی غیر امامی با دو شرط </w:t>
      </w:r>
      <w:r w:rsidR="00800EB3">
        <w:rPr>
          <w:rFonts w:hint="cs"/>
          <w:rtl/>
        </w:rPr>
        <w:t>اشاره</w:t>
      </w:r>
      <w:r w:rsidR="00623A50">
        <w:rPr>
          <w:rFonts w:hint="cs"/>
          <w:rtl/>
        </w:rPr>
        <w:t xml:space="preserve"> کرده است</w:t>
      </w:r>
      <w:r w:rsidR="00C46FF2">
        <w:rPr>
          <w:rStyle w:val="FootnoteReference"/>
          <w:rtl/>
        </w:rPr>
        <w:footnoteReference w:id="1"/>
      </w:r>
      <w:r w:rsidR="00623A50">
        <w:rPr>
          <w:rFonts w:hint="cs"/>
          <w:rtl/>
        </w:rPr>
        <w:t xml:space="preserve">و </w:t>
      </w:r>
      <w:r w:rsidR="0094576D">
        <w:rPr>
          <w:rFonts w:hint="cs"/>
          <w:rtl/>
        </w:rPr>
        <w:t>در هیچ کدام از این دو موضع به عمار اشاره نکرده است و عبدالله بن بکیر را ذکر کرده است.</w:t>
      </w:r>
    </w:p>
    <w:p w:rsidR="00966523" w:rsidRDefault="00EB5400" w:rsidP="00EB5400">
      <w:pPr>
        <w:pStyle w:val="Heading2"/>
        <w:rPr>
          <w:rtl/>
        </w:rPr>
      </w:pPr>
      <w:bookmarkStart w:id="19" w:name="_Toc57847863"/>
      <w:bookmarkStart w:id="20" w:name="_Toc57848599"/>
      <w:bookmarkStart w:id="21" w:name="_Toc57848618"/>
      <w:r>
        <w:rPr>
          <w:rFonts w:hint="cs"/>
          <w:rtl/>
        </w:rPr>
        <w:t>کلام شیخ طوسی در تهذیب</w:t>
      </w:r>
      <w:bookmarkEnd w:id="19"/>
      <w:bookmarkEnd w:id="20"/>
      <w:bookmarkEnd w:id="21"/>
    </w:p>
    <w:p w:rsidR="002465E3" w:rsidRPr="002465E3" w:rsidRDefault="002465E3" w:rsidP="002465E3">
      <w:pPr>
        <w:jc w:val="both"/>
        <w:rPr>
          <w:color w:val="000080"/>
        </w:rPr>
      </w:pPr>
      <w:r>
        <w:rPr>
          <w:rFonts w:hint="cs"/>
          <w:color w:val="000080"/>
          <w:rtl/>
        </w:rPr>
        <w:t xml:space="preserve">... </w:t>
      </w:r>
      <w:r w:rsidRPr="002465E3">
        <w:rPr>
          <w:rFonts w:hint="cs"/>
          <w:color w:val="000080"/>
          <w:rtl/>
        </w:rPr>
        <w:t>هَذِهِ الْأَخْبَارَ أَرْبَعَةٌ مِنْهَا الْأَصْلُ فِيهَا عَمَّارُ بْنُ مُوسَى السَّابَاطِيُّ وَ هُوَ وَاحِدٌ قَدْ ضَعَّفَهُ جَمَاعَةٌ مِنْ أَهْلِ النَّقْلِ وَ ذَكَرُوا أَنَّ مَا يَنْفَرِدُ بِنَقْلِهِ لَا يُعْمَلُ بِهِ لِأَنَّهُ كَانَ فَطَحِيّاً غَيْرَ أَنَّا لَا نَطْعُنُ عَلَيْهِ بِهَذِهِ الطَّرِيقَةِ لِأَنَّهُ وَ إِنْ كَانَ كَذَلِكَ فَهُوَ ثِقَةٌ فِي النَّقْلِ لَا يُطْعَنُ عَلَيْهِ فِيه‏</w:t>
      </w:r>
      <w:r>
        <w:rPr>
          <w:rStyle w:val="FootnoteReference"/>
          <w:color w:val="000080"/>
          <w:rtl/>
        </w:rPr>
        <w:footnoteReference w:id="2"/>
      </w:r>
    </w:p>
    <w:p w:rsidR="002465E3" w:rsidRDefault="00EB5400" w:rsidP="00105EBD">
      <w:pPr>
        <w:jc w:val="both"/>
        <w:rPr>
          <w:rtl/>
        </w:rPr>
      </w:pPr>
      <w:r>
        <w:rPr>
          <w:rFonts w:hint="cs"/>
          <w:rtl/>
        </w:rPr>
        <w:t>همین عبارت در استبصار</w:t>
      </w:r>
      <w:r>
        <w:rPr>
          <w:rStyle w:val="FootnoteReference"/>
          <w:rtl/>
        </w:rPr>
        <w:footnoteReference w:id="3"/>
      </w:r>
      <w:r>
        <w:rPr>
          <w:rFonts w:hint="cs"/>
          <w:rtl/>
        </w:rPr>
        <w:t xml:space="preserve"> نیز وارد شده است.</w:t>
      </w:r>
    </w:p>
    <w:p w:rsidR="002465E3" w:rsidRDefault="004C1BEF" w:rsidP="00105EBD">
      <w:pPr>
        <w:jc w:val="both"/>
        <w:rPr>
          <w:rtl/>
        </w:rPr>
      </w:pPr>
      <w:r>
        <w:rPr>
          <w:rFonts w:hint="cs"/>
          <w:rtl/>
        </w:rPr>
        <w:t>علت تضعیف عمار ساباطی را فطحی بودن او ذکر کرده اند</w:t>
      </w:r>
      <w:r w:rsidR="00F53D46">
        <w:rPr>
          <w:rFonts w:hint="cs"/>
          <w:rtl/>
        </w:rPr>
        <w:t>. شیخ طوسی او را ثقه دانسته است.</w:t>
      </w:r>
    </w:p>
    <w:p w:rsidR="002465E3" w:rsidRDefault="00CB648F" w:rsidP="00CB648F">
      <w:pPr>
        <w:pStyle w:val="Heading2"/>
        <w:rPr>
          <w:rtl/>
        </w:rPr>
      </w:pPr>
      <w:bookmarkStart w:id="22" w:name="_Toc57847864"/>
      <w:bookmarkStart w:id="23" w:name="_Toc57848600"/>
      <w:bookmarkStart w:id="24" w:name="_Toc57848619"/>
      <w:r>
        <w:rPr>
          <w:rFonts w:hint="cs"/>
          <w:rtl/>
        </w:rPr>
        <w:t>کلام ابن ادریس حلی</w:t>
      </w:r>
      <w:bookmarkEnd w:id="22"/>
      <w:bookmarkEnd w:id="23"/>
      <w:bookmarkEnd w:id="24"/>
    </w:p>
    <w:p w:rsidR="002465E3" w:rsidRPr="00D86483" w:rsidRDefault="002465E3" w:rsidP="00D86483">
      <w:pPr>
        <w:jc w:val="both"/>
        <w:rPr>
          <w:color w:val="000080"/>
          <w:rtl/>
        </w:rPr>
      </w:pPr>
      <w:r w:rsidRPr="002465E3">
        <w:rPr>
          <w:rFonts w:hint="cs"/>
          <w:color w:val="000080"/>
          <w:rtl/>
        </w:rPr>
        <w:t>رواه عمار الساباطي، و عمار هذا فطحي المذهب، كافر ملعون</w:t>
      </w:r>
      <w:r>
        <w:rPr>
          <w:rStyle w:val="FootnoteReference"/>
          <w:color w:val="000080"/>
          <w:rtl/>
        </w:rPr>
        <w:footnoteReference w:id="4"/>
      </w:r>
    </w:p>
    <w:p w:rsidR="00BB36F8" w:rsidRDefault="00D86483" w:rsidP="00D86483">
      <w:pPr>
        <w:pStyle w:val="Heading2"/>
        <w:rPr>
          <w:rtl/>
        </w:rPr>
      </w:pPr>
      <w:bookmarkStart w:id="25" w:name="_Toc57847865"/>
      <w:bookmarkStart w:id="26" w:name="_Toc57848601"/>
      <w:bookmarkStart w:id="27" w:name="_Toc57848620"/>
      <w:r>
        <w:rPr>
          <w:rFonts w:hint="cs"/>
          <w:rtl/>
        </w:rPr>
        <w:t>کلام فاضل آبی</w:t>
      </w:r>
      <w:bookmarkEnd w:id="25"/>
      <w:bookmarkEnd w:id="26"/>
      <w:bookmarkEnd w:id="27"/>
    </w:p>
    <w:p w:rsidR="00BB36F8" w:rsidRPr="00BB36F8" w:rsidRDefault="00BB36F8" w:rsidP="00BB36F8">
      <w:pPr>
        <w:jc w:val="both"/>
        <w:rPr>
          <w:color w:val="000080"/>
        </w:rPr>
      </w:pPr>
      <w:r w:rsidRPr="00BB36F8">
        <w:rPr>
          <w:rFonts w:hint="cs"/>
          <w:color w:val="000080"/>
          <w:rtl/>
        </w:rPr>
        <w:t>(فان قيل): كذا عمّار فطحيّ (قلنا): قد وثقه الشيخ، و يعمل بمفرداته</w:t>
      </w:r>
      <w:r>
        <w:rPr>
          <w:rStyle w:val="FootnoteReference"/>
          <w:color w:val="000080"/>
          <w:rtl/>
        </w:rPr>
        <w:footnoteReference w:id="5"/>
      </w:r>
    </w:p>
    <w:p w:rsidR="00BB36F8" w:rsidRDefault="00D86483" w:rsidP="00D86483">
      <w:pPr>
        <w:pStyle w:val="Heading2"/>
        <w:rPr>
          <w:rtl/>
        </w:rPr>
      </w:pPr>
      <w:bookmarkStart w:id="28" w:name="_Toc57847866"/>
      <w:bookmarkStart w:id="29" w:name="_Toc57848602"/>
      <w:bookmarkStart w:id="30" w:name="_Toc57848621"/>
      <w:r>
        <w:rPr>
          <w:rFonts w:hint="cs"/>
          <w:rtl/>
        </w:rPr>
        <w:t>کلام محقق حلی</w:t>
      </w:r>
      <w:bookmarkEnd w:id="28"/>
      <w:bookmarkEnd w:id="29"/>
      <w:bookmarkEnd w:id="30"/>
    </w:p>
    <w:p w:rsidR="00BB36F8" w:rsidRPr="00D86483" w:rsidRDefault="00BB36F8" w:rsidP="00D86483">
      <w:pPr>
        <w:jc w:val="both"/>
        <w:rPr>
          <w:color w:val="000080"/>
          <w:rtl/>
        </w:rPr>
      </w:pPr>
      <w:r w:rsidRPr="00BB36F8">
        <w:rPr>
          <w:rFonts w:hint="cs"/>
          <w:color w:val="000080"/>
          <w:rtl/>
        </w:rPr>
        <w:t>عمار فطحي، و أنا أتوقف فيما ينفرد به</w:t>
      </w:r>
      <w:r>
        <w:rPr>
          <w:rStyle w:val="FootnoteReference"/>
          <w:color w:val="000080"/>
          <w:rtl/>
        </w:rPr>
        <w:footnoteReference w:id="6"/>
      </w:r>
    </w:p>
    <w:p w:rsidR="00EE655C" w:rsidRPr="00172D66" w:rsidRDefault="00EE655C" w:rsidP="00EE655C">
      <w:pPr>
        <w:jc w:val="both"/>
        <w:rPr>
          <w:color w:val="000080"/>
        </w:rPr>
      </w:pPr>
      <w:r w:rsidRPr="00172D66">
        <w:rPr>
          <w:rFonts w:hint="cs"/>
          <w:color w:val="000080"/>
          <w:rtl/>
        </w:rPr>
        <w:t>و عمار فطحي، فلا عمل على ما ينفرد به، لكن الشيخ لا يطرح رواياته، و يقول: هو ثقة.</w:t>
      </w:r>
      <w:r w:rsidR="00172D66">
        <w:rPr>
          <w:rStyle w:val="FootnoteReference"/>
          <w:color w:val="000080"/>
          <w:rtl/>
        </w:rPr>
        <w:footnoteReference w:id="7"/>
      </w:r>
    </w:p>
    <w:p w:rsidR="00A76B45" w:rsidRPr="00A76B45" w:rsidRDefault="00A76B45" w:rsidP="00A76B45">
      <w:pPr>
        <w:jc w:val="both"/>
        <w:rPr>
          <w:color w:val="000080"/>
        </w:rPr>
      </w:pPr>
      <w:r w:rsidRPr="00A76B45">
        <w:rPr>
          <w:rFonts w:hint="cs"/>
          <w:color w:val="000080"/>
          <w:rtl/>
        </w:rPr>
        <w:t>عمار هذا و ان كان فطحيا، و سماعة و ان كان واقفيا، لا يوجب رد روايتهما هذه، اما أولا فلشهادة أهل الحديث لهما بالثقة، و اما ثانيا فلعمل الأصحاب بالحديث و لسلامتهما من المعارض.</w:t>
      </w:r>
      <w:r>
        <w:rPr>
          <w:rStyle w:val="FootnoteReference"/>
          <w:color w:val="000080"/>
          <w:rtl/>
        </w:rPr>
        <w:footnoteReference w:id="8"/>
      </w:r>
    </w:p>
    <w:p w:rsidR="00A76B45" w:rsidRDefault="0070185A" w:rsidP="0070185A">
      <w:pPr>
        <w:pStyle w:val="Heading2"/>
        <w:rPr>
          <w:rtl/>
        </w:rPr>
      </w:pPr>
      <w:bookmarkStart w:id="31" w:name="_Toc57847868"/>
      <w:bookmarkStart w:id="32" w:name="_Toc57848603"/>
      <w:bookmarkStart w:id="33" w:name="_Toc57848622"/>
      <w:r>
        <w:rPr>
          <w:rFonts w:hint="cs"/>
          <w:rtl/>
        </w:rPr>
        <w:t>توثیق عمار ساباطی در فهرست</w:t>
      </w:r>
      <w:bookmarkEnd w:id="31"/>
      <w:bookmarkEnd w:id="32"/>
      <w:bookmarkEnd w:id="33"/>
    </w:p>
    <w:p w:rsidR="007125C4" w:rsidRPr="007125C4" w:rsidRDefault="007125C4" w:rsidP="007125C4">
      <w:pPr>
        <w:jc w:val="both"/>
        <w:rPr>
          <w:color w:val="000080"/>
        </w:rPr>
      </w:pPr>
      <w:r w:rsidRPr="007125C4">
        <w:rPr>
          <w:rFonts w:hint="cs"/>
          <w:color w:val="000080"/>
          <w:rtl/>
        </w:rPr>
        <w:t>[527] عمّار [بن موسى‏]</w:t>
      </w:r>
    </w:p>
    <w:p w:rsidR="007125C4" w:rsidRPr="007125C4" w:rsidRDefault="007125C4" w:rsidP="007125C4">
      <w:pPr>
        <w:jc w:val="both"/>
        <w:rPr>
          <w:color w:val="000080"/>
          <w:rtl/>
        </w:rPr>
      </w:pPr>
      <w:r w:rsidRPr="007125C4">
        <w:rPr>
          <w:rFonts w:hint="cs"/>
          <w:color w:val="000080"/>
          <w:rtl/>
        </w:rPr>
        <w:t>عمّار بن موسى الساباطي، و كان فطحيا.</w:t>
      </w:r>
    </w:p>
    <w:p w:rsidR="007125C4" w:rsidRPr="007125C4" w:rsidRDefault="007125C4" w:rsidP="007125C4">
      <w:pPr>
        <w:jc w:val="both"/>
        <w:rPr>
          <w:color w:val="000080"/>
          <w:rtl/>
        </w:rPr>
      </w:pPr>
      <w:r w:rsidRPr="007125C4">
        <w:rPr>
          <w:rFonts w:hint="cs"/>
          <w:color w:val="000080"/>
          <w:rtl/>
        </w:rPr>
        <w:t>له كتاب كبير، جيّد معتمد.</w:t>
      </w:r>
      <w:r>
        <w:rPr>
          <w:rStyle w:val="FootnoteReference"/>
          <w:color w:val="000080"/>
          <w:rtl/>
        </w:rPr>
        <w:footnoteReference w:id="9"/>
      </w:r>
    </w:p>
    <w:p w:rsidR="00BB36F8" w:rsidRDefault="0070185A" w:rsidP="00105EBD">
      <w:pPr>
        <w:jc w:val="both"/>
        <w:rPr>
          <w:rtl/>
        </w:rPr>
      </w:pPr>
      <w:r>
        <w:rPr>
          <w:rFonts w:hint="cs"/>
          <w:rtl/>
        </w:rPr>
        <w:t>کسی که کتاب کبیر معتمدی دارد، ثقه است.</w:t>
      </w:r>
    </w:p>
    <w:p w:rsidR="00167EC5" w:rsidRDefault="00167EC5" w:rsidP="00167EC5">
      <w:pPr>
        <w:pStyle w:val="Heading2"/>
        <w:rPr>
          <w:rtl/>
        </w:rPr>
      </w:pPr>
      <w:bookmarkStart w:id="34" w:name="_Toc57847869"/>
      <w:bookmarkStart w:id="35" w:name="_Toc57848604"/>
      <w:bookmarkStart w:id="36" w:name="_Toc57848623"/>
      <w:r>
        <w:rPr>
          <w:rFonts w:hint="cs"/>
          <w:rtl/>
        </w:rPr>
        <w:t>توثیق عمار ساباطی در رجال نجاشی</w:t>
      </w:r>
      <w:bookmarkEnd w:id="34"/>
      <w:bookmarkEnd w:id="35"/>
      <w:bookmarkEnd w:id="36"/>
    </w:p>
    <w:p w:rsidR="000530B7" w:rsidRPr="000530B7" w:rsidRDefault="000530B7" w:rsidP="000530B7">
      <w:pPr>
        <w:jc w:val="both"/>
        <w:rPr>
          <w:color w:val="000080"/>
        </w:rPr>
      </w:pPr>
      <w:r w:rsidRPr="000530B7">
        <w:rPr>
          <w:rFonts w:hint="cs"/>
          <w:color w:val="000080"/>
          <w:rtl/>
        </w:rPr>
        <w:t>779 عمار بن موسى الساباطي‏</w:t>
      </w:r>
    </w:p>
    <w:p w:rsidR="000530B7" w:rsidRPr="000530B7" w:rsidRDefault="000530B7" w:rsidP="000530B7">
      <w:pPr>
        <w:jc w:val="both"/>
        <w:rPr>
          <w:color w:val="000080"/>
          <w:rtl/>
        </w:rPr>
      </w:pPr>
      <w:r w:rsidRPr="000530B7">
        <w:rPr>
          <w:rFonts w:hint="cs"/>
          <w:color w:val="000080"/>
          <w:rtl/>
        </w:rPr>
        <w:t>أبو الفضل مولى، و أخواه قيس و صباح، رووا عن أبي عبد الله و أبي الحسن عليهما السلام، و كانوا ثقات في الرواية</w:t>
      </w:r>
      <w:r>
        <w:rPr>
          <w:rStyle w:val="FootnoteReference"/>
          <w:color w:val="000080"/>
          <w:rtl/>
        </w:rPr>
        <w:footnoteReference w:id="10"/>
      </w:r>
    </w:p>
    <w:p w:rsidR="00BB36F8" w:rsidRDefault="00167EC5" w:rsidP="00105EBD">
      <w:pPr>
        <w:jc w:val="both"/>
        <w:rPr>
          <w:rtl/>
        </w:rPr>
      </w:pPr>
      <w:r>
        <w:rPr>
          <w:rFonts w:hint="cs"/>
          <w:rtl/>
        </w:rPr>
        <w:t>نجاشی نیز مانند شیخ طوسی، عمار ساباطی را توثیق کرده است.</w:t>
      </w:r>
    </w:p>
    <w:p w:rsidR="00F60C63" w:rsidRDefault="00F60C63" w:rsidP="00105EBD">
      <w:pPr>
        <w:jc w:val="both"/>
        <w:rPr>
          <w:rtl/>
        </w:rPr>
      </w:pPr>
      <w:r>
        <w:rPr>
          <w:rFonts w:hint="cs"/>
          <w:rtl/>
        </w:rPr>
        <w:t xml:space="preserve">اولین بار مجلسی اول </w:t>
      </w:r>
      <w:r w:rsidR="005B7A3A">
        <w:rPr>
          <w:rFonts w:hint="cs"/>
          <w:rtl/>
        </w:rPr>
        <w:t>به این شکل مطرح کرده است که در روایات عمار ساباطی معمولا مشکلاتی وجود دارد.</w:t>
      </w:r>
    </w:p>
    <w:p w:rsidR="005B7A3A" w:rsidRDefault="005B7A3A" w:rsidP="00105EBD">
      <w:pPr>
        <w:jc w:val="both"/>
        <w:rPr>
          <w:rtl/>
        </w:rPr>
      </w:pPr>
      <w:r>
        <w:rPr>
          <w:rFonts w:hint="cs"/>
          <w:rtl/>
        </w:rPr>
        <w:t>البته فی الجمله که روایتی از عمار ساباطی اضطراب دارد، در کلمات فقهای قبل از مجلسی نیز بوده است. مثلا مرحوم محقق می فرماید:</w:t>
      </w:r>
    </w:p>
    <w:p w:rsidR="000530B7" w:rsidRPr="000530B7" w:rsidRDefault="000530B7" w:rsidP="000530B7">
      <w:pPr>
        <w:jc w:val="both"/>
        <w:rPr>
          <w:color w:val="000080"/>
        </w:rPr>
      </w:pPr>
      <w:r w:rsidRPr="000530B7">
        <w:rPr>
          <w:rFonts w:hint="cs"/>
          <w:color w:val="000080"/>
          <w:rtl/>
        </w:rPr>
        <w:t>و في رواية عمار الساباطي، عن أبي عبد اللّه عليه السّلام «و يجعل طول الخرقة ثلاثة أذرع و نصف و عرضها شبر و نصف» و هذه الرواية ضعيفة السند، و في متنها اضطراب</w:t>
      </w:r>
      <w:r>
        <w:rPr>
          <w:rStyle w:val="FootnoteReference"/>
          <w:color w:val="000080"/>
          <w:rtl/>
        </w:rPr>
        <w:footnoteReference w:id="11"/>
      </w:r>
    </w:p>
    <w:p w:rsidR="00BB36F8" w:rsidRDefault="003C12C5" w:rsidP="00105EBD">
      <w:pPr>
        <w:jc w:val="both"/>
        <w:rPr>
          <w:rtl/>
        </w:rPr>
      </w:pPr>
      <w:r>
        <w:rPr>
          <w:rFonts w:hint="cs"/>
          <w:rtl/>
        </w:rPr>
        <w:t>اما اشکال به اکثر روایات عمار ساباطی نخستین بار در کلمات مجلسی اول</w:t>
      </w:r>
      <w:r>
        <w:rPr>
          <w:rStyle w:val="FootnoteReference"/>
          <w:rtl/>
        </w:rPr>
        <w:footnoteReference w:id="12"/>
      </w:r>
      <w:r>
        <w:rPr>
          <w:rFonts w:hint="cs"/>
          <w:rtl/>
        </w:rPr>
        <w:t xml:space="preserve"> مطرح شده است:</w:t>
      </w:r>
    </w:p>
    <w:p w:rsidR="000530B7" w:rsidRDefault="00C25F00" w:rsidP="00C25F00">
      <w:pPr>
        <w:pStyle w:val="Heading2"/>
        <w:rPr>
          <w:rtl/>
        </w:rPr>
      </w:pPr>
      <w:bookmarkStart w:id="37" w:name="_Toc57847870"/>
      <w:bookmarkStart w:id="38" w:name="_Toc57848605"/>
      <w:bookmarkStart w:id="39" w:name="_Toc57848624"/>
      <w:r>
        <w:rPr>
          <w:rFonts w:hint="cs"/>
          <w:rtl/>
        </w:rPr>
        <w:t>کلام مجلسی اول</w:t>
      </w:r>
      <w:bookmarkEnd w:id="37"/>
      <w:bookmarkEnd w:id="38"/>
      <w:bookmarkEnd w:id="39"/>
    </w:p>
    <w:p w:rsidR="00BB36F8" w:rsidRPr="00C25F00" w:rsidRDefault="00984847" w:rsidP="00C25F00">
      <w:pPr>
        <w:jc w:val="both"/>
        <w:rPr>
          <w:color w:val="000080"/>
          <w:rtl/>
        </w:rPr>
      </w:pPr>
      <w:r w:rsidRPr="00984847">
        <w:rPr>
          <w:rFonts w:hint="cs"/>
          <w:color w:val="000080"/>
          <w:rtl/>
        </w:rPr>
        <w:t>احاديث عمّار بى‌علتى نيست</w:t>
      </w:r>
      <w:r w:rsidR="00FE24C4">
        <w:rPr>
          <w:rFonts w:hint="cs"/>
          <w:color w:val="000080"/>
          <w:rtl/>
        </w:rPr>
        <w:t>.</w:t>
      </w:r>
      <w:r>
        <w:rPr>
          <w:rStyle w:val="FootnoteReference"/>
          <w:color w:val="000080"/>
          <w:rtl/>
        </w:rPr>
        <w:footnoteReference w:id="13"/>
      </w:r>
    </w:p>
    <w:p w:rsidR="009B283D" w:rsidRPr="009B283D" w:rsidRDefault="009B283D" w:rsidP="009B283D">
      <w:pPr>
        <w:jc w:val="both"/>
        <w:rPr>
          <w:color w:val="000080"/>
        </w:rPr>
      </w:pPr>
      <w:r w:rsidRPr="009B283D">
        <w:rPr>
          <w:rFonts w:hint="cs"/>
          <w:color w:val="000080"/>
          <w:rtl/>
        </w:rPr>
        <w:t>عبارت مشوش است مثل ساير روايات عمار كه بى‌چيزى نيست</w:t>
      </w:r>
      <w:r w:rsidR="00FE24C4">
        <w:rPr>
          <w:rFonts w:hint="cs"/>
          <w:color w:val="000080"/>
          <w:rtl/>
        </w:rPr>
        <w:t>.</w:t>
      </w:r>
      <w:r>
        <w:rPr>
          <w:rStyle w:val="FootnoteReference"/>
          <w:color w:val="000080"/>
          <w:rtl/>
        </w:rPr>
        <w:footnoteReference w:id="14"/>
      </w:r>
    </w:p>
    <w:p w:rsidR="00BB36F8" w:rsidRDefault="00C25F00" w:rsidP="00137508">
      <w:pPr>
        <w:pStyle w:val="Heading2"/>
        <w:rPr>
          <w:rtl/>
        </w:rPr>
      </w:pPr>
      <w:bookmarkStart w:id="40" w:name="_Toc57847871"/>
      <w:bookmarkStart w:id="41" w:name="_Toc57848606"/>
      <w:bookmarkStart w:id="42" w:name="_Toc57848625"/>
      <w:r>
        <w:rPr>
          <w:rFonts w:hint="cs"/>
          <w:rtl/>
        </w:rPr>
        <w:t>کلام فیض کاشانی</w:t>
      </w:r>
      <w:bookmarkEnd w:id="40"/>
      <w:bookmarkEnd w:id="41"/>
      <w:bookmarkEnd w:id="42"/>
    </w:p>
    <w:p w:rsidR="00264CF1" w:rsidRPr="00137508" w:rsidRDefault="00264CF1" w:rsidP="00137508">
      <w:pPr>
        <w:jc w:val="both"/>
        <w:rPr>
          <w:color w:val="000080"/>
          <w:rtl/>
        </w:rPr>
      </w:pPr>
      <w:r w:rsidRPr="00264CF1">
        <w:rPr>
          <w:rFonts w:hint="cs"/>
          <w:color w:val="000080"/>
          <w:rtl/>
        </w:rPr>
        <w:t>مع أن متن الحديث لا يخلو من اضطراب كما يكون في أكثر أخبار عمار‌</w:t>
      </w:r>
      <w:r>
        <w:rPr>
          <w:rStyle w:val="FootnoteReference"/>
          <w:color w:val="000080"/>
          <w:rtl/>
        </w:rPr>
        <w:footnoteReference w:id="15"/>
      </w:r>
    </w:p>
    <w:p w:rsidR="00264CF1" w:rsidRPr="00137508" w:rsidRDefault="00264CF1" w:rsidP="00137508">
      <w:pPr>
        <w:jc w:val="both"/>
        <w:rPr>
          <w:color w:val="000080"/>
          <w:rtl/>
        </w:rPr>
      </w:pPr>
      <w:r w:rsidRPr="00264CF1">
        <w:rPr>
          <w:rFonts w:hint="cs"/>
          <w:color w:val="000080"/>
          <w:rtl/>
        </w:rPr>
        <w:t>مع ما في أخبار عمار من الغرائب‌</w:t>
      </w:r>
      <w:r>
        <w:rPr>
          <w:rStyle w:val="FootnoteReference"/>
          <w:color w:val="000080"/>
          <w:rtl/>
        </w:rPr>
        <w:footnoteReference w:id="16"/>
      </w:r>
    </w:p>
    <w:p w:rsidR="00264CF1" w:rsidRPr="00264CF1" w:rsidRDefault="00264CF1" w:rsidP="00264CF1">
      <w:pPr>
        <w:jc w:val="both"/>
        <w:rPr>
          <w:color w:val="000080"/>
        </w:rPr>
      </w:pPr>
      <w:r w:rsidRPr="00264CF1">
        <w:rPr>
          <w:rFonts w:hint="cs"/>
          <w:color w:val="000080"/>
          <w:rtl/>
        </w:rPr>
        <w:t>فمن حزازات روايات عمار</w:t>
      </w:r>
      <w:r>
        <w:rPr>
          <w:rStyle w:val="FootnoteReference"/>
          <w:color w:val="000080"/>
          <w:rtl/>
        </w:rPr>
        <w:footnoteReference w:id="17"/>
      </w:r>
    </w:p>
    <w:p w:rsidR="00264CF1" w:rsidRDefault="00137508" w:rsidP="00F30424">
      <w:pPr>
        <w:pStyle w:val="Heading2"/>
        <w:rPr>
          <w:rtl/>
        </w:rPr>
      </w:pPr>
      <w:bookmarkStart w:id="43" w:name="_Toc57847872"/>
      <w:bookmarkStart w:id="44" w:name="_Toc57848607"/>
      <w:bookmarkStart w:id="45" w:name="_Toc57848626"/>
      <w:r>
        <w:rPr>
          <w:rFonts w:hint="cs"/>
          <w:rtl/>
        </w:rPr>
        <w:t>کلام مرحوم مجلسی</w:t>
      </w:r>
      <w:bookmarkEnd w:id="43"/>
      <w:bookmarkEnd w:id="44"/>
      <w:bookmarkEnd w:id="45"/>
    </w:p>
    <w:p w:rsidR="00264CF1" w:rsidRPr="001167EB" w:rsidRDefault="00264CF1" w:rsidP="001167EB">
      <w:pPr>
        <w:jc w:val="both"/>
        <w:rPr>
          <w:color w:val="000080"/>
        </w:rPr>
      </w:pPr>
      <w:r w:rsidRPr="001167EB">
        <w:rPr>
          <w:rFonts w:hint="cs"/>
          <w:color w:val="000080"/>
          <w:rtl/>
        </w:rPr>
        <w:t>و لنوضح الخبر ليمكن الاستدلال به فإنه في غاية التشويش و الاضطراب و قل خبر من أخبار عمار يخلو من ذلك‏ و لذا لم نعتمد على أخباره كثيرا.</w:t>
      </w:r>
      <w:r w:rsidR="00E47127">
        <w:rPr>
          <w:rStyle w:val="FootnoteReference"/>
          <w:color w:val="000080"/>
          <w:rtl/>
        </w:rPr>
        <w:footnoteReference w:id="18"/>
      </w:r>
    </w:p>
    <w:p w:rsidR="00264CF1" w:rsidRDefault="002E08D5" w:rsidP="002E08D5">
      <w:pPr>
        <w:pStyle w:val="Heading2"/>
        <w:rPr>
          <w:rtl/>
        </w:rPr>
      </w:pPr>
      <w:bookmarkStart w:id="46" w:name="_Toc57847873"/>
      <w:bookmarkStart w:id="47" w:name="_Toc57848608"/>
      <w:bookmarkStart w:id="48" w:name="_Toc57848627"/>
      <w:r>
        <w:rPr>
          <w:rFonts w:hint="cs"/>
          <w:rtl/>
        </w:rPr>
        <w:t>کلام صاحب حدائق</w:t>
      </w:r>
      <w:bookmarkEnd w:id="46"/>
      <w:bookmarkEnd w:id="47"/>
      <w:bookmarkEnd w:id="48"/>
    </w:p>
    <w:p w:rsidR="00E47127" w:rsidRPr="00E47127" w:rsidRDefault="00E47127" w:rsidP="00E47127">
      <w:pPr>
        <w:jc w:val="both"/>
        <w:rPr>
          <w:color w:val="000080"/>
        </w:rPr>
      </w:pPr>
      <w:r w:rsidRPr="00E47127">
        <w:rPr>
          <w:rFonts w:hint="cs"/>
          <w:color w:val="000080"/>
          <w:rtl/>
        </w:rPr>
        <w:t>مع ما في روايات عمار من التهافت</w:t>
      </w:r>
      <w:r>
        <w:rPr>
          <w:rStyle w:val="FootnoteReference"/>
          <w:color w:val="000080"/>
          <w:rtl/>
        </w:rPr>
        <w:footnoteReference w:id="19"/>
      </w:r>
    </w:p>
    <w:p w:rsidR="00E47127" w:rsidRDefault="002E08D5" w:rsidP="002E08D5">
      <w:pPr>
        <w:pStyle w:val="Heading2"/>
        <w:rPr>
          <w:rtl/>
        </w:rPr>
      </w:pPr>
      <w:bookmarkStart w:id="49" w:name="_Toc57847874"/>
      <w:bookmarkStart w:id="50" w:name="_Toc57848609"/>
      <w:bookmarkStart w:id="51" w:name="_Toc57848628"/>
      <w:r>
        <w:rPr>
          <w:rFonts w:hint="cs"/>
          <w:rtl/>
        </w:rPr>
        <w:t>کلام مرحوم وحید بهبهانی</w:t>
      </w:r>
      <w:bookmarkEnd w:id="49"/>
      <w:bookmarkEnd w:id="50"/>
      <w:bookmarkEnd w:id="51"/>
    </w:p>
    <w:p w:rsidR="00E47127" w:rsidRPr="00E47127" w:rsidRDefault="00E47127" w:rsidP="00E47127">
      <w:pPr>
        <w:jc w:val="both"/>
        <w:rPr>
          <w:color w:val="000080"/>
        </w:rPr>
      </w:pPr>
      <w:r w:rsidRPr="00E47127">
        <w:rPr>
          <w:rFonts w:hint="cs"/>
          <w:color w:val="000080"/>
          <w:rtl/>
        </w:rPr>
        <w:t>روايات عمّار مشوّشة مضطربة غالبا</w:t>
      </w:r>
      <w:r>
        <w:rPr>
          <w:rStyle w:val="FootnoteReference"/>
          <w:color w:val="000080"/>
          <w:rtl/>
        </w:rPr>
        <w:footnoteReference w:id="20"/>
      </w:r>
    </w:p>
    <w:p w:rsidR="00E47127" w:rsidRDefault="002E08D5" w:rsidP="002E08D5">
      <w:pPr>
        <w:pStyle w:val="Heading2"/>
        <w:rPr>
          <w:rtl/>
        </w:rPr>
      </w:pPr>
      <w:bookmarkStart w:id="52" w:name="_Toc57847875"/>
      <w:bookmarkStart w:id="53" w:name="_Toc57848610"/>
      <w:bookmarkStart w:id="54" w:name="_Toc57848629"/>
      <w:r>
        <w:rPr>
          <w:rFonts w:hint="cs"/>
          <w:rtl/>
        </w:rPr>
        <w:t>کلام مرحوم شوشتری</w:t>
      </w:r>
      <w:bookmarkEnd w:id="52"/>
      <w:bookmarkEnd w:id="53"/>
      <w:bookmarkEnd w:id="54"/>
    </w:p>
    <w:p w:rsidR="00E47127" w:rsidRPr="002E08D5" w:rsidRDefault="00561D23" w:rsidP="002E08D5">
      <w:pPr>
        <w:jc w:val="both"/>
        <w:rPr>
          <w:color w:val="000080"/>
          <w:rtl/>
        </w:rPr>
      </w:pPr>
      <w:r w:rsidRPr="00561D23">
        <w:rPr>
          <w:rFonts w:hint="cs"/>
          <w:color w:val="000080"/>
          <w:rtl/>
        </w:rPr>
        <w:t>أكثر أخبار عمّار من هذا القبيل مخالف لضرورة المذهب</w:t>
      </w:r>
      <w:r>
        <w:rPr>
          <w:rStyle w:val="FootnoteReference"/>
          <w:color w:val="000080"/>
          <w:rtl/>
        </w:rPr>
        <w:footnoteReference w:id="21"/>
      </w:r>
    </w:p>
    <w:p w:rsidR="00255FBE" w:rsidRPr="00386B5A" w:rsidRDefault="00255FBE" w:rsidP="00255FBE">
      <w:pPr>
        <w:jc w:val="both"/>
        <w:rPr>
          <w:color w:val="000080"/>
        </w:rPr>
      </w:pPr>
      <w:r>
        <w:rPr>
          <w:rFonts w:hint="cs"/>
          <w:color w:val="000080"/>
          <w:rtl/>
        </w:rPr>
        <w:t>فمن أخبار عمّار الشّاذ</w:t>
      </w:r>
      <w:r w:rsidRPr="00386B5A">
        <w:rPr>
          <w:rFonts w:hint="cs"/>
          <w:color w:val="000080"/>
          <w:rtl/>
        </w:rPr>
        <w:t>ّ أكثرها</w:t>
      </w:r>
      <w:r>
        <w:rPr>
          <w:rStyle w:val="FootnoteReference"/>
          <w:color w:val="000080"/>
          <w:rtl/>
        </w:rPr>
        <w:footnoteReference w:id="22"/>
      </w:r>
    </w:p>
    <w:p w:rsidR="00E47127" w:rsidRDefault="00A90989" w:rsidP="00A90989">
      <w:pPr>
        <w:jc w:val="both"/>
        <w:rPr>
          <w:rtl/>
        </w:rPr>
      </w:pPr>
      <w:r>
        <w:rPr>
          <w:rFonts w:hint="cs"/>
          <w:rtl/>
        </w:rPr>
        <w:t>همچنین در موارد دیگری در نجعه نیز عباراتی به این شکل آورده است.</w:t>
      </w:r>
      <w:r w:rsidR="00776A15">
        <w:rPr>
          <w:rStyle w:val="FootnoteReference"/>
          <w:rtl/>
        </w:rPr>
        <w:footnoteReference w:id="23"/>
      </w:r>
    </w:p>
    <w:p w:rsidR="00264CF1" w:rsidRDefault="00486721" w:rsidP="00486721">
      <w:pPr>
        <w:pStyle w:val="Heading2"/>
        <w:rPr>
          <w:rtl/>
        </w:rPr>
      </w:pPr>
      <w:bookmarkStart w:id="55" w:name="_Toc57847876"/>
      <w:bookmarkStart w:id="56" w:name="_Toc57848611"/>
      <w:bookmarkStart w:id="57" w:name="_Toc57848630"/>
      <w:r>
        <w:rPr>
          <w:rFonts w:hint="cs"/>
          <w:rtl/>
        </w:rPr>
        <w:t>کلام صاحب جواهر</w:t>
      </w:r>
      <w:bookmarkEnd w:id="55"/>
      <w:bookmarkEnd w:id="56"/>
      <w:bookmarkEnd w:id="57"/>
    </w:p>
    <w:p w:rsidR="00486721" w:rsidRPr="00486721" w:rsidRDefault="00486721" w:rsidP="00486721">
      <w:pPr>
        <w:jc w:val="both"/>
        <w:rPr>
          <w:color w:val="000080"/>
        </w:rPr>
      </w:pPr>
      <w:r w:rsidRPr="00486721">
        <w:rPr>
          <w:rFonts w:hint="cs"/>
          <w:color w:val="000080"/>
          <w:rtl/>
        </w:rPr>
        <w:t>خصوصا في أخبار عمار الغالب اشتمالها على نحو ذلك</w:t>
      </w:r>
      <w:r>
        <w:rPr>
          <w:rStyle w:val="FootnoteReference"/>
          <w:color w:val="000080"/>
          <w:rtl/>
        </w:rPr>
        <w:footnoteReference w:id="24"/>
      </w:r>
    </w:p>
    <w:p w:rsidR="00486721" w:rsidRPr="00486721" w:rsidRDefault="00486721" w:rsidP="00486721">
      <w:pPr>
        <w:jc w:val="both"/>
        <w:rPr>
          <w:color w:val="000080"/>
        </w:rPr>
      </w:pPr>
      <w:r w:rsidRPr="00486721">
        <w:rPr>
          <w:rFonts w:hint="cs"/>
          <w:color w:val="000080"/>
          <w:rtl/>
        </w:rPr>
        <w:t>خصوصا مع ملاحظة غلبة وقوع أمثال ذلك في روايات عمار</w:t>
      </w:r>
      <w:r>
        <w:rPr>
          <w:rStyle w:val="FootnoteReference"/>
          <w:color w:val="000080"/>
          <w:rtl/>
        </w:rPr>
        <w:footnoteReference w:id="25"/>
      </w:r>
    </w:p>
    <w:p w:rsidR="00264CF1" w:rsidRDefault="00CD1DCA" w:rsidP="00105EBD">
      <w:pPr>
        <w:jc w:val="both"/>
        <w:rPr>
          <w:rtl/>
        </w:rPr>
      </w:pPr>
      <w:r>
        <w:rPr>
          <w:rFonts w:hint="cs"/>
          <w:rtl/>
        </w:rPr>
        <w:t>حال با توجه به این عبارات آیا می توان به روایات عمار عمل کرد؟</w:t>
      </w:r>
    </w:p>
    <w:p w:rsidR="00CD1DCA" w:rsidRDefault="00CD1DCA" w:rsidP="00105EBD">
      <w:pPr>
        <w:jc w:val="both"/>
        <w:rPr>
          <w:rtl/>
        </w:rPr>
      </w:pPr>
      <w:r>
        <w:rPr>
          <w:rFonts w:hint="cs"/>
          <w:rtl/>
        </w:rPr>
        <w:t>این مساله نیازمند بحث مفصلی است و نیاز به بررسی تمام روایات عمار ساباطی دارد تا مشخص شود چه تعداد از روایات او را فتوا داده اند.</w:t>
      </w:r>
    </w:p>
    <w:p w:rsidR="00CD1DCA" w:rsidRDefault="00CD1DCA" w:rsidP="00105EBD">
      <w:pPr>
        <w:jc w:val="both"/>
        <w:rPr>
          <w:rtl/>
        </w:rPr>
      </w:pPr>
      <w:r>
        <w:rPr>
          <w:rFonts w:hint="cs"/>
          <w:rtl/>
        </w:rPr>
        <w:t>اجمال بحث در جلسه آینده خواهد آمد.</w:t>
      </w:r>
    </w:p>
    <w:p w:rsidR="00264CF1" w:rsidRPr="006162A2" w:rsidRDefault="00264CF1" w:rsidP="00105EBD">
      <w:pPr>
        <w:jc w:val="both"/>
        <w:rPr>
          <w:rtl/>
        </w:rPr>
      </w:pPr>
    </w:p>
    <w:sectPr w:rsidR="00264CF1"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F1E" w:rsidRDefault="00395F1E" w:rsidP="008B750B">
      <w:pPr>
        <w:spacing w:line="240" w:lineRule="auto"/>
      </w:pPr>
      <w:r>
        <w:separator/>
      </w:r>
    </w:p>
  </w:endnote>
  <w:endnote w:type="continuationSeparator" w:id="0">
    <w:p w:rsidR="00395F1E" w:rsidRDefault="00395F1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717F2" w:rsidRPr="000717F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A5977" w:rsidP="001B6799">
          <w:pPr>
            <w:pStyle w:val="Footer"/>
            <w:bidi w:val="0"/>
            <w:rPr>
              <w:color w:val="808080" w:themeColor="background1" w:themeShade="80"/>
              <w:rtl/>
            </w:rPr>
          </w:pPr>
          <w:bookmarkStart w:id="65" w:name="BokAdres"/>
          <w:bookmarkEnd w:id="65"/>
          <w:r>
            <w:rPr>
              <w:color w:val="808080" w:themeColor="background1" w:themeShade="80"/>
            </w:rPr>
            <w:t>F1js1_13990909-025_mk3_mfeb.ir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F1E" w:rsidRDefault="00395F1E" w:rsidP="008B750B">
      <w:pPr>
        <w:spacing w:line="240" w:lineRule="auto"/>
      </w:pPr>
      <w:r>
        <w:separator/>
      </w:r>
    </w:p>
  </w:footnote>
  <w:footnote w:type="continuationSeparator" w:id="0">
    <w:p w:rsidR="00395F1E" w:rsidRDefault="00395F1E" w:rsidP="008B750B">
      <w:pPr>
        <w:spacing w:line="240" w:lineRule="auto"/>
      </w:pPr>
      <w:r>
        <w:continuationSeparator/>
      </w:r>
    </w:p>
  </w:footnote>
  <w:footnote w:id="1">
    <w:p w:rsidR="00C46FF2" w:rsidRDefault="00C46FF2">
      <w:pPr>
        <w:pStyle w:val="FootnoteText"/>
      </w:pPr>
      <w:r>
        <w:rPr>
          <w:rStyle w:val="FootnoteReference"/>
        </w:rPr>
        <w:footnoteRef/>
      </w:r>
      <w:r>
        <w:rPr>
          <w:rtl/>
        </w:rPr>
        <w:t xml:space="preserve"> </w:t>
      </w:r>
      <w:r>
        <w:rPr>
          <w:rFonts w:hint="cs"/>
          <w:rtl/>
        </w:rPr>
        <w:t>عده، ج 1، ص 134 و 150</w:t>
      </w:r>
    </w:p>
  </w:footnote>
  <w:footnote w:id="2">
    <w:p w:rsidR="002465E3" w:rsidRPr="002465E3" w:rsidRDefault="002465E3" w:rsidP="002465E3">
      <w:pPr>
        <w:pStyle w:val="FootnoteText"/>
      </w:pPr>
      <w:r w:rsidRPr="002465E3">
        <w:footnoteRef/>
      </w:r>
      <w:r w:rsidRPr="002465E3">
        <w:rPr>
          <w:rtl/>
        </w:rPr>
        <w:t xml:space="preserve"> </w:t>
      </w:r>
      <w:hyperlink r:id="rId1" w:history="1">
        <w:r w:rsidRPr="002465E3">
          <w:rPr>
            <w:rStyle w:val="Hyperlink"/>
            <w:rtl/>
          </w:rPr>
          <w:t>تهذ</w:t>
        </w:r>
        <w:r w:rsidRPr="002465E3">
          <w:rPr>
            <w:rStyle w:val="Hyperlink"/>
            <w:rFonts w:hint="cs"/>
            <w:rtl/>
          </w:rPr>
          <w:t>ی</w:t>
        </w:r>
        <w:r w:rsidRPr="002465E3">
          <w:rPr>
            <w:rStyle w:val="Hyperlink"/>
            <w:rFonts w:hint="eastAsia"/>
            <w:rtl/>
          </w:rPr>
          <w:t>ب</w:t>
        </w:r>
        <w:r w:rsidRPr="002465E3">
          <w:rPr>
            <w:rStyle w:val="Hyperlink"/>
            <w:rtl/>
          </w:rPr>
          <w:t xml:space="preserve"> الاحکام، ش</w:t>
        </w:r>
        <w:r w:rsidRPr="002465E3">
          <w:rPr>
            <w:rStyle w:val="Hyperlink"/>
            <w:rFonts w:hint="cs"/>
            <w:rtl/>
          </w:rPr>
          <w:t>ی</w:t>
        </w:r>
        <w:r w:rsidRPr="002465E3">
          <w:rPr>
            <w:rStyle w:val="Hyperlink"/>
            <w:rFonts w:hint="eastAsia"/>
            <w:rtl/>
          </w:rPr>
          <w:t>خ</w:t>
        </w:r>
        <w:r w:rsidRPr="002465E3">
          <w:rPr>
            <w:rStyle w:val="Hyperlink"/>
            <w:rtl/>
          </w:rPr>
          <w:t xml:space="preserve"> طوس</w:t>
        </w:r>
        <w:r w:rsidRPr="002465E3">
          <w:rPr>
            <w:rStyle w:val="Hyperlink"/>
            <w:rFonts w:hint="cs"/>
            <w:rtl/>
          </w:rPr>
          <w:t>ی</w:t>
        </w:r>
        <w:r w:rsidRPr="002465E3">
          <w:rPr>
            <w:rStyle w:val="Hyperlink"/>
            <w:rFonts w:hint="eastAsia"/>
            <w:rtl/>
          </w:rPr>
          <w:t>،</w:t>
        </w:r>
        <w:r w:rsidRPr="002465E3">
          <w:rPr>
            <w:rStyle w:val="Hyperlink"/>
            <w:rtl/>
          </w:rPr>
          <w:t xml:space="preserve"> ج7، ص101.</w:t>
        </w:r>
      </w:hyperlink>
    </w:p>
  </w:footnote>
  <w:footnote w:id="3">
    <w:p w:rsidR="00EB5400" w:rsidRDefault="00EB5400">
      <w:pPr>
        <w:pStyle w:val="FootnoteText"/>
      </w:pPr>
      <w:r>
        <w:rPr>
          <w:rStyle w:val="FootnoteReference"/>
        </w:rPr>
        <w:footnoteRef/>
      </w:r>
      <w:r>
        <w:rPr>
          <w:rtl/>
        </w:rPr>
        <w:t xml:space="preserve"> </w:t>
      </w:r>
      <w:r>
        <w:rPr>
          <w:rFonts w:hint="cs"/>
          <w:rtl/>
        </w:rPr>
        <w:t>استبصار، ج 3، ص 95</w:t>
      </w:r>
    </w:p>
  </w:footnote>
  <w:footnote w:id="4">
    <w:p w:rsidR="002465E3" w:rsidRDefault="002465E3" w:rsidP="002465E3">
      <w:pPr>
        <w:pStyle w:val="FootnoteText"/>
      </w:pPr>
      <w:r>
        <w:rPr>
          <w:rStyle w:val="FootnoteReference"/>
        </w:rPr>
        <w:footnoteRef/>
      </w:r>
      <w:r>
        <w:rPr>
          <w:rtl/>
        </w:rPr>
        <w:t xml:space="preserve"> </w:t>
      </w:r>
      <w:r w:rsidRPr="002465E3">
        <w:rPr>
          <w:rFonts w:hint="cs"/>
          <w:rtl/>
        </w:rPr>
        <w:t>السرائ</w:t>
      </w:r>
      <w:r>
        <w:rPr>
          <w:rFonts w:hint="cs"/>
          <w:rtl/>
        </w:rPr>
        <w:t>ر الحاوي لتحرير الفتاوى، ج‌1، ص</w:t>
      </w:r>
      <w:r w:rsidRPr="002465E3">
        <w:rPr>
          <w:rFonts w:hint="cs"/>
          <w:rtl/>
        </w:rPr>
        <w:t xml:space="preserve"> 267‌</w:t>
      </w:r>
    </w:p>
  </w:footnote>
  <w:footnote w:id="5">
    <w:p w:rsidR="00BB36F8" w:rsidRDefault="00BB36F8" w:rsidP="00BB36F8">
      <w:pPr>
        <w:pStyle w:val="FootnoteText"/>
      </w:pPr>
      <w:r>
        <w:rPr>
          <w:rStyle w:val="FootnoteReference"/>
        </w:rPr>
        <w:footnoteRef/>
      </w:r>
      <w:r>
        <w:rPr>
          <w:rtl/>
        </w:rPr>
        <w:t xml:space="preserve"> </w:t>
      </w:r>
      <w:r w:rsidRPr="00BB36F8">
        <w:rPr>
          <w:rFonts w:hint="cs"/>
          <w:rtl/>
        </w:rPr>
        <w:t>كشف الرموز في شرح مختصر النافع، ج‌2، ص: 245‌</w:t>
      </w:r>
    </w:p>
  </w:footnote>
  <w:footnote w:id="6">
    <w:p w:rsidR="00BB36F8" w:rsidRDefault="00BB36F8">
      <w:pPr>
        <w:pStyle w:val="FootnoteText"/>
      </w:pPr>
      <w:r>
        <w:rPr>
          <w:rStyle w:val="FootnoteReference"/>
        </w:rPr>
        <w:footnoteRef/>
      </w:r>
      <w:r>
        <w:rPr>
          <w:rtl/>
        </w:rPr>
        <w:t xml:space="preserve"> </w:t>
      </w:r>
      <w:r w:rsidRPr="00BB36F8">
        <w:rPr>
          <w:rtl/>
        </w:rPr>
        <w:t>نكت النهاية، ج‌2، ص: 398‌</w:t>
      </w:r>
    </w:p>
  </w:footnote>
  <w:footnote w:id="7">
    <w:p w:rsidR="00172D66" w:rsidRDefault="00172D66" w:rsidP="00172D66">
      <w:pPr>
        <w:pStyle w:val="FootnoteText"/>
      </w:pPr>
      <w:r>
        <w:rPr>
          <w:rStyle w:val="FootnoteReference"/>
        </w:rPr>
        <w:footnoteRef/>
      </w:r>
      <w:r>
        <w:rPr>
          <w:rtl/>
        </w:rPr>
        <w:t xml:space="preserve"> </w:t>
      </w:r>
      <w:r w:rsidRPr="00172D66">
        <w:rPr>
          <w:rFonts w:hint="cs"/>
          <w:rtl/>
        </w:rPr>
        <w:t>نكت النهاية، ج‌2، ص: 479‌</w:t>
      </w:r>
    </w:p>
  </w:footnote>
  <w:footnote w:id="8">
    <w:p w:rsidR="00A76B45" w:rsidRDefault="00A76B45" w:rsidP="00A76B45">
      <w:pPr>
        <w:pStyle w:val="FootnoteText"/>
      </w:pPr>
      <w:r>
        <w:rPr>
          <w:rStyle w:val="FootnoteReference"/>
        </w:rPr>
        <w:footnoteRef/>
      </w:r>
      <w:r>
        <w:rPr>
          <w:rtl/>
        </w:rPr>
        <w:t xml:space="preserve"> </w:t>
      </w:r>
      <w:r w:rsidRPr="00A76B45">
        <w:rPr>
          <w:rFonts w:hint="cs"/>
          <w:rtl/>
        </w:rPr>
        <w:t>المعتبر في شرح المختصر، ج‌1، ص: 104‌</w:t>
      </w:r>
    </w:p>
  </w:footnote>
  <w:footnote w:id="9">
    <w:p w:rsidR="007125C4" w:rsidRDefault="007125C4" w:rsidP="007125C4">
      <w:pPr>
        <w:pStyle w:val="FootnoteText"/>
      </w:pPr>
      <w:r>
        <w:rPr>
          <w:rStyle w:val="FootnoteReference"/>
        </w:rPr>
        <w:footnoteRef/>
      </w:r>
      <w:r>
        <w:rPr>
          <w:rtl/>
        </w:rPr>
        <w:t xml:space="preserve"> </w:t>
      </w:r>
      <w:r w:rsidRPr="007125C4">
        <w:rPr>
          <w:rFonts w:hint="cs"/>
          <w:rtl/>
        </w:rPr>
        <w:t>فهرست كتب الشيعة و أصولهم و أسماء المصنفين و أصحاب الأصول (للطوسي) ( ط - الحديثة)، النص، ص: 335</w:t>
      </w:r>
    </w:p>
  </w:footnote>
  <w:footnote w:id="10">
    <w:p w:rsidR="000530B7" w:rsidRPr="000530B7" w:rsidRDefault="000530B7" w:rsidP="000530B7">
      <w:pPr>
        <w:pStyle w:val="FootnoteText"/>
      </w:pPr>
      <w:r w:rsidRPr="000530B7">
        <w:footnoteRef/>
      </w:r>
      <w:r w:rsidRPr="000530B7">
        <w:rPr>
          <w:rtl/>
        </w:rPr>
        <w:t xml:space="preserve"> </w:t>
      </w:r>
      <w:hyperlink r:id="rId2" w:history="1">
        <w:r w:rsidRPr="000530B7">
          <w:rPr>
            <w:rStyle w:val="Hyperlink"/>
            <w:rFonts w:hint="eastAsia"/>
            <w:rtl/>
          </w:rPr>
          <w:t>رجال</w:t>
        </w:r>
        <w:r w:rsidRPr="000530B7">
          <w:rPr>
            <w:rStyle w:val="Hyperlink"/>
            <w:rtl/>
          </w:rPr>
          <w:t xml:space="preserve"> النجاش</w:t>
        </w:r>
        <w:r w:rsidRPr="000530B7">
          <w:rPr>
            <w:rStyle w:val="Hyperlink"/>
            <w:rFonts w:hint="cs"/>
            <w:rtl/>
          </w:rPr>
          <w:t>ی</w:t>
        </w:r>
        <w:r w:rsidRPr="000530B7">
          <w:rPr>
            <w:rStyle w:val="Hyperlink"/>
            <w:rFonts w:hint="eastAsia"/>
            <w:rtl/>
          </w:rPr>
          <w:t>،</w:t>
        </w:r>
        <w:r w:rsidRPr="000530B7">
          <w:rPr>
            <w:rStyle w:val="Hyperlink"/>
            <w:rtl/>
          </w:rPr>
          <w:t xml:space="preserve"> ش</w:t>
        </w:r>
        <w:r w:rsidRPr="000530B7">
          <w:rPr>
            <w:rStyle w:val="Hyperlink"/>
            <w:rFonts w:hint="cs"/>
            <w:rtl/>
          </w:rPr>
          <w:t>ی</w:t>
        </w:r>
        <w:r w:rsidRPr="000530B7">
          <w:rPr>
            <w:rStyle w:val="Hyperlink"/>
            <w:rFonts w:hint="eastAsia"/>
            <w:rtl/>
          </w:rPr>
          <w:t>خ</w:t>
        </w:r>
        <w:r w:rsidRPr="000530B7">
          <w:rPr>
            <w:rStyle w:val="Hyperlink"/>
            <w:rtl/>
          </w:rPr>
          <w:t xml:space="preserve"> النجاش</w:t>
        </w:r>
        <w:r w:rsidRPr="000530B7">
          <w:rPr>
            <w:rStyle w:val="Hyperlink"/>
            <w:rFonts w:hint="cs"/>
            <w:rtl/>
          </w:rPr>
          <w:t>ی</w:t>
        </w:r>
        <w:r w:rsidRPr="000530B7">
          <w:rPr>
            <w:rStyle w:val="Hyperlink"/>
            <w:rFonts w:hint="eastAsia"/>
            <w:rtl/>
          </w:rPr>
          <w:t>،</w:t>
        </w:r>
        <w:r w:rsidRPr="000530B7">
          <w:rPr>
            <w:rStyle w:val="Hyperlink"/>
            <w:rtl/>
          </w:rPr>
          <w:t xml:space="preserve"> ج1، ص290.</w:t>
        </w:r>
      </w:hyperlink>
    </w:p>
  </w:footnote>
  <w:footnote w:id="11">
    <w:p w:rsidR="000530B7" w:rsidRDefault="000530B7" w:rsidP="000530B7">
      <w:pPr>
        <w:pStyle w:val="FootnoteText"/>
      </w:pPr>
      <w:r>
        <w:rPr>
          <w:rStyle w:val="FootnoteReference"/>
        </w:rPr>
        <w:footnoteRef/>
      </w:r>
      <w:r>
        <w:rPr>
          <w:rtl/>
        </w:rPr>
        <w:t xml:space="preserve"> </w:t>
      </w:r>
      <w:r w:rsidRPr="000530B7">
        <w:rPr>
          <w:rFonts w:hint="cs"/>
          <w:rtl/>
        </w:rPr>
        <w:t>المعتبر في شرح المختصر، ج‌1، ص: 283‌</w:t>
      </w:r>
    </w:p>
  </w:footnote>
  <w:footnote w:id="12">
    <w:p w:rsidR="003C12C5" w:rsidRDefault="003C12C5">
      <w:pPr>
        <w:pStyle w:val="FootnoteText"/>
      </w:pPr>
      <w:r>
        <w:rPr>
          <w:rStyle w:val="FootnoteReference"/>
        </w:rPr>
        <w:footnoteRef/>
      </w:r>
      <w:r>
        <w:rPr>
          <w:rtl/>
        </w:rPr>
        <w:t xml:space="preserve"> </w:t>
      </w:r>
      <w:r>
        <w:rPr>
          <w:rFonts w:hint="cs"/>
          <w:rtl/>
        </w:rPr>
        <w:t>البته تتبع کامل نداشتم.</w:t>
      </w:r>
    </w:p>
  </w:footnote>
  <w:footnote w:id="13">
    <w:p w:rsidR="00984847" w:rsidRDefault="00984847" w:rsidP="00984847">
      <w:pPr>
        <w:pStyle w:val="FootnoteText"/>
      </w:pPr>
      <w:r>
        <w:rPr>
          <w:rStyle w:val="FootnoteReference"/>
        </w:rPr>
        <w:footnoteRef/>
      </w:r>
      <w:r>
        <w:rPr>
          <w:rtl/>
        </w:rPr>
        <w:t xml:space="preserve"> </w:t>
      </w:r>
      <w:r>
        <w:rPr>
          <w:rFonts w:hint="cs"/>
          <w:rtl/>
        </w:rPr>
        <w:t>لوامع صاحبقرانى، ج‌4، ص: 228</w:t>
      </w:r>
    </w:p>
  </w:footnote>
  <w:footnote w:id="14">
    <w:p w:rsidR="009B283D" w:rsidRDefault="009B283D" w:rsidP="009B283D">
      <w:pPr>
        <w:pStyle w:val="FootnoteText"/>
      </w:pPr>
      <w:r>
        <w:rPr>
          <w:rStyle w:val="FootnoteReference"/>
        </w:rPr>
        <w:footnoteRef/>
      </w:r>
      <w:r>
        <w:rPr>
          <w:rtl/>
        </w:rPr>
        <w:t xml:space="preserve"> </w:t>
      </w:r>
      <w:r>
        <w:rPr>
          <w:rFonts w:hint="cs"/>
          <w:rtl/>
        </w:rPr>
        <w:t>لوامع صاحبقرانى، ج‌4، ص: 427</w:t>
      </w:r>
    </w:p>
  </w:footnote>
  <w:footnote w:id="15">
    <w:p w:rsidR="00264CF1" w:rsidRPr="00264CF1" w:rsidRDefault="00264CF1" w:rsidP="00264CF1">
      <w:pPr>
        <w:pStyle w:val="FootnoteText"/>
      </w:pPr>
      <w:r w:rsidRPr="00264CF1">
        <w:footnoteRef/>
      </w:r>
      <w:r w:rsidRPr="00264CF1">
        <w:rPr>
          <w:rtl/>
        </w:rPr>
        <w:t xml:space="preserve"> </w:t>
      </w:r>
      <w:hyperlink r:id="rId3" w:history="1">
        <w:r w:rsidRPr="00264CF1">
          <w:rPr>
            <w:rStyle w:val="Hyperlink"/>
            <w:rFonts w:hint="eastAsia"/>
            <w:rtl/>
          </w:rPr>
          <w:t>الواف</w:t>
        </w:r>
        <w:r w:rsidRPr="00264CF1">
          <w:rPr>
            <w:rStyle w:val="Hyperlink"/>
            <w:rFonts w:hint="cs"/>
            <w:rtl/>
          </w:rPr>
          <w:t>ی</w:t>
        </w:r>
        <w:r w:rsidRPr="00264CF1">
          <w:rPr>
            <w:rStyle w:val="Hyperlink"/>
            <w:rFonts w:hint="eastAsia"/>
            <w:rtl/>
          </w:rPr>
          <w:t>،</w:t>
        </w:r>
        <w:r w:rsidRPr="00264CF1">
          <w:rPr>
            <w:rStyle w:val="Hyperlink"/>
            <w:rtl/>
          </w:rPr>
          <w:t xml:space="preserve"> ف</w:t>
        </w:r>
        <w:r w:rsidRPr="00264CF1">
          <w:rPr>
            <w:rStyle w:val="Hyperlink"/>
            <w:rFonts w:hint="cs"/>
            <w:rtl/>
          </w:rPr>
          <w:t>ی</w:t>
        </w:r>
        <w:r w:rsidRPr="00264CF1">
          <w:rPr>
            <w:rStyle w:val="Hyperlink"/>
            <w:rFonts w:hint="eastAsia"/>
            <w:rtl/>
          </w:rPr>
          <w:t>ض</w:t>
        </w:r>
        <w:r w:rsidRPr="00264CF1">
          <w:rPr>
            <w:rStyle w:val="Hyperlink"/>
            <w:rtl/>
          </w:rPr>
          <w:t xml:space="preserve"> کاشان</w:t>
        </w:r>
        <w:r w:rsidRPr="00264CF1">
          <w:rPr>
            <w:rStyle w:val="Hyperlink"/>
            <w:rFonts w:hint="cs"/>
            <w:rtl/>
          </w:rPr>
          <w:t>ی</w:t>
        </w:r>
        <w:r w:rsidRPr="00264CF1">
          <w:rPr>
            <w:rStyle w:val="Hyperlink"/>
            <w:rFonts w:hint="eastAsia"/>
            <w:rtl/>
          </w:rPr>
          <w:t>،</w:t>
        </w:r>
        <w:r w:rsidRPr="00264CF1">
          <w:rPr>
            <w:rStyle w:val="Hyperlink"/>
            <w:rtl/>
          </w:rPr>
          <w:t xml:space="preserve"> ج11، ص334.</w:t>
        </w:r>
      </w:hyperlink>
    </w:p>
  </w:footnote>
  <w:footnote w:id="16">
    <w:p w:rsidR="00264CF1" w:rsidRPr="00264CF1" w:rsidRDefault="00264CF1" w:rsidP="00264CF1">
      <w:pPr>
        <w:pStyle w:val="FootnoteText"/>
      </w:pPr>
      <w:r w:rsidRPr="00264CF1">
        <w:footnoteRef/>
      </w:r>
      <w:r w:rsidRPr="00264CF1">
        <w:rPr>
          <w:rtl/>
        </w:rPr>
        <w:t xml:space="preserve"> </w:t>
      </w:r>
      <w:hyperlink r:id="rId4" w:history="1">
        <w:r w:rsidRPr="00264CF1">
          <w:rPr>
            <w:rStyle w:val="Hyperlink"/>
            <w:rtl/>
          </w:rPr>
          <w:t>الواف</w:t>
        </w:r>
        <w:r w:rsidRPr="00264CF1">
          <w:rPr>
            <w:rStyle w:val="Hyperlink"/>
            <w:rFonts w:hint="cs"/>
            <w:rtl/>
          </w:rPr>
          <w:t>ی</w:t>
        </w:r>
        <w:r w:rsidRPr="00264CF1">
          <w:rPr>
            <w:rStyle w:val="Hyperlink"/>
            <w:rFonts w:hint="eastAsia"/>
            <w:rtl/>
          </w:rPr>
          <w:t>،</w:t>
        </w:r>
        <w:r w:rsidRPr="00264CF1">
          <w:rPr>
            <w:rStyle w:val="Hyperlink"/>
            <w:rtl/>
          </w:rPr>
          <w:t xml:space="preserve"> ف</w:t>
        </w:r>
        <w:r w:rsidRPr="00264CF1">
          <w:rPr>
            <w:rStyle w:val="Hyperlink"/>
            <w:rFonts w:hint="cs"/>
            <w:rtl/>
          </w:rPr>
          <w:t>ی</w:t>
        </w:r>
        <w:r w:rsidRPr="00264CF1">
          <w:rPr>
            <w:rStyle w:val="Hyperlink"/>
            <w:rFonts w:hint="eastAsia"/>
            <w:rtl/>
          </w:rPr>
          <w:t>ض</w:t>
        </w:r>
        <w:r w:rsidRPr="00264CF1">
          <w:rPr>
            <w:rStyle w:val="Hyperlink"/>
            <w:rtl/>
          </w:rPr>
          <w:t xml:space="preserve"> کاشان</w:t>
        </w:r>
        <w:r w:rsidRPr="00264CF1">
          <w:rPr>
            <w:rStyle w:val="Hyperlink"/>
            <w:rFonts w:hint="cs"/>
            <w:rtl/>
          </w:rPr>
          <w:t>ی</w:t>
        </w:r>
        <w:r w:rsidRPr="00264CF1">
          <w:rPr>
            <w:rStyle w:val="Hyperlink"/>
            <w:rFonts w:hint="eastAsia"/>
            <w:rtl/>
          </w:rPr>
          <w:t>،</w:t>
        </w:r>
        <w:r w:rsidRPr="00264CF1">
          <w:rPr>
            <w:rStyle w:val="Hyperlink"/>
            <w:rtl/>
          </w:rPr>
          <w:t xml:space="preserve"> ج6، ص237.</w:t>
        </w:r>
      </w:hyperlink>
    </w:p>
  </w:footnote>
  <w:footnote w:id="17">
    <w:p w:rsidR="00264CF1" w:rsidRPr="00264CF1" w:rsidRDefault="00264CF1" w:rsidP="00264CF1">
      <w:pPr>
        <w:pStyle w:val="FootnoteText"/>
      </w:pPr>
      <w:r w:rsidRPr="00264CF1">
        <w:footnoteRef/>
      </w:r>
      <w:r w:rsidRPr="00264CF1">
        <w:rPr>
          <w:rtl/>
        </w:rPr>
        <w:t xml:space="preserve"> </w:t>
      </w:r>
      <w:hyperlink r:id="rId5" w:history="1">
        <w:r w:rsidRPr="00264CF1">
          <w:rPr>
            <w:rStyle w:val="Hyperlink"/>
            <w:rtl/>
          </w:rPr>
          <w:t>الواف</w:t>
        </w:r>
        <w:r w:rsidRPr="00264CF1">
          <w:rPr>
            <w:rStyle w:val="Hyperlink"/>
            <w:rFonts w:hint="cs"/>
            <w:rtl/>
          </w:rPr>
          <w:t>ی</w:t>
        </w:r>
        <w:r w:rsidRPr="00264CF1">
          <w:rPr>
            <w:rStyle w:val="Hyperlink"/>
            <w:rFonts w:hint="eastAsia"/>
            <w:rtl/>
          </w:rPr>
          <w:t>،</w:t>
        </w:r>
        <w:r w:rsidRPr="00264CF1">
          <w:rPr>
            <w:rStyle w:val="Hyperlink"/>
            <w:rtl/>
          </w:rPr>
          <w:t xml:space="preserve"> ف</w:t>
        </w:r>
        <w:r w:rsidRPr="00264CF1">
          <w:rPr>
            <w:rStyle w:val="Hyperlink"/>
            <w:rFonts w:hint="cs"/>
            <w:rtl/>
          </w:rPr>
          <w:t>ی</w:t>
        </w:r>
        <w:r w:rsidRPr="00264CF1">
          <w:rPr>
            <w:rStyle w:val="Hyperlink"/>
            <w:rFonts w:hint="eastAsia"/>
            <w:rtl/>
          </w:rPr>
          <w:t>ض</w:t>
        </w:r>
        <w:r w:rsidRPr="00264CF1">
          <w:rPr>
            <w:rStyle w:val="Hyperlink"/>
            <w:rtl/>
          </w:rPr>
          <w:t xml:space="preserve"> کاشان</w:t>
        </w:r>
        <w:r w:rsidRPr="00264CF1">
          <w:rPr>
            <w:rStyle w:val="Hyperlink"/>
            <w:rFonts w:hint="cs"/>
            <w:rtl/>
          </w:rPr>
          <w:t>ی</w:t>
        </w:r>
        <w:r w:rsidRPr="00264CF1">
          <w:rPr>
            <w:rStyle w:val="Hyperlink"/>
            <w:rFonts w:hint="eastAsia"/>
            <w:rtl/>
          </w:rPr>
          <w:t>،</w:t>
        </w:r>
        <w:r w:rsidRPr="00264CF1">
          <w:rPr>
            <w:rStyle w:val="Hyperlink"/>
            <w:rtl/>
          </w:rPr>
          <w:t xml:space="preserve"> ج7، ص198.</w:t>
        </w:r>
      </w:hyperlink>
    </w:p>
  </w:footnote>
  <w:footnote w:id="18">
    <w:p w:rsidR="00E47127" w:rsidRPr="00E47127" w:rsidRDefault="00E47127" w:rsidP="00E47127">
      <w:pPr>
        <w:pStyle w:val="FootnoteText"/>
      </w:pPr>
      <w:r w:rsidRPr="00E47127">
        <w:footnoteRef/>
      </w:r>
      <w:r w:rsidRPr="00E47127">
        <w:rPr>
          <w:rtl/>
        </w:rPr>
        <w:t xml:space="preserve"> </w:t>
      </w:r>
      <w:hyperlink r:id="rId6" w:history="1">
        <w:r w:rsidRPr="00E47127">
          <w:rPr>
            <w:rStyle w:val="Hyperlink"/>
            <w:rtl/>
          </w:rPr>
          <w:t>بحار الانوار، محمّد باقر المجلس</w:t>
        </w:r>
        <w:r w:rsidRPr="00E47127">
          <w:rPr>
            <w:rStyle w:val="Hyperlink"/>
            <w:rFonts w:hint="cs"/>
            <w:rtl/>
          </w:rPr>
          <w:t>ی</w:t>
        </w:r>
        <w:r w:rsidRPr="00E47127">
          <w:rPr>
            <w:rStyle w:val="Hyperlink"/>
            <w:rtl/>
          </w:rPr>
          <w:t xml:space="preserve"> (العلامة المجلس</w:t>
        </w:r>
        <w:r w:rsidRPr="00E47127">
          <w:rPr>
            <w:rStyle w:val="Hyperlink"/>
            <w:rFonts w:hint="cs"/>
            <w:rtl/>
          </w:rPr>
          <w:t>ی</w:t>
        </w:r>
        <w:r w:rsidRPr="00E47127">
          <w:rPr>
            <w:rStyle w:val="Hyperlink"/>
            <w:rtl/>
          </w:rPr>
          <w:t>)، ج84، ص73.</w:t>
        </w:r>
      </w:hyperlink>
    </w:p>
  </w:footnote>
  <w:footnote w:id="19">
    <w:p w:rsidR="00E47127" w:rsidRPr="00E47127" w:rsidRDefault="00E47127" w:rsidP="00E47127">
      <w:pPr>
        <w:pStyle w:val="FootnoteText"/>
      </w:pPr>
      <w:r w:rsidRPr="00E47127">
        <w:footnoteRef/>
      </w:r>
      <w:r w:rsidRPr="00E47127">
        <w:rPr>
          <w:rtl/>
        </w:rPr>
        <w:t xml:space="preserve"> </w:t>
      </w:r>
      <w:hyperlink r:id="rId7" w:history="1">
        <w:r w:rsidRPr="00E47127">
          <w:rPr>
            <w:rStyle w:val="Hyperlink"/>
            <w:rtl/>
          </w:rPr>
          <w:t>الحدائق الناضرة ف</w:t>
        </w:r>
        <w:r w:rsidRPr="00E47127">
          <w:rPr>
            <w:rStyle w:val="Hyperlink"/>
            <w:rFonts w:hint="cs"/>
            <w:rtl/>
          </w:rPr>
          <w:t>ی</w:t>
        </w:r>
        <w:r w:rsidRPr="00E47127">
          <w:rPr>
            <w:rStyle w:val="Hyperlink"/>
            <w:rtl/>
          </w:rPr>
          <w:t xml:space="preserve"> أحکام العترة الطاهرة، </w:t>
        </w:r>
        <w:r w:rsidRPr="00E47127">
          <w:rPr>
            <w:rStyle w:val="Hyperlink"/>
            <w:rFonts w:hint="cs"/>
            <w:rtl/>
          </w:rPr>
          <w:t>ی</w:t>
        </w:r>
        <w:r w:rsidRPr="00E47127">
          <w:rPr>
            <w:rStyle w:val="Hyperlink"/>
            <w:rFonts w:hint="eastAsia"/>
            <w:rtl/>
          </w:rPr>
          <w:t>وسف</w:t>
        </w:r>
        <w:r w:rsidRPr="00E47127">
          <w:rPr>
            <w:rStyle w:val="Hyperlink"/>
            <w:rtl/>
          </w:rPr>
          <w:t xml:space="preserve"> بن أحمد البحران</w:t>
        </w:r>
        <w:r w:rsidRPr="00E47127">
          <w:rPr>
            <w:rStyle w:val="Hyperlink"/>
            <w:rFonts w:hint="cs"/>
            <w:rtl/>
          </w:rPr>
          <w:t>ی</w:t>
        </w:r>
        <w:r w:rsidRPr="00E47127">
          <w:rPr>
            <w:rStyle w:val="Hyperlink"/>
            <w:rtl/>
          </w:rPr>
          <w:t xml:space="preserve"> (صاحب الحدائق)، ج2، ص33.</w:t>
        </w:r>
      </w:hyperlink>
    </w:p>
  </w:footnote>
  <w:footnote w:id="20">
    <w:p w:rsidR="00E47127" w:rsidRPr="00E47127" w:rsidRDefault="00E47127" w:rsidP="00E47127">
      <w:pPr>
        <w:pStyle w:val="FootnoteText"/>
      </w:pPr>
      <w:r w:rsidRPr="00E47127">
        <w:footnoteRef/>
      </w:r>
      <w:r w:rsidRPr="00E47127">
        <w:rPr>
          <w:rtl/>
        </w:rPr>
        <w:t xml:space="preserve"> </w:t>
      </w:r>
      <w:hyperlink r:id="rId8" w:history="1">
        <w:r w:rsidRPr="00E47127">
          <w:rPr>
            <w:rStyle w:val="Hyperlink"/>
            <w:rtl/>
          </w:rPr>
          <w:t>حاش</w:t>
        </w:r>
        <w:r w:rsidRPr="00E47127">
          <w:rPr>
            <w:rStyle w:val="Hyperlink"/>
            <w:rFonts w:hint="cs"/>
            <w:rtl/>
          </w:rPr>
          <w:t>ی</w:t>
        </w:r>
        <w:r w:rsidRPr="00E47127">
          <w:rPr>
            <w:rStyle w:val="Hyperlink"/>
            <w:rFonts w:hint="eastAsia"/>
            <w:rtl/>
          </w:rPr>
          <w:t>ة</w:t>
        </w:r>
        <w:r w:rsidRPr="00E47127">
          <w:rPr>
            <w:rStyle w:val="Hyperlink"/>
            <w:rtl/>
          </w:rPr>
          <w:t xml:space="preserve"> الواف</w:t>
        </w:r>
        <w:r w:rsidRPr="00E47127">
          <w:rPr>
            <w:rStyle w:val="Hyperlink"/>
            <w:rFonts w:hint="cs"/>
            <w:rtl/>
          </w:rPr>
          <w:t>ی</w:t>
        </w:r>
        <w:r w:rsidRPr="00E47127">
          <w:rPr>
            <w:rStyle w:val="Hyperlink"/>
            <w:rFonts w:hint="eastAsia"/>
            <w:rtl/>
          </w:rPr>
          <w:t>،</w:t>
        </w:r>
        <w:r w:rsidRPr="00E47127">
          <w:rPr>
            <w:rStyle w:val="Hyperlink"/>
            <w:rtl/>
          </w:rPr>
          <w:t xml:space="preserve"> الوح</w:t>
        </w:r>
        <w:r w:rsidRPr="00E47127">
          <w:rPr>
            <w:rStyle w:val="Hyperlink"/>
            <w:rFonts w:hint="cs"/>
            <w:rtl/>
          </w:rPr>
          <w:t>ی</w:t>
        </w:r>
        <w:r w:rsidRPr="00E47127">
          <w:rPr>
            <w:rStyle w:val="Hyperlink"/>
            <w:rFonts w:hint="eastAsia"/>
            <w:rtl/>
          </w:rPr>
          <w:t>د</w:t>
        </w:r>
        <w:r w:rsidRPr="00E47127">
          <w:rPr>
            <w:rStyle w:val="Hyperlink"/>
            <w:rtl/>
          </w:rPr>
          <w:t xml:space="preserve"> البهبهان</w:t>
        </w:r>
        <w:r w:rsidRPr="00E47127">
          <w:rPr>
            <w:rStyle w:val="Hyperlink"/>
            <w:rFonts w:hint="cs"/>
            <w:rtl/>
          </w:rPr>
          <w:t>ی</w:t>
        </w:r>
        <w:r w:rsidRPr="00E47127">
          <w:rPr>
            <w:rStyle w:val="Hyperlink"/>
            <w:rFonts w:hint="eastAsia"/>
            <w:rtl/>
          </w:rPr>
          <w:t>،</w:t>
        </w:r>
        <w:r w:rsidRPr="00E47127">
          <w:rPr>
            <w:rStyle w:val="Hyperlink"/>
            <w:rtl/>
          </w:rPr>
          <w:t xml:space="preserve"> ج1، ص355.</w:t>
        </w:r>
      </w:hyperlink>
    </w:p>
  </w:footnote>
  <w:footnote w:id="21">
    <w:p w:rsidR="00561D23" w:rsidRDefault="00561D23" w:rsidP="00561D23">
      <w:pPr>
        <w:pStyle w:val="FootnoteText"/>
      </w:pPr>
      <w:r>
        <w:rPr>
          <w:rStyle w:val="FootnoteReference"/>
        </w:rPr>
        <w:footnoteRef/>
      </w:r>
      <w:r>
        <w:rPr>
          <w:rtl/>
        </w:rPr>
        <w:t xml:space="preserve"> </w:t>
      </w:r>
      <w:r w:rsidRPr="00561D23">
        <w:rPr>
          <w:rFonts w:hint="cs"/>
          <w:rtl/>
        </w:rPr>
        <w:t>النجعة في شرح اللمعة، ج‌4، ص: 410‌</w:t>
      </w:r>
    </w:p>
  </w:footnote>
  <w:footnote w:id="22">
    <w:p w:rsidR="00255FBE" w:rsidRDefault="00255FBE" w:rsidP="00255FBE">
      <w:pPr>
        <w:pStyle w:val="FootnoteText"/>
      </w:pPr>
      <w:r>
        <w:rPr>
          <w:rStyle w:val="FootnoteReference"/>
        </w:rPr>
        <w:footnoteRef/>
      </w:r>
      <w:r>
        <w:rPr>
          <w:rtl/>
        </w:rPr>
        <w:t xml:space="preserve"> </w:t>
      </w:r>
      <w:r>
        <w:rPr>
          <w:rFonts w:hint="cs"/>
          <w:rtl/>
        </w:rPr>
        <w:t>النجعة في شرح اللمعة، ج‌9، ص</w:t>
      </w:r>
      <w:r w:rsidRPr="00386B5A">
        <w:rPr>
          <w:rFonts w:hint="cs"/>
          <w:rtl/>
        </w:rPr>
        <w:t xml:space="preserve"> 303‌</w:t>
      </w:r>
    </w:p>
  </w:footnote>
  <w:footnote w:id="23">
    <w:p w:rsidR="00776A15" w:rsidRDefault="00776A15">
      <w:pPr>
        <w:pStyle w:val="FootnoteText"/>
        <w:rPr>
          <w:rtl/>
        </w:rPr>
      </w:pPr>
      <w:r>
        <w:rPr>
          <w:rStyle w:val="FootnoteReference"/>
        </w:rPr>
        <w:footnoteRef/>
      </w:r>
      <w:r>
        <w:rPr>
          <w:rtl/>
        </w:rPr>
        <w:t xml:space="preserve"> </w:t>
      </w:r>
      <w:r>
        <w:rPr>
          <w:rFonts w:hint="cs"/>
          <w:rtl/>
        </w:rPr>
        <w:t>ج 1، ص 66</w:t>
      </w:r>
    </w:p>
    <w:p w:rsidR="00776A15" w:rsidRDefault="00776A15">
      <w:pPr>
        <w:pStyle w:val="FootnoteText"/>
        <w:rPr>
          <w:rtl/>
        </w:rPr>
      </w:pPr>
      <w:r>
        <w:rPr>
          <w:rFonts w:hint="cs"/>
          <w:rtl/>
        </w:rPr>
        <w:t>ج 1، ص 374</w:t>
      </w:r>
    </w:p>
    <w:p w:rsidR="00776A15" w:rsidRDefault="00776A15">
      <w:pPr>
        <w:pStyle w:val="FootnoteText"/>
        <w:rPr>
          <w:rtl/>
        </w:rPr>
      </w:pPr>
      <w:r>
        <w:rPr>
          <w:rFonts w:hint="cs"/>
          <w:rtl/>
        </w:rPr>
        <w:t>ج 2، 212</w:t>
      </w:r>
    </w:p>
    <w:p w:rsidR="00776A15" w:rsidRDefault="00776A15">
      <w:pPr>
        <w:pStyle w:val="FootnoteText"/>
        <w:rPr>
          <w:rtl/>
        </w:rPr>
      </w:pPr>
      <w:r>
        <w:rPr>
          <w:rFonts w:hint="cs"/>
          <w:rtl/>
        </w:rPr>
        <w:t>ج 3، ص 306</w:t>
      </w:r>
    </w:p>
    <w:p w:rsidR="00776A15" w:rsidRDefault="00776A15">
      <w:pPr>
        <w:pStyle w:val="FootnoteText"/>
        <w:rPr>
          <w:rtl/>
        </w:rPr>
      </w:pPr>
      <w:r>
        <w:rPr>
          <w:rFonts w:hint="cs"/>
          <w:rtl/>
        </w:rPr>
        <w:t>ج 5،</w:t>
      </w:r>
      <w:r w:rsidR="00C0245E">
        <w:rPr>
          <w:rFonts w:hint="cs"/>
          <w:rtl/>
        </w:rPr>
        <w:t xml:space="preserve"> ص</w:t>
      </w:r>
      <w:r>
        <w:rPr>
          <w:rFonts w:hint="cs"/>
          <w:rtl/>
        </w:rPr>
        <w:t xml:space="preserve"> 50</w:t>
      </w:r>
      <w:r w:rsidR="00E80427">
        <w:rPr>
          <w:rFonts w:hint="cs"/>
          <w:rtl/>
        </w:rPr>
        <w:t xml:space="preserve"> و 442</w:t>
      </w:r>
    </w:p>
    <w:p w:rsidR="00E80427" w:rsidRDefault="00E80427">
      <w:pPr>
        <w:pStyle w:val="FootnoteText"/>
        <w:rPr>
          <w:rtl/>
        </w:rPr>
      </w:pPr>
      <w:r>
        <w:rPr>
          <w:rFonts w:hint="cs"/>
          <w:rtl/>
        </w:rPr>
        <w:t>ج 7، ص 205</w:t>
      </w:r>
    </w:p>
    <w:p w:rsidR="00E80427" w:rsidRDefault="00E80427">
      <w:pPr>
        <w:pStyle w:val="FootnoteText"/>
      </w:pPr>
    </w:p>
  </w:footnote>
  <w:footnote w:id="24">
    <w:p w:rsidR="00486721" w:rsidRPr="00486721" w:rsidRDefault="00486721" w:rsidP="00486721">
      <w:pPr>
        <w:pStyle w:val="FootnoteText"/>
      </w:pPr>
      <w:r w:rsidRPr="00486721">
        <w:footnoteRef/>
      </w:r>
      <w:r w:rsidRPr="00486721">
        <w:rPr>
          <w:rtl/>
        </w:rPr>
        <w:t xml:space="preserve"> </w:t>
      </w:r>
      <w:hyperlink r:id="rId9" w:history="1">
        <w:r w:rsidRPr="00486721">
          <w:rPr>
            <w:rStyle w:val="Hyperlink"/>
            <w:rtl/>
          </w:rPr>
          <w:t>جواهر الکلام، محمد حسن نجف</w:t>
        </w:r>
        <w:r w:rsidRPr="00486721">
          <w:rPr>
            <w:rStyle w:val="Hyperlink"/>
            <w:rFonts w:hint="cs"/>
            <w:rtl/>
          </w:rPr>
          <w:t>ی</w:t>
        </w:r>
        <w:r w:rsidRPr="00486721">
          <w:rPr>
            <w:rStyle w:val="Hyperlink"/>
            <w:rFonts w:hint="eastAsia"/>
            <w:rtl/>
          </w:rPr>
          <w:t>،</w:t>
        </w:r>
        <w:r w:rsidRPr="00486721">
          <w:rPr>
            <w:rStyle w:val="Hyperlink"/>
            <w:rtl/>
          </w:rPr>
          <w:t xml:space="preserve"> ج6، ص257.</w:t>
        </w:r>
      </w:hyperlink>
    </w:p>
  </w:footnote>
  <w:footnote w:id="25">
    <w:p w:rsidR="00486721" w:rsidRPr="00486721" w:rsidRDefault="00486721" w:rsidP="00486721">
      <w:pPr>
        <w:pStyle w:val="FootnoteText"/>
      </w:pPr>
      <w:r w:rsidRPr="00486721">
        <w:footnoteRef/>
      </w:r>
      <w:r w:rsidRPr="00486721">
        <w:rPr>
          <w:rtl/>
        </w:rPr>
        <w:t xml:space="preserve"> </w:t>
      </w:r>
      <w:hyperlink r:id="rId10" w:history="1">
        <w:r w:rsidRPr="00486721">
          <w:rPr>
            <w:rStyle w:val="Hyperlink"/>
            <w:rtl/>
          </w:rPr>
          <w:t>جواهر الکلام، محمد حسن نجف</w:t>
        </w:r>
        <w:r w:rsidRPr="00486721">
          <w:rPr>
            <w:rStyle w:val="Hyperlink"/>
            <w:rFonts w:hint="cs"/>
            <w:rtl/>
          </w:rPr>
          <w:t>ی</w:t>
        </w:r>
        <w:r w:rsidRPr="00486721">
          <w:rPr>
            <w:rStyle w:val="Hyperlink"/>
            <w:rFonts w:hint="eastAsia"/>
            <w:rtl/>
          </w:rPr>
          <w:t>،</w:t>
        </w:r>
        <w:r w:rsidRPr="00486721">
          <w:rPr>
            <w:rStyle w:val="Hyperlink"/>
            <w:rtl/>
          </w:rPr>
          <w:t xml:space="preserve"> ج8، ص322.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8" w:name="BokNum"/>
    <w:bookmarkEnd w:id="58"/>
    <w:r w:rsidR="000A5977">
      <w:rPr>
        <w:b/>
        <w:bCs/>
        <w:sz w:val="20"/>
        <w:szCs w:val="24"/>
        <w:rtl/>
      </w:rPr>
      <w:t>025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9" w:name="Bokdars"/>
    <w:bookmarkEnd w:id="59"/>
    <w:r w:rsidR="000A5977">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60" w:name="Bokostad"/>
    <w:bookmarkEnd w:id="60"/>
    <w:r w:rsidR="000A5977">
      <w:rPr>
        <w:b/>
        <w:bCs/>
        <w:color w:val="632423" w:themeColor="accent2" w:themeShade="80"/>
        <w:sz w:val="20"/>
        <w:szCs w:val="24"/>
        <w:rtl/>
      </w:rPr>
      <w:t>س</w:t>
    </w:r>
    <w:r w:rsidR="000A5977">
      <w:rPr>
        <w:rFonts w:hint="cs"/>
        <w:b/>
        <w:bCs/>
        <w:color w:val="632423" w:themeColor="accent2" w:themeShade="80"/>
        <w:sz w:val="20"/>
        <w:szCs w:val="24"/>
        <w:rtl/>
      </w:rPr>
      <w:t>ی</w:t>
    </w:r>
    <w:r w:rsidR="000A5977">
      <w:rPr>
        <w:rFonts w:hint="eastAsia"/>
        <w:b/>
        <w:bCs/>
        <w:color w:val="632423" w:themeColor="accent2" w:themeShade="80"/>
        <w:sz w:val="20"/>
        <w:szCs w:val="24"/>
        <w:rtl/>
      </w:rPr>
      <w:t>د</w:t>
    </w:r>
    <w:r w:rsidR="000A5977">
      <w:rPr>
        <w:b/>
        <w:bCs/>
        <w:color w:val="632423" w:themeColor="accent2" w:themeShade="80"/>
        <w:sz w:val="20"/>
        <w:szCs w:val="24"/>
        <w:rtl/>
      </w:rPr>
      <w:t xml:space="preserve"> محمد جواد شب</w:t>
    </w:r>
    <w:r w:rsidR="000A5977">
      <w:rPr>
        <w:rFonts w:hint="cs"/>
        <w:b/>
        <w:bCs/>
        <w:color w:val="632423" w:themeColor="accent2" w:themeShade="80"/>
        <w:sz w:val="20"/>
        <w:szCs w:val="24"/>
        <w:rtl/>
      </w:rPr>
      <w:t>ی</w:t>
    </w:r>
    <w:r w:rsidR="000A5977">
      <w:rPr>
        <w:rFonts w:hint="eastAsia"/>
        <w:b/>
        <w:bCs/>
        <w:color w:val="632423" w:themeColor="accent2" w:themeShade="80"/>
        <w:sz w:val="20"/>
        <w:szCs w:val="24"/>
        <w:rtl/>
      </w:rPr>
      <w:t>ر</w:t>
    </w:r>
    <w:r w:rsidR="000A597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61" w:name="BokTarikh"/>
    <w:bookmarkEnd w:id="61"/>
    <w:r w:rsidR="000A5977">
      <w:rPr>
        <w:sz w:val="24"/>
        <w:szCs w:val="24"/>
        <w:rtl/>
      </w:rPr>
      <w:t>9 /9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62" w:name="BokSabj"/>
    <w:bookmarkEnd w:id="62"/>
    <w:r w:rsidR="000A5977">
      <w:rPr>
        <w:color w:val="000000" w:themeColor="text1"/>
        <w:sz w:val="24"/>
        <w:szCs w:val="24"/>
        <w:rtl/>
      </w:rPr>
      <w:t>عده‌</w:t>
    </w:r>
    <w:r w:rsidR="000A5977">
      <w:rPr>
        <w:rFonts w:hint="cs"/>
        <w:color w:val="000000" w:themeColor="text1"/>
        <w:sz w:val="24"/>
        <w:szCs w:val="24"/>
        <w:rtl/>
      </w:rPr>
      <w:t>ی</w:t>
    </w:r>
    <w:r w:rsidR="000A5977">
      <w:rPr>
        <w:color w:val="000000" w:themeColor="text1"/>
        <w:sz w:val="24"/>
        <w:szCs w:val="24"/>
        <w:rtl/>
      </w:rPr>
      <w:t xml:space="preserve"> وفات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63" w:name="Bokmoqarer"/>
    <w:bookmarkEnd w:id="63"/>
    <w:r w:rsidR="000A5977">
      <w:rPr>
        <w:sz w:val="24"/>
        <w:szCs w:val="24"/>
        <w:rtl/>
      </w:rPr>
      <w:t>مهد</w:t>
    </w:r>
    <w:r w:rsidR="000A5977">
      <w:rPr>
        <w:rFonts w:hint="cs"/>
        <w:sz w:val="24"/>
        <w:szCs w:val="24"/>
        <w:rtl/>
      </w:rPr>
      <w:t>ی</w:t>
    </w:r>
    <w:r w:rsidR="000A5977">
      <w:rPr>
        <w:sz w:val="24"/>
        <w:szCs w:val="24"/>
        <w:rtl/>
      </w:rPr>
      <w:t xml:space="preserve"> کاظم</w:t>
    </w:r>
    <w:r w:rsidR="000A5977">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64" w:name="BokSabj2"/>
    <w:bookmarkEnd w:id="64"/>
    <w:r w:rsidR="000A5977">
      <w:rPr>
        <w:sz w:val="24"/>
        <w:szCs w:val="24"/>
        <w:rtl/>
      </w:rPr>
      <w:t>حداد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E16AC"/>
    <w:multiLevelType w:val="hybridMultilevel"/>
    <w:tmpl w:val="3174893E"/>
    <w:lvl w:ilvl="0" w:tplc="AC0CB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642C8"/>
    <w:multiLevelType w:val="hybridMultilevel"/>
    <w:tmpl w:val="FA3C88EA"/>
    <w:lvl w:ilvl="0" w:tplc="FA149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4"/>
  </w:num>
  <w:num w:numId="15">
    <w:abstractNumId w:val="1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30B7"/>
    <w:rsid w:val="00055496"/>
    <w:rsid w:val="000707F9"/>
    <w:rsid w:val="000717F2"/>
    <w:rsid w:val="00080A41"/>
    <w:rsid w:val="0008299B"/>
    <w:rsid w:val="000913AA"/>
    <w:rsid w:val="00094847"/>
    <w:rsid w:val="00096C63"/>
    <w:rsid w:val="000A5977"/>
    <w:rsid w:val="000B5DB5"/>
    <w:rsid w:val="000C3947"/>
    <w:rsid w:val="000D2A37"/>
    <w:rsid w:val="000D30E9"/>
    <w:rsid w:val="000D6818"/>
    <w:rsid w:val="000E335E"/>
    <w:rsid w:val="000F16CF"/>
    <w:rsid w:val="000F5BAC"/>
    <w:rsid w:val="00102585"/>
    <w:rsid w:val="00105EBD"/>
    <w:rsid w:val="00114AB7"/>
    <w:rsid w:val="001167EB"/>
    <w:rsid w:val="00116B2B"/>
    <w:rsid w:val="001206FC"/>
    <w:rsid w:val="00124E3D"/>
    <w:rsid w:val="00127E95"/>
    <w:rsid w:val="00130659"/>
    <w:rsid w:val="001347C7"/>
    <w:rsid w:val="001356B0"/>
    <w:rsid w:val="00137508"/>
    <w:rsid w:val="00151937"/>
    <w:rsid w:val="001609E4"/>
    <w:rsid w:val="00167EC5"/>
    <w:rsid w:val="00172D66"/>
    <w:rsid w:val="00181844"/>
    <w:rsid w:val="001837E9"/>
    <w:rsid w:val="00187DFA"/>
    <w:rsid w:val="00196745"/>
    <w:rsid w:val="001A1BC1"/>
    <w:rsid w:val="001A1EA5"/>
    <w:rsid w:val="001A2574"/>
    <w:rsid w:val="001A27D7"/>
    <w:rsid w:val="001A294E"/>
    <w:rsid w:val="001A4ED8"/>
    <w:rsid w:val="001B2488"/>
    <w:rsid w:val="001B6799"/>
    <w:rsid w:val="001C0C8F"/>
    <w:rsid w:val="001C1362"/>
    <w:rsid w:val="001C16E1"/>
    <w:rsid w:val="001D2E9A"/>
    <w:rsid w:val="001D597F"/>
    <w:rsid w:val="001E3FD4"/>
    <w:rsid w:val="001F29E1"/>
    <w:rsid w:val="0020241A"/>
    <w:rsid w:val="00203821"/>
    <w:rsid w:val="00211632"/>
    <w:rsid w:val="00213812"/>
    <w:rsid w:val="0021630D"/>
    <w:rsid w:val="002320E5"/>
    <w:rsid w:val="0024121B"/>
    <w:rsid w:val="002465E3"/>
    <w:rsid w:val="00247D2F"/>
    <w:rsid w:val="00255FBE"/>
    <w:rsid w:val="00256560"/>
    <w:rsid w:val="00264CF1"/>
    <w:rsid w:val="0027605E"/>
    <w:rsid w:val="00281157"/>
    <w:rsid w:val="00281E00"/>
    <w:rsid w:val="00291B45"/>
    <w:rsid w:val="00294A52"/>
    <w:rsid w:val="002B14F0"/>
    <w:rsid w:val="002B575F"/>
    <w:rsid w:val="002B729B"/>
    <w:rsid w:val="002C23B5"/>
    <w:rsid w:val="002C53A2"/>
    <w:rsid w:val="002D0040"/>
    <w:rsid w:val="002D2FA8"/>
    <w:rsid w:val="002E08D5"/>
    <w:rsid w:val="002E220F"/>
    <w:rsid w:val="00307311"/>
    <w:rsid w:val="0032100F"/>
    <w:rsid w:val="0033402C"/>
    <w:rsid w:val="00340521"/>
    <w:rsid w:val="00345C73"/>
    <w:rsid w:val="00354A99"/>
    <w:rsid w:val="00360311"/>
    <w:rsid w:val="00361922"/>
    <w:rsid w:val="0037339B"/>
    <w:rsid w:val="00377A9A"/>
    <w:rsid w:val="00386C11"/>
    <w:rsid w:val="00395F1E"/>
    <w:rsid w:val="00397466"/>
    <w:rsid w:val="003A6148"/>
    <w:rsid w:val="003C12C5"/>
    <w:rsid w:val="003C33F6"/>
    <w:rsid w:val="003C3D2E"/>
    <w:rsid w:val="003C43A5"/>
    <w:rsid w:val="003E1C5C"/>
    <w:rsid w:val="003E6650"/>
    <w:rsid w:val="003F5B46"/>
    <w:rsid w:val="00401363"/>
    <w:rsid w:val="00402E47"/>
    <w:rsid w:val="00425015"/>
    <w:rsid w:val="00430994"/>
    <w:rsid w:val="00441B6D"/>
    <w:rsid w:val="00445BEA"/>
    <w:rsid w:val="004556EF"/>
    <w:rsid w:val="00462B07"/>
    <w:rsid w:val="00465BD2"/>
    <w:rsid w:val="004715C8"/>
    <w:rsid w:val="00481C31"/>
    <w:rsid w:val="00482FC1"/>
    <w:rsid w:val="00483027"/>
    <w:rsid w:val="00484D97"/>
    <w:rsid w:val="00486721"/>
    <w:rsid w:val="004871AA"/>
    <w:rsid w:val="004918D7"/>
    <w:rsid w:val="004926E1"/>
    <w:rsid w:val="004A2FEA"/>
    <w:rsid w:val="004C1BEF"/>
    <w:rsid w:val="004C525A"/>
    <w:rsid w:val="004D2DD7"/>
    <w:rsid w:val="004D75C5"/>
    <w:rsid w:val="004E2186"/>
    <w:rsid w:val="004E23C3"/>
    <w:rsid w:val="004E51F8"/>
    <w:rsid w:val="004E66FB"/>
    <w:rsid w:val="004F470A"/>
    <w:rsid w:val="004F4C59"/>
    <w:rsid w:val="00500C8F"/>
    <w:rsid w:val="00501909"/>
    <w:rsid w:val="00507BBB"/>
    <w:rsid w:val="005128DF"/>
    <w:rsid w:val="0051592A"/>
    <w:rsid w:val="005206FE"/>
    <w:rsid w:val="005257ED"/>
    <w:rsid w:val="005306F8"/>
    <w:rsid w:val="0054023D"/>
    <w:rsid w:val="005426BF"/>
    <w:rsid w:val="00561D23"/>
    <w:rsid w:val="0056213C"/>
    <w:rsid w:val="00580C24"/>
    <w:rsid w:val="005968EF"/>
    <w:rsid w:val="00596C1E"/>
    <w:rsid w:val="005A2E26"/>
    <w:rsid w:val="005B7A3A"/>
    <w:rsid w:val="005B7BCA"/>
    <w:rsid w:val="005C0DAE"/>
    <w:rsid w:val="005C188E"/>
    <w:rsid w:val="005D2349"/>
    <w:rsid w:val="005E1B60"/>
    <w:rsid w:val="005E5507"/>
    <w:rsid w:val="005E607B"/>
    <w:rsid w:val="005F0A8D"/>
    <w:rsid w:val="00601229"/>
    <w:rsid w:val="00603B67"/>
    <w:rsid w:val="006162A2"/>
    <w:rsid w:val="00623A50"/>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3899"/>
    <w:rsid w:val="006C50FD"/>
    <w:rsid w:val="006D1DD4"/>
    <w:rsid w:val="006D4014"/>
    <w:rsid w:val="006D44C1"/>
    <w:rsid w:val="006D44EC"/>
    <w:rsid w:val="006E5651"/>
    <w:rsid w:val="006E5B85"/>
    <w:rsid w:val="006F026A"/>
    <w:rsid w:val="006F455D"/>
    <w:rsid w:val="0070185A"/>
    <w:rsid w:val="0070265B"/>
    <w:rsid w:val="00704096"/>
    <w:rsid w:val="00704813"/>
    <w:rsid w:val="00711385"/>
    <w:rsid w:val="007125C4"/>
    <w:rsid w:val="0072290D"/>
    <w:rsid w:val="00723D6D"/>
    <w:rsid w:val="00724537"/>
    <w:rsid w:val="00731724"/>
    <w:rsid w:val="0073474B"/>
    <w:rsid w:val="00735511"/>
    <w:rsid w:val="00737208"/>
    <w:rsid w:val="00744DE6"/>
    <w:rsid w:val="00762452"/>
    <w:rsid w:val="007639E0"/>
    <w:rsid w:val="00775507"/>
    <w:rsid w:val="00776A15"/>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0EB3"/>
    <w:rsid w:val="00804108"/>
    <w:rsid w:val="00804FC4"/>
    <w:rsid w:val="00816367"/>
    <w:rsid w:val="00816A0B"/>
    <w:rsid w:val="00824B22"/>
    <w:rsid w:val="00824C05"/>
    <w:rsid w:val="00830C53"/>
    <w:rsid w:val="00837FAA"/>
    <w:rsid w:val="00841F77"/>
    <w:rsid w:val="0085276D"/>
    <w:rsid w:val="00853ECA"/>
    <w:rsid w:val="00863390"/>
    <w:rsid w:val="0086385C"/>
    <w:rsid w:val="00871916"/>
    <w:rsid w:val="00871F07"/>
    <w:rsid w:val="00894A72"/>
    <w:rsid w:val="008956DD"/>
    <w:rsid w:val="008A510E"/>
    <w:rsid w:val="008A522A"/>
    <w:rsid w:val="008B4464"/>
    <w:rsid w:val="008B750B"/>
    <w:rsid w:val="008C3162"/>
    <w:rsid w:val="008D1F14"/>
    <w:rsid w:val="008E22C5"/>
    <w:rsid w:val="008E3924"/>
    <w:rsid w:val="008F13F7"/>
    <w:rsid w:val="008F1DA4"/>
    <w:rsid w:val="008F5B4D"/>
    <w:rsid w:val="00907425"/>
    <w:rsid w:val="00923279"/>
    <w:rsid w:val="00923C34"/>
    <w:rsid w:val="00924152"/>
    <w:rsid w:val="0092513D"/>
    <w:rsid w:val="00927A9F"/>
    <w:rsid w:val="009335CC"/>
    <w:rsid w:val="00935A55"/>
    <w:rsid w:val="00941CEB"/>
    <w:rsid w:val="0094576D"/>
    <w:rsid w:val="0094720F"/>
    <w:rsid w:val="009521A0"/>
    <w:rsid w:val="00953B28"/>
    <w:rsid w:val="00954322"/>
    <w:rsid w:val="00957CAA"/>
    <w:rsid w:val="00966523"/>
    <w:rsid w:val="0096778A"/>
    <w:rsid w:val="00977656"/>
    <w:rsid w:val="009846A7"/>
    <w:rsid w:val="00984847"/>
    <w:rsid w:val="0098794D"/>
    <w:rsid w:val="0099497B"/>
    <w:rsid w:val="009A43BA"/>
    <w:rsid w:val="009B0D05"/>
    <w:rsid w:val="009B283D"/>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6B45"/>
    <w:rsid w:val="00A778B1"/>
    <w:rsid w:val="00A90989"/>
    <w:rsid w:val="00AA1F60"/>
    <w:rsid w:val="00AA40D7"/>
    <w:rsid w:val="00AB5F7D"/>
    <w:rsid w:val="00AC0C50"/>
    <w:rsid w:val="00AC6FE2"/>
    <w:rsid w:val="00AD4DD9"/>
    <w:rsid w:val="00AF3925"/>
    <w:rsid w:val="00B1296B"/>
    <w:rsid w:val="00B2292F"/>
    <w:rsid w:val="00B43169"/>
    <w:rsid w:val="00B501A8"/>
    <w:rsid w:val="00B55AE4"/>
    <w:rsid w:val="00B61E71"/>
    <w:rsid w:val="00B61EBD"/>
    <w:rsid w:val="00B70B46"/>
    <w:rsid w:val="00B739B0"/>
    <w:rsid w:val="00B814A3"/>
    <w:rsid w:val="00B96F38"/>
    <w:rsid w:val="00BB36F8"/>
    <w:rsid w:val="00BC606E"/>
    <w:rsid w:val="00BC716B"/>
    <w:rsid w:val="00BD0E74"/>
    <w:rsid w:val="00BD5F8C"/>
    <w:rsid w:val="00BE29DD"/>
    <w:rsid w:val="00C0245E"/>
    <w:rsid w:val="00C066AF"/>
    <w:rsid w:val="00C10E06"/>
    <w:rsid w:val="00C145B8"/>
    <w:rsid w:val="00C2438F"/>
    <w:rsid w:val="00C25F00"/>
    <w:rsid w:val="00C31AF0"/>
    <w:rsid w:val="00C32A7E"/>
    <w:rsid w:val="00C34F28"/>
    <w:rsid w:val="00C368DF"/>
    <w:rsid w:val="00C442C5"/>
    <w:rsid w:val="00C46FF2"/>
    <w:rsid w:val="00C51902"/>
    <w:rsid w:val="00C57B5C"/>
    <w:rsid w:val="00C57C7C"/>
    <w:rsid w:val="00C61049"/>
    <w:rsid w:val="00C63FFE"/>
    <w:rsid w:val="00C72C36"/>
    <w:rsid w:val="00C91EB6"/>
    <w:rsid w:val="00C93033"/>
    <w:rsid w:val="00CA10B0"/>
    <w:rsid w:val="00CA2F8E"/>
    <w:rsid w:val="00CA3EE2"/>
    <w:rsid w:val="00CA7FD5"/>
    <w:rsid w:val="00CB2B21"/>
    <w:rsid w:val="00CB3287"/>
    <w:rsid w:val="00CB33E2"/>
    <w:rsid w:val="00CB435C"/>
    <w:rsid w:val="00CB4E68"/>
    <w:rsid w:val="00CB648F"/>
    <w:rsid w:val="00CC2733"/>
    <w:rsid w:val="00CD0050"/>
    <w:rsid w:val="00CD1DCA"/>
    <w:rsid w:val="00CE7481"/>
    <w:rsid w:val="00CF0A8F"/>
    <w:rsid w:val="00D048CE"/>
    <w:rsid w:val="00D10998"/>
    <w:rsid w:val="00D15CBD"/>
    <w:rsid w:val="00D221CB"/>
    <w:rsid w:val="00D23391"/>
    <w:rsid w:val="00D31805"/>
    <w:rsid w:val="00D43618"/>
    <w:rsid w:val="00D552B9"/>
    <w:rsid w:val="00D735B2"/>
    <w:rsid w:val="00D74021"/>
    <w:rsid w:val="00D76D01"/>
    <w:rsid w:val="00D85BD6"/>
    <w:rsid w:val="00D86483"/>
    <w:rsid w:val="00D922A9"/>
    <w:rsid w:val="00D9394A"/>
    <w:rsid w:val="00DB0CBB"/>
    <w:rsid w:val="00DB67CC"/>
    <w:rsid w:val="00DC3783"/>
    <w:rsid w:val="00DE1070"/>
    <w:rsid w:val="00E00219"/>
    <w:rsid w:val="00E0316B"/>
    <w:rsid w:val="00E25E10"/>
    <w:rsid w:val="00E47127"/>
    <w:rsid w:val="00E50B41"/>
    <w:rsid w:val="00E5219B"/>
    <w:rsid w:val="00E52D07"/>
    <w:rsid w:val="00E5518B"/>
    <w:rsid w:val="00E609FE"/>
    <w:rsid w:val="00E630BE"/>
    <w:rsid w:val="00E75920"/>
    <w:rsid w:val="00E80427"/>
    <w:rsid w:val="00E80D96"/>
    <w:rsid w:val="00E871FA"/>
    <w:rsid w:val="00E926B4"/>
    <w:rsid w:val="00E936A4"/>
    <w:rsid w:val="00E954BB"/>
    <w:rsid w:val="00EA45E7"/>
    <w:rsid w:val="00EB4D24"/>
    <w:rsid w:val="00EB5400"/>
    <w:rsid w:val="00EB78E3"/>
    <w:rsid w:val="00EB7BE3"/>
    <w:rsid w:val="00EC1C4B"/>
    <w:rsid w:val="00EC735A"/>
    <w:rsid w:val="00ED5F38"/>
    <w:rsid w:val="00EE4A9C"/>
    <w:rsid w:val="00EE655C"/>
    <w:rsid w:val="00EF27FE"/>
    <w:rsid w:val="00F07FB6"/>
    <w:rsid w:val="00F149D0"/>
    <w:rsid w:val="00F16B53"/>
    <w:rsid w:val="00F25ECD"/>
    <w:rsid w:val="00F30424"/>
    <w:rsid w:val="00F318BE"/>
    <w:rsid w:val="00F33297"/>
    <w:rsid w:val="00F343FB"/>
    <w:rsid w:val="00F359FE"/>
    <w:rsid w:val="00F42159"/>
    <w:rsid w:val="00F4256E"/>
    <w:rsid w:val="00F42EE1"/>
    <w:rsid w:val="00F457B1"/>
    <w:rsid w:val="00F53D46"/>
    <w:rsid w:val="00F60C63"/>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24C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2709">
      <w:bodyDiv w:val="1"/>
      <w:marLeft w:val="0"/>
      <w:marRight w:val="0"/>
      <w:marTop w:val="0"/>
      <w:marBottom w:val="0"/>
      <w:divBdr>
        <w:top w:val="none" w:sz="0" w:space="0" w:color="auto"/>
        <w:left w:val="none" w:sz="0" w:space="0" w:color="auto"/>
        <w:bottom w:val="none" w:sz="0" w:space="0" w:color="auto"/>
        <w:right w:val="none" w:sz="0" w:space="0" w:color="auto"/>
      </w:divBdr>
    </w:div>
    <w:div w:id="2209791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4177520">
      <w:bodyDiv w:val="1"/>
      <w:marLeft w:val="0"/>
      <w:marRight w:val="0"/>
      <w:marTop w:val="0"/>
      <w:marBottom w:val="0"/>
      <w:divBdr>
        <w:top w:val="none" w:sz="0" w:space="0" w:color="auto"/>
        <w:left w:val="none" w:sz="0" w:space="0" w:color="auto"/>
        <w:bottom w:val="none" w:sz="0" w:space="0" w:color="auto"/>
        <w:right w:val="none" w:sz="0" w:space="0" w:color="auto"/>
      </w:divBdr>
    </w:div>
    <w:div w:id="185145013">
      <w:bodyDiv w:val="1"/>
      <w:marLeft w:val="0"/>
      <w:marRight w:val="0"/>
      <w:marTop w:val="0"/>
      <w:marBottom w:val="0"/>
      <w:divBdr>
        <w:top w:val="none" w:sz="0" w:space="0" w:color="auto"/>
        <w:left w:val="none" w:sz="0" w:space="0" w:color="auto"/>
        <w:bottom w:val="none" w:sz="0" w:space="0" w:color="auto"/>
        <w:right w:val="none" w:sz="0" w:space="0" w:color="auto"/>
      </w:divBdr>
    </w:div>
    <w:div w:id="18640822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773230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6061976">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2165539">
      <w:bodyDiv w:val="1"/>
      <w:marLeft w:val="0"/>
      <w:marRight w:val="0"/>
      <w:marTop w:val="0"/>
      <w:marBottom w:val="0"/>
      <w:divBdr>
        <w:top w:val="none" w:sz="0" w:space="0" w:color="auto"/>
        <w:left w:val="none" w:sz="0" w:space="0" w:color="auto"/>
        <w:bottom w:val="none" w:sz="0" w:space="0" w:color="auto"/>
        <w:right w:val="none" w:sz="0" w:space="0" w:color="auto"/>
      </w:divBdr>
    </w:div>
    <w:div w:id="372537301">
      <w:bodyDiv w:val="1"/>
      <w:marLeft w:val="0"/>
      <w:marRight w:val="0"/>
      <w:marTop w:val="0"/>
      <w:marBottom w:val="0"/>
      <w:divBdr>
        <w:top w:val="none" w:sz="0" w:space="0" w:color="auto"/>
        <w:left w:val="none" w:sz="0" w:space="0" w:color="auto"/>
        <w:bottom w:val="none" w:sz="0" w:space="0" w:color="auto"/>
        <w:right w:val="none" w:sz="0" w:space="0" w:color="auto"/>
      </w:divBdr>
    </w:div>
    <w:div w:id="466430949">
      <w:bodyDiv w:val="1"/>
      <w:marLeft w:val="0"/>
      <w:marRight w:val="0"/>
      <w:marTop w:val="0"/>
      <w:marBottom w:val="0"/>
      <w:divBdr>
        <w:top w:val="none" w:sz="0" w:space="0" w:color="auto"/>
        <w:left w:val="none" w:sz="0" w:space="0" w:color="auto"/>
        <w:bottom w:val="none" w:sz="0" w:space="0" w:color="auto"/>
        <w:right w:val="none" w:sz="0" w:space="0" w:color="auto"/>
      </w:divBdr>
    </w:div>
    <w:div w:id="47383495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9509803">
      <w:bodyDiv w:val="1"/>
      <w:marLeft w:val="0"/>
      <w:marRight w:val="0"/>
      <w:marTop w:val="0"/>
      <w:marBottom w:val="0"/>
      <w:divBdr>
        <w:top w:val="none" w:sz="0" w:space="0" w:color="auto"/>
        <w:left w:val="none" w:sz="0" w:space="0" w:color="auto"/>
        <w:bottom w:val="none" w:sz="0" w:space="0" w:color="auto"/>
        <w:right w:val="none" w:sz="0" w:space="0" w:color="auto"/>
      </w:divBdr>
    </w:div>
    <w:div w:id="549459603">
      <w:bodyDiv w:val="1"/>
      <w:marLeft w:val="0"/>
      <w:marRight w:val="0"/>
      <w:marTop w:val="0"/>
      <w:marBottom w:val="0"/>
      <w:divBdr>
        <w:top w:val="none" w:sz="0" w:space="0" w:color="auto"/>
        <w:left w:val="none" w:sz="0" w:space="0" w:color="auto"/>
        <w:bottom w:val="none" w:sz="0" w:space="0" w:color="auto"/>
        <w:right w:val="none" w:sz="0" w:space="0" w:color="auto"/>
      </w:divBdr>
    </w:div>
    <w:div w:id="554512774">
      <w:bodyDiv w:val="1"/>
      <w:marLeft w:val="0"/>
      <w:marRight w:val="0"/>
      <w:marTop w:val="0"/>
      <w:marBottom w:val="0"/>
      <w:divBdr>
        <w:top w:val="none" w:sz="0" w:space="0" w:color="auto"/>
        <w:left w:val="none" w:sz="0" w:space="0" w:color="auto"/>
        <w:bottom w:val="none" w:sz="0" w:space="0" w:color="auto"/>
        <w:right w:val="none" w:sz="0" w:space="0" w:color="auto"/>
      </w:divBdr>
    </w:div>
    <w:div w:id="61224572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8167996">
      <w:bodyDiv w:val="1"/>
      <w:marLeft w:val="0"/>
      <w:marRight w:val="0"/>
      <w:marTop w:val="0"/>
      <w:marBottom w:val="0"/>
      <w:divBdr>
        <w:top w:val="none" w:sz="0" w:space="0" w:color="auto"/>
        <w:left w:val="none" w:sz="0" w:space="0" w:color="auto"/>
        <w:bottom w:val="none" w:sz="0" w:space="0" w:color="auto"/>
        <w:right w:val="none" w:sz="0" w:space="0" w:color="auto"/>
      </w:divBdr>
    </w:div>
    <w:div w:id="659388146">
      <w:bodyDiv w:val="1"/>
      <w:marLeft w:val="0"/>
      <w:marRight w:val="0"/>
      <w:marTop w:val="0"/>
      <w:marBottom w:val="0"/>
      <w:divBdr>
        <w:top w:val="none" w:sz="0" w:space="0" w:color="auto"/>
        <w:left w:val="none" w:sz="0" w:space="0" w:color="auto"/>
        <w:bottom w:val="none" w:sz="0" w:space="0" w:color="auto"/>
        <w:right w:val="none" w:sz="0" w:space="0" w:color="auto"/>
      </w:divBdr>
    </w:div>
    <w:div w:id="683476073">
      <w:bodyDiv w:val="1"/>
      <w:marLeft w:val="0"/>
      <w:marRight w:val="0"/>
      <w:marTop w:val="0"/>
      <w:marBottom w:val="0"/>
      <w:divBdr>
        <w:top w:val="none" w:sz="0" w:space="0" w:color="auto"/>
        <w:left w:val="none" w:sz="0" w:space="0" w:color="auto"/>
        <w:bottom w:val="none" w:sz="0" w:space="0" w:color="auto"/>
        <w:right w:val="none" w:sz="0" w:space="0" w:color="auto"/>
      </w:divBdr>
    </w:div>
    <w:div w:id="710803467">
      <w:bodyDiv w:val="1"/>
      <w:marLeft w:val="0"/>
      <w:marRight w:val="0"/>
      <w:marTop w:val="0"/>
      <w:marBottom w:val="0"/>
      <w:divBdr>
        <w:top w:val="none" w:sz="0" w:space="0" w:color="auto"/>
        <w:left w:val="none" w:sz="0" w:space="0" w:color="auto"/>
        <w:bottom w:val="none" w:sz="0" w:space="0" w:color="auto"/>
        <w:right w:val="none" w:sz="0" w:space="0" w:color="auto"/>
      </w:divBdr>
    </w:div>
    <w:div w:id="801339608">
      <w:bodyDiv w:val="1"/>
      <w:marLeft w:val="0"/>
      <w:marRight w:val="0"/>
      <w:marTop w:val="0"/>
      <w:marBottom w:val="0"/>
      <w:divBdr>
        <w:top w:val="none" w:sz="0" w:space="0" w:color="auto"/>
        <w:left w:val="none" w:sz="0" w:space="0" w:color="auto"/>
        <w:bottom w:val="none" w:sz="0" w:space="0" w:color="auto"/>
        <w:right w:val="none" w:sz="0" w:space="0" w:color="auto"/>
      </w:divBdr>
    </w:div>
    <w:div w:id="806556510">
      <w:bodyDiv w:val="1"/>
      <w:marLeft w:val="0"/>
      <w:marRight w:val="0"/>
      <w:marTop w:val="0"/>
      <w:marBottom w:val="0"/>
      <w:divBdr>
        <w:top w:val="none" w:sz="0" w:space="0" w:color="auto"/>
        <w:left w:val="none" w:sz="0" w:space="0" w:color="auto"/>
        <w:bottom w:val="none" w:sz="0" w:space="0" w:color="auto"/>
        <w:right w:val="none" w:sz="0" w:space="0" w:color="auto"/>
      </w:divBdr>
    </w:div>
    <w:div w:id="816458086">
      <w:bodyDiv w:val="1"/>
      <w:marLeft w:val="0"/>
      <w:marRight w:val="0"/>
      <w:marTop w:val="0"/>
      <w:marBottom w:val="0"/>
      <w:divBdr>
        <w:top w:val="none" w:sz="0" w:space="0" w:color="auto"/>
        <w:left w:val="none" w:sz="0" w:space="0" w:color="auto"/>
        <w:bottom w:val="none" w:sz="0" w:space="0" w:color="auto"/>
        <w:right w:val="none" w:sz="0" w:space="0" w:color="auto"/>
      </w:divBdr>
    </w:div>
    <w:div w:id="844367450">
      <w:bodyDiv w:val="1"/>
      <w:marLeft w:val="0"/>
      <w:marRight w:val="0"/>
      <w:marTop w:val="0"/>
      <w:marBottom w:val="0"/>
      <w:divBdr>
        <w:top w:val="none" w:sz="0" w:space="0" w:color="auto"/>
        <w:left w:val="none" w:sz="0" w:space="0" w:color="auto"/>
        <w:bottom w:val="none" w:sz="0" w:space="0" w:color="auto"/>
        <w:right w:val="none" w:sz="0" w:space="0" w:color="auto"/>
      </w:divBdr>
    </w:div>
    <w:div w:id="862015804">
      <w:bodyDiv w:val="1"/>
      <w:marLeft w:val="0"/>
      <w:marRight w:val="0"/>
      <w:marTop w:val="0"/>
      <w:marBottom w:val="0"/>
      <w:divBdr>
        <w:top w:val="none" w:sz="0" w:space="0" w:color="auto"/>
        <w:left w:val="none" w:sz="0" w:space="0" w:color="auto"/>
        <w:bottom w:val="none" w:sz="0" w:space="0" w:color="auto"/>
        <w:right w:val="none" w:sz="0" w:space="0" w:color="auto"/>
      </w:divBdr>
    </w:div>
    <w:div w:id="935603136">
      <w:bodyDiv w:val="1"/>
      <w:marLeft w:val="0"/>
      <w:marRight w:val="0"/>
      <w:marTop w:val="0"/>
      <w:marBottom w:val="0"/>
      <w:divBdr>
        <w:top w:val="none" w:sz="0" w:space="0" w:color="auto"/>
        <w:left w:val="none" w:sz="0" w:space="0" w:color="auto"/>
        <w:bottom w:val="none" w:sz="0" w:space="0" w:color="auto"/>
        <w:right w:val="none" w:sz="0" w:space="0" w:color="auto"/>
      </w:divBdr>
    </w:div>
    <w:div w:id="940799119">
      <w:bodyDiv w:val="1"/>
      <w:marLeft w:val="0"/>
      <w:marRight w:val="0"/>
      <w:marTop w:val="0"/>
      <w:marBottom w:val="0"/>
      <w:divBdr>
        <w:top w:val="none" w:sz="0" w:space="0" w:color="auto"/>
        <w:left w:val="none" w:sz="0" w:space="0" w:color="auto"/>
        <w:bottom w:val="none" w:sz="0" w:space="0" w:color="auto"/>
        <w:right w:val="none" w:sz="0" w:space="0" w:color="auto"/>
      </w:divBdr>
    </w:div>
    <w:div w:id="985932408">
      <w:bodyDiv w:val="1"/>
      <w:marLeft w:val="0"/>
      <w:marRight w:val="0"/>
      <w:marTop w:val="0"/>
      <w:marBottom w:val="0"/>
      <w:divBdr>
        <w:top w:val="none" w:sz="0" w:space="0" w:color="auto"/>
        <w:left w:val="none" w:sz="0" w:space="0" w:color="auto"/>
        <w:bottom w:val="none" w:sz="0" w:space="0" w:color="auto"/>
        <w:right w:val="none" w:sz="0" w:space="0" w:color="auto"/>
      </w:divBdr>
    </w:div>
    <w:div w:id="1034382951">
      <w:bodyDiv w:val="1"/>
      <w:marLeft w:val="0"/>
      <w:marRight w:val="0"/>
      <w:marTop w:val="0"/>
      <w:marBottom w:val="0"/>
      <w:divBdr>
        <w:top w:val="none" w:sz="0" w:space="0" w:color="auto"/>
        <w:left w:val="none" w:sz="0" w:space="0" w:color="auto"/>
        <w:bottom w:val="none" w:sz="0" w:space="0" w:color="auto"/>
        <w:right w:val="none" w:sz="0" w:space="0" w:color="auto"/>
      </w:divBdr>
    </w:div>
    <w:div w:id="108930603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0188017">
      <w:bodyDiv w:val="1"/>
      <w:marLeft w:val="0"/>
      <w:marRight w:val="0"/>
      <w:marTop w:val="0"/>
      <w:marBottom w:val="0"/>
      <w:divBdr>
        <w:top w:val="none" w:sz="0" w:space="0" w:color="auto"/>
        <w:left w:val="none" w:sz="0" w:space="0" w:color="auto"/>
        <w:bottom w:val="none" w:sz="0" w:space="0" w:color="auto"/>
        <w:right w:val="none" w:sz="0" w:space="0" w:color="auto"/>
      </w:divBdr>
    </w:div>
    <w:div w:id="1230270662">
      <w:bodyDiv w:val="1"/>
      <w:marLeft w:val="0"/>
      <w:marRight w:val="0"/>
      <w:marTop w:val="0"/>
      <w:marBottom w:val="0"/>
      <w:divBdr>
        <w:top w:val="none" w:sz="0" w:space="0" w:color="auto"/>
        <w:left w:val="none" w:sz="0" w:space="0" w:color="auto"/>
        <w:bottom w:val="none" w:sz="0" w:space="0" w:color="auto"/>
        <w:right w:val="none" w:sz="0" w:space="0" w:color="auto"/>
      </w:divBdr>
    </w:div>
    <w:div w:id="1247691375">
      <w:bodyDiv w:val="1"/>
      <w:marLeft w:val="0"/>
      <w:marRight w:val="0"/>
      <w:marTop w:val="0"/>
      <w:marBottom w:val="0"/>
      <w:divBdr>
        <w:top w:val="none" w:sz="0" w:space="0" w:color="auto"/>
        <w:left w:val="none" w:sz="0" w:space="0" w:color="auto"/>
        <w:bottom w:val="none" w:sz="0" w:space="0" w:color="auto"/>
        <w:right w:val="none" w:sz="0" w:space="0" w:color="auto"/>
      </w:divBdr>
    </w:div>
    <w:div w:id="1297833517">
      <w:bodyDiv w:val="1"/>
      <w:marLeft w:val="0"/>
      <w:marRight w:val="0"/>
      <w:marTop w:val="0"/>
      <w:marBottom w:val="0"/>
      <w:divBdr>
        <w:top w:val="none" w:sz="0" w:space="0" w:color="auto"/>
        <w:left w:val="none" w:sz="0" w:space="0" w:color="auto"/>
        <w:bottom w:val="none" w:sz="0" w:space="0" w:color="auto"/>
        <w:right w:val="none" w:sz="0" w:space="0" w:color="auto"/>
      </w:divBdr>
    </w:div>
    <w:div w:id="1312907492">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4235785">
      <w:bodyDiv w:val="1"/>
      <w:marLeft w:val="0"/>
      <w:marRight w:val="0"/>
      <w:marTop w:val="0"/>
      <w:marBottom w:val="0"/>
      <w:divBdr>
        <w:top w:val="none" w:sz="0" w:space="0" w:color="auto"/>
        <w:left w:val="none" w:sz="0" w:space="0" w:color="auto"/>
        <w:bottom w:val="none" w:sz="0" w:space="0" w:color="auto"/>
        <w:right w:val="none" w:sz="0" w:space="0" w:color="auto"/>
      </w:divBdr>
    </w:div>
    <w:div w:id="1326669211">
      <w:bodyDiv w:val="1"/>
      <w:marLeft w:val="0"/>
      <w:marRight w:val="0"/>
      <w:marTop w:val="0"/>
      <w:marBottom w:val="0"/>
      <w:divBdr>
        <w:top w:val="none" w:sz="0" w:space="0" w:color="auto"/>
        <w:left w:val="none" w:sz="0" w:space="0" w:color="auto"/>
        <w:bottom w:val="none" w:sz="0" w:space="0" w:color="auto"/>
        <w:right w:val="none" w:sz="0" w:space="0" w:color="auto"/>
      </w:divBdr>
    </w:div>
    <w:div w:id="135157097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7101745">
      <w:bodyDiv w:val="1"/>
      <w:marLeft w:val="0"/>
      <w:marRight w:val="0"/>
      <w:marTop w:val="0"/>
      <w:marBottom w:val="0"/>
      <w:divBdr>
        <w:top w:val="none" w:sz="0" w:space="0" w:color="auto"/>
        <w:left w:val="none" w:sz="0" w:space="0" w:color="auto"/>
        <w:bottom w:val="none" w:sz="0" w:space="0" w:color="auto"/>
        <w:right w:val="none" w:sz="0" w:space="0" w:color="auto"/>
      </w:divBdr>
    </w:div>
    <w:div w:id="1407605086">
      <w:bodyDiv w:val="1"/>
      <w:marLeft w:val="0"/>
      <w:marRight w:val="0"/>
      <w:marTop w:val="0"/>
      <w:marBottom w:val="0"/>
      <w:divBdr>
        <w:top w:val="none" w:sz="0" w:space="0" w:color="auto"/>
        <w:left w:val="none" w:sz="0" w:space="0" w:color="auto"/>
        <w:bottom w:val="none" w:sz="0" w:space="0" w:color="auto"/>
        <w:right w:val="none" w:sz="0" w:space="0" w:color="auto"/>
      </w:divBdr>
    </w:div>
    <w:div w:id="1449202446">
      <w:bodyDiv w:val="1"/>
      <w:marLeft w:val="0"/>
      <w:marRight w:val="0"/>
      <w:marTop w:val="0"/>
      <w:marBottom w:val="0"/>
      <w:divBdr>
        <w:top w:val="none" w:sz="0" w:space="0" w:color="auto"/>
        <w:left w:val="none" w:sz="0" w:space="0" w:color="auto"/>
        <w:bottom w:val="none" w:sz="0" w:space="0" w:color="auto"/>
        <w:right w:val="none" w:sz="0" w:space="0" w:color="auto"/>
      </w:divBdr>
    </w:div>
    <w:div w:id="1455053950">
      <w:bodyDiv w:val="1"/>
      <w:marLeft w:val="0"/>
      <w:marRight w:val="0"/>
      <w:marTop w:val="0"/>
      <w:marBottom w:val="0"/>
      <w:divBdr>
        <w:top w:val="none" w:sz="0" w:space="0" w:color="auto"/>
        <w:left w:val="none" w:sz="0" w:space="0" w:color="auto"/>
        <w:bottom w:val="none" w:sz="0" w:space="0" w:color="auto"/>
        <w:right w:val="none" w:sz="0" w:space="0" w:color="auto"/>
      </w:divBdr>
    </w:div>
    <w:div w:id="1469324487">
      <w:bodyDiv w:val="1"/>
      <w:marLeft w:val="0"/>
      <w:marRight w:val="0"/>
      <w:marTop w:val="0"/>
      <w:marBottom w:val="0"/>
      <w:divBdr>
        <w:top w:val="none" w:sz="0" w:space="0" w:color="auto"/>
        <w:left w:val="none" w:sz="0" w:space="0" w:color="auto"/>
        <w:bottom w:val="none" w:sz="0" w:space="0" w:color="auto"/>
        <w:right w:val="none" w:sz="0" w:space="0" w:color="auto"/>
      </w:divBdr>
    </w:div>
    <w:div w:id="1513179342">
      <w:bodyDiv w:val="1"/>
      <w:marLeft w:val="0"/>
      <w:marRight w:val="0"/>
      <w:marTop w:val="0"/>
      <w:marBottom w:val="0"/>
      <w:divBdr>
        <w:top w:val="none" w:sz="0" w:space="0" w:color="auto"/>
        <w:left w:val="none" w:sz="0" w:space="0" w:color="auto"/>
        <w:bottom w:val="none" w:sz="0" w:space="0" w:color="auto"/>
        <w:right w:val="none" w:sz="0" w:space="0" w:color="auto"/>
      </w:divBdr>
    </w:div>
    <w:div w:id="1525708257">
      <w:bodyDiv w:val="1"/>
      <w:marLeft w:val="0"/>
      <w:marRight w:val="0"/>
      <w:marTop w:val="0"/>
      <w:marBottom w:val="0"/>
      <w:divBdr>
        <w:top w:val="none" w:sz="0" w:space="0" w:color="auto"/>
        <w:left w:val="none" w:sz="0" w:space="0" w:color="auto"/>
        <w:bottom w:val="none" w:sz="0" w:space="0" w:color="auto"/>
        <w:right w:val="none" w:sz="0" w:space="0" w:color="auto"/>
      </w:divBdr>
    </w:div>
    <w:div w:id="1537766870">
      <w:bodyDiv w:val="1"/>
      <w:marLeft w:val="0"/>
      <w:marRight w:val="0"/>
      <w:marTop w:val="0"/>
      <w:marBottom w:val="0"/>
      <w:divBdr>
        <w:top w:val="none" w:sz="0" w:space="0" w:color="auto"/>
        <w:left w:val="none" w:sz="0" w:space="0" w:color="auto"/>
        <w:bottom w:val="none" w:sz="0" w:space="0" w:color="auto"/>
        <w:right w:val="none" w:sz="0" w:space="0" w:color="auto"/>
      </w:divBdr>
    </w:div>
    <w:div w:id="1540124485">
      <w:bodyDiv w:val="1"/>
      <w:marLeft w:val="0"/>
      <w:marRight w:val="0"/>
      <w:marTop w:val="0"/>
      <w:marBottom w:val="0"/>
      <w:divBdr>
        <w:top w:val="none" w:sz="0" w:space="0" w:color="auto"/>
        <w:left w:val="none" w:sz="0" w:space="0" w:color="auto"/>
        <w:bottom w:val="none" w:sz="0" w:space="0" w:color="auto"/>
        <w:right w:val="none" w:sz="0" w:space="0" w:color="auto"/>
      </w:divBdr>
    </w:div>
    <w:div w:id="154293701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6304458">
      <w:bodyDiv w:val="1"/>
      <w:marLeft w:val="0"/>
      <w:marRight w:val="0"/>
      <w:marTop w:val="0"/>
      <w:marBottom w:val="0"/>
      <w:divBdr>
        <w:top w:val="none" w:sz="0" w:space="0" w:color="auto"/>
        <w:left w:val="none" w:sz="0" w:space="0" w:color="auto"/>
        <w:bottom w:val="none" w:sz="0" w:space="0" w:color="auto"/>
        <w:right w:val="none" w:sz="0" w:space="0" w:color="auto"/>
      </w:divBdr>
    </w:div>
    <w:div w:id="1685672114">
      <w:bodyDiv w:val="1"/>
      <w:marLeft w:val="0"/>
      <w:marRight w:val="0"/>
      <w:marTop w:val="0"/>
      <w:marBottom w:val="0"/>
      <w:divBdr>
        <w:top w:val="none" w:sz="0" w:space="0" w:color="auto"/>
        <w:left w:val="none" w:sz="0" w:space="0" w:color="auto"/>
        <w:bottom w:val="none" w:sz="0" w:space="0" w:color="auto"/>
        <w:right w:val="none" w:sz="0" w:space="0" w:color="auto"/>
      </w:divBdr>
    </w:div>
    <w:div w:id="1693602770">
      <w:bodyDiv w:val="1"/>
      <w:marLeft w:val="0"/>
      <w:marRight w:val="0"/>
      <w:marTop w:val="0"/>
      <w:marBottom w:val="0"/>
      <w:divBdr>
        <w:top w:val="none" w:sz="0" w:space="0" w:color="auto"/>
        <w:left w:val="none" w:sz="0" w:space="0" w:color="auto"/>
        <w:bottom w:val="none" w:sz="0" w:space="0" w:color="auto"/>
        <w:right w:val="none" w:sz="0" w:space="0" w:color="auto"/>
      </w:divBdr>
    </w:div>
    <w:div w:id="1708990457">
      <w:bodyDiv w:val="1"/>
      <w:marLeft w:val="0"/>
      <w:marRight w:val="0"/>
      <w:marTop w:val="0"/>
      <w:marBottom w:val="0"/>
      <w:divBdr>
        <w:top w:val="none" w:sz="0" w:space="0" w:color="auto"/>
        <w:left w:val="none" w:sz="0" w:space="0" w:color="auto"/>
        <w:bottom w:val="none" w:sz="0" w:space="0" w:color="auto"/>
        <w:right w:val="none" w:sz="0" w:space="0" w:color="auto"/>
      </w:divBdr>
    </w:div>
    <w:div w:id="1730420276">
      <w:bodyDiv w:val="1"/>
      <w:marLeft w:val="0"/>
      <w:marRight w:val="0"/>
      <w:marTop w:val="0"/>
      <w:marBottom w:val="0"/>
      <w:divBdr>
        <w:top w:val="none" w:sz="0" w:space="0" w:color="auto"/>
        <w:left w:val="none" w:sz="0" w:space="0" w:color="auto"/>
        <w:bottom w:val="none" w:sz="0" w:space="0" w:color="auto"/>
        <w:right w:val="none" w:sz="0" w:space="0" w:color="auto"/>
      </w:divBdr>
    </w:div>
    <w:div w:id="1732384680">
      <w:bodyDiv w:val="1"/>
      <w:marLeft w:val="0"/>
      <w:marRight w:val="0"/>
      <w:marTop w:val="0"/>
      <w:marBottom w:val="0"/>
      <w:divBdr>
        <w:top w:val="none" w:sz="0" w:space="0" w:color="auto"/>
        <w:left w:val="none" w:sz="0" w:space="0" w:color="auto"/>
        <w:bottom w:val="none" w:sz="0" w:space="0" w:color="auto"/>
        <w:right w:val="none" w:sz="0" w:space="0" w:color="auto"/>
      </w:divBdr>
    </w:div>
    <w:div w:id="177964199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2529684">
      <w:bodyDiv w:val="1"/>
      <w:marLeft w:val="0"/>
      <w:marRight w:val="0"/>
      <w:marTop w:val="0"/>
      <w:marBottom w:val="0"/>
      <w:divBdr>
        <w:top w:val="none" w:sz="0" w:space="0" w:color="auto"/>
        <w:left w:val="none" w:sz="0" w:space="0" w:color="auto"/>
        <w:bottom w:val="none" w:sz="0" w:space="0" w:color="auto"/>
        <w:right w:val="none" w:sz="0" w:space="0" w:color="auto"/>
      </w:divBdr>
    </w:div>
    <w:div w:id="1816873366">
      <w:bodyDiv w:val="1"/>
      <w:marLeft w:val="0"/>
      <w:marRight w:val="0"/>
      <w:marTop w:val="0"/>
      <w:marBottom w:val="0"/>
      <w:divBdr>
        <w:top w:val="none" w:sz="0" w:space="0" w:color="auto"/>
        <w:left w:val="none" w:sz="0" w:space="0" w:color="auto"/>
        <w:bottom w:val="none" w:sz="0" w:space="0" w:color="auto"/>
        <w:right w:val="none" w:sz="0" w:space="0" w:color="auto"/>
      </w:divBdr>
    </w:div>
    <w:div w:id="1858807438">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1865035">
      <w:bodyDiv w:val="1"/>
      <w:marLeft w:val="0"/>
      <w:marRight w:val="0"/>
      <w:marTop w:val="0"/>
      <w:marBottom w:val="0"/>
      <w:divBdr>
        <w:top w:val="none" w:sz="0" w:space="0" w:color="auto"/>
        <w:left w:val="none" w:sz="0" w:space="0" w:color="auto"/>
        <w:bottom w:val="none" w:sz="0" w:space="0" w:color="auto"/>
        <w:right w:val="none" w:sz="0" w:space="0" w:color="auto"/>
      </w:divBdr>
    </w:div>
    <w:div w:id="200096010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6219664">
      <w:bodyDiv w:val="1"/>
      <w:marLeft w:val="0"/>
      <w:marRight w:val="0"/>
      <w:marTop w:val="0"/>
      <w:marBottom w:val="0"/>
      <w:divBdr>
        <w:top w:val="none" w:sz="0" w:space="0" w:color="auto"/>
        <w:left w:val="none" w:sz="0" w:space="0" w:color="auto"/>
        <w:bottom w:val="none" w:sz="0" w:space="0" w:color="auto"/>
        <w:right w:val="none" w:sz="0" w:space="0" w:color="auto"/>
      </w:divBdr>
    </w:div>
    <w:div w:id="208791721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86722/1/355/&#1605;&#1588;&#1608;&#1588;&#1577;" TargetMode="External"/><Relationship Id="rId3" Type="http://schemas.openxmlformats.org/officeDocument/2006/relationships/hyperlink" Target="http://lib.eshia.ir/71660/11/334/&#1740;&#1582;&#1604;&#1608;" TargetMode="External"/><Relationship Id="rId7" Type="http://schemas.openxmlformats.org/officeDocument/2006/relationships/hyperlink" Target="http://lib.eshia.ir/10013/2/33/&#1575;&#1604;&#1578;&#1607;&#1575;&#1601;&#1578;" TargetMode="External"/><Relationship Id="rId2" Type="http://schemas.openxmlformats.org/officeDocument/2006/relationships/hyperlink" Target="http://lib.eshia.ir/14028/1/290/&#1575;&#1604;&#1587;&#1575;&#1576;&#1575;&#1591;&#1740;" TargetMode="External"/><Relationship Id="rId1" Type="http://schemas.openxmlformats.org/officeDocument/2006/relationships/hyperlink" Target="http://lib.eshia.ir/10083/7/101/&#1575;&#1585;&#1576;&#1593;&#1577;" TargetMode="External"/><Relationship Id="rId6" Type="http://schemas.openxmlformats.org/officeDocument/2006/relationships/hyperlink" Target="http://lib.eshia.ir/71860/84/73/&#1608;&#1604;&#1606;&#1608;&#1590;&#1581;" TargetMode="External"/><Relationship Id="rId5" Type="http://schemas.openxmlformats.org/officeDocument/2006/relationships/hyperlink" Target="http://lib.eshia.ir/71660/7/198/&#1581;&#1586;&#1575;&#1586;&#1575;&#1578;" TargetMode="External"/><Relationship Id="rId10" Type="http://schemas.openxmlformats.org/officeDocument/2006/relationships/hyperlink" Target="http://lib.eshia.ir/10088/8/322/&#1582;&#1589;&#1608;&#1589;&#1575;" TargetMode="External"/><Relationship Id="rId4" Type="http://schemas.openxmlformats.org/officeDocument/2006/relationships/hyperlink" Target="http://lib.eshia.ir/71660/6/237/&#1575;&#1604;&#1594;&#1585;&#1575;&#1574;&#1576;" TargetMode="External"/><Relationship Id="rId9" Type="http://schemas.openxmlformats.org/officeDocument/2006/relationships/hyperlink" Target="http://lib.eshia.ir/10088/6/257/&#1582;&#1589;&#1608;&#1589;&#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499E6-A6B3-4CD3-AB22-CF23CF57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316</TotalTime>
  <Pages>6</Pages>
  <Words>915</Words>
  <Characters>5220</Characters>
  <Application>Microsoft Office Word</Application>
  <DocSecurity>0</DocSecurity>
  <Lines>43</Lines>
  <Paragraphs>12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6123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86</cp:revision>
  <dcterms:created xsi:type="dcterms:W3CDTF">2020-11-29T16:24:00Z</dcterms:created>
  <dcterms:modified xsi:type="dcterms:W3CDTF">2020-12-09T04:15:00Z</dcterms:modified>
  <cp:contentStatus>ویرایش 2.5</cp:contentStatus>
  <cp:version>2.7</cp:version>
</cp:coreProperties>
</file>