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F3" w:rsidRDefault="00112CF3" w:rsidP="00112CF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112CF3" w:rsidRDefault="00112CF3" w:rsidP="00112CF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595C40">
        <w:rPr>
          <w:rFonts w:ascii="IRANSans" w:hAnsi="IRANSans" w:cs="IRANSans"/>
          <w:b/>
          <w:bCs/>
          <w:color w:val="0101FF"/>
          <w:sz w:val="24"/>
          <w:szCs w:val="24"/>
          <w:shd w:val="clear" w:color="auto" w:fill="FFFFFF"/>
          <w:rtl/>
        </w:rPr>
        <w:t>مساله</w:t>
      </w:r>
      <w:r w:rsidRPr="00595C40">
        <w:rPr>
          <w:rFonts w:ascii="IRANSans" w:hAnsi="IRANSans" w:cs="IRANSans" w:hint="cs"/>
          <w:b/>
          <w:bCs/>
          <w:color w:val="0101FF"/>
          <w:sz w:val="24"/>
          <w:szCs w:val="24"/>
          <w:shd w:val="clear" w:color="auto" w:fill="FFFFFF"/>
          <w:rtl/>
        </w:rPr>
        <w:t>‌ی</w:t>
      </w:r>
      <w:r w:rsidRPr="00595C40">
        <w:rPr>
          <w:rFonts w:ascii="IRANSans" w:hAnsi="IRANSans" w:cs="IRANSans"/>
          <w:b/>
          <w:bCs/>
          <w:color w:val="0101FF"/>
          <w:sz w:val="24"/>
          <w:szCs w:val="24"/>
          <w:shd w:val="clear" w:color="auto" w:fill="FFFFFF"/>
          <w:rtl/>
        </w:rPr>
        <w:t xml:space="preserve"> دوم ( حداد)</w:t>
      </w:r>
      <w:r w:rsidRPr="00595C40">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AE5220" w:rsidP="003D68BF">
      <w:pPr>
        <w:pBdr>
          <w:bottom w:val="double" w:sz="6" w:space="1" w:color="auto"/>
        </w:pBdr>
        <w:jc w:val="both"/>
        <w:rPr>
          <w:rtl/>
        </w:rPr>
      </w:pPr>
      <w:r>
        <w:rPr>
          <w:rFonts w:hint="cs"/>
          <w:rtl/>
        </w:rPr>
        <w:t>بحث در مسائل عده</w:t>
      </w:r>
      <w:r>
        <w:rPr>
          <w:rFonts w:hint="eastAsia"/>
          <w:rtl/>
        </w:rPr>
        <w:t>‌</w:t>
      </w:r>
      <w:r>
        <w:rPr>
          <w:rFonts w:hint="cs"/>
          <w:rtl/>
        </w:rPr>
        <w:t>ی وفات تکمله</w:t>
      </w:r>
      <w:r>
        <w:rPr>
          <w:rFonts w:hint="eastAsia"/>
          <w:rtl/>
        </w:rPr>
        <w:t>‌</w:t>
      </w:r>
      <w:r>
        <w:rPr>
          <w:rFonts w:hint="cs"/>
          <w:rtl/>
        </w:rPr>
        <w:t>ی عروه بود. به مساله</w:t>
      </w:r>
      <w:r>
        <w:rPr>
          <w:rFonts w:hint="eastAsia"/>
          <w:rtl/>
        </w:rPr>
        <w:t>‌</w:t>
      </w:r>
      <w:r>
        <w:rPr>
          <w:rFonts w:hint="cs"/>
          <w:rtl/>
        </w:rPr>
        <w:t>ی دوم و وجوب حداد در ایام عده</w:t>
      </w:r>
      <w:r>
        <w:rPr>
          <w:rFonts w:hint="eastAsia"/>
          <w:rtl/>
        </w:rPr>
        <w:t>‌</w:t>
      </w:r>
      <w:r>
        <w:rPr>
          <w:rFonts w:hint="cs"/>
          <w:rtl/>
        </w:rPr>
        <w:t>ی وفات رسیدیم.</w:t>
      </w:r>
    </w:p>
    <w:p w:rsidR="00247D2F" w:rsidRPr="003A6148" w:rsidRDefault="00247D2F" w:rsidP="003D68BF">
      <w:pPr>
        <w:pBdr>
          <w:bottom w:val="double" w:sz="6" w:space="1" w:color="auto"/>
        </w:pBdr>
        <w:jc w:val="both"/>
      </w:pPr>
    </w:p>
    <w:p w:rsidR="008F5B4D" w:rsidRDefault="008F5B4D" w:rsidP="003D68BF">
      <w:pPr>
        <w:jc w:val="both"/>
      </w:pPr>
    </w:p>
    <w:p w:rsidR="003E6650" w:rsidRDefault="00AE5220" w:rsidP="00AE5220">
      <w:pPr>
        <w:pStyle w:val="Heading1"/>
        <w:rPr>
          <w:rtl/>
        </w:rPr>
      </w:pPr>
      <w:bookmarkStart w:id="1" w:name="_Toc57488468"/>
      <w:bookmarkStart w:id="2" w:name="_Toc57489285"/>
      <w:r>
        <w:rPr>
          <w:rFonts w:hint="cs"/>
          <w:rtl/>
        </w:rPr>
        <w:t>کلام سید یزدی در تکمله</w:t>
      </w:r>
      <w:r>
        <w:rPr>
          <w:rFonts w:hint="eastAsia"/>
          <w:rtl/>
        </w:rPr>
        <w:t>‌</w:t>
      </w:r>
      <w:r>
        <w:rPr>
          <w:rFonts w:hint="cs"/>
          <w:rtl/>
        </w:rPr>
        <w:t>ی عروه</w:t>
      </w:r>
      <w:bookmarkEnd w:id="1"/>
      <w:bookmarkEnd w:id="2"/>
    </w:p>
    <w:p w:rsidR="00AE5220" w:rsidRPr="001A27D7" w:rsidRDefault="00AE5220" w:rsidP="003D68BF">
      <w:pPr>
        <w:jc w:val="both"/>
        <w:rPr>
          <w:rtl/>
        </w:rPr>
      </w:pPr>
      <w:r>
        <w:rPr>
          <w:rFonts w:hint="cs"/>
          <w:rtl/>
        </w:rPr>
        <w:t xml:space="preserve">مرحوم سید یزدی پس از بیان توضیحاتی در مورد حداد می فرماید: </w:t>
      </w:r>
      <w:r w:rsidR="008C49AD" w:rsidRPr="00374A8D">
        <w:rPr>
          <w:rFonts w:hint="cs"/>
          <w:color w:val="0000FF"/>
          <w:rtl/>
        </w:rPr>
        <w:t>و يدل على وجوب ترك الزينة الإجماع و الأخبار المستفيضة، نعم لا بأس بها مع الضرورة و عليها يحمل إطلاق الجواز في بعض الأخبار</w:t>
      </w:r>
      <w:r w:rsidR="008C49AD">
        <w:rPr>
          <w:rStyle w:val="FootnoteReference"/>
          <w:color w:val="0000FF"/>
          <w:rtl/>
        </w:rPr>
        <w:footnoteReference w:id="1"/>
      </w:r>
    </w:p>
    <w:p w:rsidR="002C6118" w:rsidRDefault="002C6118" w:rsidP="002C6118">
      <w:pPr>
        <w:jc w:val="both"/>
        <w:rPr>
          <w:rtl/>
        </w:rPr>
      </w:pPr>
      <w:r>
        <w:rPr>
          <w:rFonts w:hint="cs"/>
          <w:rtl/>
        </w:rPr>
        <w:t xml:space="preserve">در کلمات بعضی </w:t>
      </w:r>
      <w:r w:rsidR="009F3E50">
        <w:rPr>
          <w:rFonts w:hint="cs"/>
          <w:rtl/>
        </w:rPr>
        <w:t>از فقها مانند مرحوم خوانساری، بحث جواز خروج از بیت در ایام عده و لزوم حداد با هم بحث شده اند. این دو</w:t>
      </w:r>
      <w:r w:rsidR="007D3979">
        <w:rPr>
          <w:rFonts w:hint="cs"/>
          <w:rtl/>
        </w:rPr>
        <w:t xml:space="preserve"> بحث</w:t>
      </w:r>
      <w:r w:rsidR="009F3E50">
        <w:rPr>
          <w:rFonts w:hint="cs"/>
          <w:rtl/>
        </w:rPr>
        <w:t>، مطالب مجزایی هستند که ادله</w:t>
      </w:r>
      <w:r w:rsidR="009F3E50">
        <w:rPr>
          <w:rFonts w:hint="eastAsia"/>
          <w:rtl/>
        </w:rPr>
        <w:t>‌</w:t>
      </w:r>
      <w:r w:rsidR="009F3E50">
        <w:rPr>
          <w:rFonts w:hint="cs"/>
          <w:rtl/>
        </w:rPr>
        <w:t>ی آن ها نیز متفاوت است.</w:t>
      </w:r>
    </w:p>
    <w:p w:rsidR="00010D7E" w:rsidRDefault="00010D7E" w:rsidP="00010D7E">
      <w:pPr>
        <w:pStyle w:val="Heading1"/>
        <w:rPr>
          <w:rtl/>
        </w:rPr>
      </w:pPr>
      <w:bookmarkStart w:id="3" w:name="_Toc57489286"/>
      <w:r>
        <w:rPr>
          <w:rFonts w:hint="cs"/>
          <w:rtl/>
        </w:rPr>
        <w:t>موثقه</w:t>
      </w:r>
      <w:r>
        <w:rPr>
          <w:rFonts w:hint="eastAsia"/>
          <w:rtl/>
        </w:rPr>
        <w:t>‌</w:t>
      </w:r>
      <w:r>
        <w:rPr>
          <w:rFonts w:hint="cs"/>
          <w:rtl/>
        </w:rPr>
        <w:t>ی عمار ساباطی</w:t>
      </w:r>
      <w:bookmarkEnd w:id="3"/>
    </w:p>
    <w:p w:rsidR="001A1EA5" w:rsidRDefault="002C6118" w:rsidP="002C6118">
      <w:pPr>
        <w:jc w:val="both"/>
        <w:rPr>
          <w:rtl/>
        </w:rPr>
      </w:pPr>
      <w:r>
        <w:rPr>
          <w:rFonts w:hint="cs"/>
          <w:rtl/>
        </w:rPr>
        <w:t xml:space="preserve">مراد از </w:t>
      </w:r>
      <w:r w:rsidR="008C49AD">
        <w:rPr>
          <w:rFonts w:hint="cs"/>
          <w:rtl/>
        </w:rPr>
        <w:t xml:space="preserve">اخبار </w:t>
      </w:r>
      <w:r>
        <w:rPr>
          <w:rFonts w:hint="cs"/>
          <w:rtl/>
        </w:rPr>
        <w:t>جواز، موثقه</w:t>
      </w:r>
      <w:r>
        <w:rPr>
          <w:rFonts w:hint="eastAsia"/>
          <w:rtl/>
        </w:rPr>
        <w:t>‌</w:t>
      </w:r>
      <w:r>
        <w:rPr>
          <w:rFonts w:hint="cs"/>
          <w:rtl/>
        </w:rPr>
        <w:t>ی عمار ساباطی است:</w:t>
      </w:r>
    </w:p>
    <w:p w:rsidR="00F67AE6" w:rsidRDefault="00F67AE6" w:rsidP="002C6118">
      <w:pPr>
        <w:jc w:val="both"/>
        <w:rPr>
          <w:rtl/>
        </w:rPr>
      </w:pPr>
      <w:r w:rsidRPr="004059BF">
        <w:rPr>
          <w:rFonts w:hint="cs"/>
          <w:rtl/>
        </w:rPr>
        <w:t xml:space="preserve">سَأَلَ عَمَّارٌ السَّابَاطِيُّ أَبَا عَبْدِ اللَّهِ ع‏ </w:t>
      </w:r>
      <w:r w:rsidRPr="004059BF">
        <w:rPr>
          <w:rFonts w:hint="cs"/>
          <w:color w:val="008000"/>
          <w:rtl/>
        </w:rPr>
        <w:t>عَنِ الْمَرْأَةِ يَمُوتُ‏ عَنْهَا زَوْجُهَا هَلْ‏ يَحِلُّ لَهَا أَنْ تَخْرُجَ مِنْ مَنْزِلِهَا فِي عِدَّتِهَا قَالَ نَعَمْ تَخْتَضِبُ وَ تَدَّهِنُ وَ تَكْتَحِلُ وَ تَمْتَشِطُ وَ تَصْبَغُ وَ تَلْبَسُ الْمُصَبَّغَ وَ تَصْنَعُ مَا شَاءَتْ بِغَيْرِ زِينَةٍ لِزَوْج‏</w:t>
      </w:r>
      <w:r>
        <w:rPr>
          <w:rStyle w:val="FootnoteReference"/>
          <w:color w:val="008000"/>
          <w:rtl/>
        </w:rPr>
        <w:footnoteReference w:id="2"/>
      </w:r>
    </w:p>
    <w:p w:rsidR="00983410" w:rsidRDefault="00983410" w:rsidP="00983410">
      <w:pPr>
        <w:pStyle w:val="Heading1"/>
        <w:rPr>
          <w:rtl/>
        </w:rPr>
      </w:pPr>
      <w:bookmarkStart w:id="4" w:name="_Toc57489287"/>
      <w:r>
        <w:rPr>
          <w:rFonts w:hint="cs"/>
          <w:rtl/>
        </w:rPr>
        <w:lastRenderedPageBreak/>
        <w:t>کلام حاج آقا تقی قمی در مبانی منهاج الصالحین</w:t>
      </w:r>
      <w:bookmarkEnd w:id="4"/>
    </w:p>
    <w:p w:rsidR="008C49AD" w:rsidRDefault="00273D5A" w:rsidP="003D68BF">
      <w:pPr>
        <w:jc w:val="both"/>
        <w:rPr>
          <w:rtl/>
        </w:rPr>
      </w:pPr>
      <w:r>
        <w:rPr>
          <w:rFonts w:hint="cs"/>
          <w:rtl/>
        </w:rPr>
        <w:t>مرحوم حاج آقا تقی قمی در مبانی منهاج الصالحین می فرماید:</w:t>
      </w:r>
    </w:p>
    <w:p w:rsidR="003C6459" w:rsidRPr="003C6459" w:rsidRDefault="003C6459" w:rsidP="003C6459">
      <w:pPr>
        <w:jc w:val="both"/>
        <w:rPr>
          <w:color w:val="000080"/>
          <w:rtl/>
        </w:rPr>
      </w:pPr>
      <w:r w:rsidRPr="003C6459">
        <w:rPr>
          <w:rFonts w:hint="cs"/>
          <w:color w:val="000080"/>
          <w:rtl/>
        </w:rPr>
        <w:t>و يستفاد من حديث عمار عن ابي عبد اللّه عليه السلام انه سأله عن المرأة يموت عنها زوجها هل يحل أن تخرج من منزلها في عدتها؟ قال نعم و تختضب و تكتحل و تمتشط و تصبغ و تلبس المصبغ و تصنع ما شاءت بغير زينة لزوج، جواز‌ الزينة على الاطلاق.</w:t>
      </w:r>
    </w:p>
    <w:p w:rsidR="003C6459" w:rsidRPr="003C6459" w:rsidRDefault="003C6459" w:rsidP="003C6459">
      <w:pPr>
        <w:jc w:val="both"/>
        <w:rPr>
          <w:color w:val="000080"/>
          <w:rtl/>
        </w:rPr>
      </w:pPr>
      <w:r w:rsidRPr="003C6459">
        <w:rPr>
          <w:rFonts w:hint="cs"/>
          <w:color w:val="000080"/>
          <w:rtl/>
        </w:rPr>
        <w:t>و لا بد من حمله على بعض المحامل كالضرورة مثلا و لا يمكن ابقائه بحاله و الحال ان المسألة كأنها متفق عليها بين المسلمين قال الشيخ الطوسي في الخلاف «المتوفى عنها زوجها عليها الحداد طول العدة و به قال جميع الفقهاء و اهل العلم الا الشعبي و الحسن البصري فانهما قالا لا يلزمها الحداد في جميع العدة و انما يلزمها في بعض العدة»</w:t>
      </w:r>
    </w:p>
    <w:p w:rsidR="003C6459" w:rsidRPr="003C6459" w:rsidRDefault="003C6459" w:rsidP="003C6459">
      <w:pPr>
        <w:jc w:val="both"/>
        <w:rPr>
          <w:color w:val="000080"/>
          <w:rtl/>
        </w:rPr>
      </w:pPr>
      <w:r w:rsidRPr="003C6459">
        <w:rPr>
          <w:rFonts w:hint="cs"/>
          <w:color w:val="000080"/>
          <w:rtl/>
        </w:rPr>
        <w:t>فيظهر من هذا الكلام كما ترى انه لا خلاف من احد في اصل الحكم و انما خلافهما في مدته فلا ريب في الحكم المذكور و اللّه العال</w:t>
      </w:r>
      <w:r>
        <w:rPr>
          <w:rFonts w:hint="cs"/>
          <w:color w:val="000080"/>
          <w:rtl/>
        </w:rPr>
        <w:t>م</w:t>
      </w:r>
      <w:r w:rsidR="00810346">
        <w:rPr>
          <w:rStyle w:val="FootnoteReference"/>
          <w:color w:val="000080"/>
          <w:rtl/>
        </w:rPr>
        <w:footnoteReference w:id="3"/>
      </w:r>
    </w:p>
    <w:p w:rsidR="003C6459" w:rsidRDefault="006C6579" w:rsidP="00DA303D">
      <w:pPr>
        <w:jc w:val="both"/>
        <w:rPr>
          <w:rtl/>
        </w:rPr>
      </w:pPr>
      <w:r>
        <w:rPr>
          <w:rFonts w:hint="cs"/>
          <w:rtl/>
        </w:rPr>
        <w:t>ایشان می فرماید: در اصل حداد اختلاف وجود ندارد؛ بلکه اختلاف د</w:t>
      </w:r>
      <w:r w:rsidR="00C34186">
        <w:rPr>
          <w:rFonts w:hint="cs"/>
          <w:rtl/>
        </w:rPr>
        <w:t>ر استیعاب و عدم استیعاب می باشد؛ بنابراین</w:t>
      </w:r>
      <w:r w:rsidR="00DA303D">
        <w:rPr>
          <w:rFonts w:hint="cs"/>
          <w:rtl/>
        </w:rPr>
        <w:t xml:space="preserve"> نمی توان روایات</w:t>
      </w:r>
      <w:r w:rsidR="00073AA0">
        <w:rPr>
          <w:rFonts w:hint="cs"/>
          <w:rtl/>
        </w:rPr>
        <w:t>ِ</w:t>
      </w:r>
      <w:r w:rsidR="00C34186">
        <w:rPr>
          <w:rFonts w:hint="cs"/>
          <w:rtl/>
        </w:rPr>
        <w:t xml:space="preserve"> جواز </w:t>
      </w:r>
      <w:r w:rsidR="00DA303D">
        <w:rPr>
          <w:rFonts w:hint="cs"/>
          <w:rtl/>
        </w:rPr>
        <w:t>زینت</w:t>
      </w:r>
      <w:r w:rsidR="00073AA0">
        <w:rPr>
          <w:rFonts w:hint="cs"/>
          <w:rtl/>
        </w:rPr>
        <w:t xml:space="preserve"> را اخذ کرد</w:t>
      </w:r>
      <w:r w:rsidR="004D71FE">
        <w:rPr>
          <w:rFonts w:hint="cs"/>
          <w:rtl/>
        </w:rPr>
        <w:t>؛ زیرا مخالف اجماع مسلمین است</w:t>
      </w:r>
      <w:r w:rsidR="002851E1">
        <w:rPr>
          <w:rFonts w:hint="cs"/>
          <w:rtl/>
        </w:rPr>
        <w:t>.</w:t>
      </w:r>
    </w:p>
    <w:p w:rsidR="002851E1" w:rsidRDefault="008955E4" w:rsidP="00DA303D">
      <w:pPr>
        <w:jc w:val="both"/>
        <w:rPr>
          <w:rtl/>
        </w:rPr>
      </w:pPr>
      <w:r>
        <w:rPr>
          <w:rFonts w:hint="cs"/>
          <w:rtl/>
        </w:rPr>
        <w:t>کلام شیخ طوسی در خلاف با آن چه در مغنی ابن قدامه آمده است، تفاوت دارد.</w:t>
      </w:r>
    </w:p>
    <w:p w:rsidR="008955E4" w:rsidRDefault="008955E4" w:rsidP="008955E4">
      <w:pPr>
        <w:pStyle w:val="Heading1"/>
        <w:rPr>
          <w:rtl/>
        </w:rPr>
      </w:pPr>
      <w:bookmarkStart w:id="5" w:name="_Toc57488469"/>
      <w:bookmarkStart w:id="6" w:name="_Toc57489288"/>
      <w:r>
        <w:rPr>
          <w:rFonts w:hint="cs"/>
          <w:rtl/>
        </w:rPr>
        <w:t>کلام ابن قدامه در مغنی</w:t>
      </w:r>
      <w:bookmarkEnd w:id="5"/>
      <w:bookmarkEnd w:id="6"/>
    </w:p>
    <w:p w:rsidR="00ED5005" w:rsidRPr="00ED5005" w:rsidRDefault="00ED5005" w:rsidP="00ED5005">
      <w:pPr>
        <w:jc w:val="both"/>
        <w:rPr>
          <w:color w:val="000080"/>
          <w:rtl/>
        </w:rPr>
      </w:pPr>
      <w:r w:rsidRPr="00ED5005">
        <w:rPr>
          <w:color w:val="000080"/>
          <w:rtl/>
        </w:rPr>
        <w:t>هَذَا يُسَمَّى الْإِحْدَادَ، وَلَا نَعْلَمُ بَيْنَ أَهْلِ الْعِلْمِ خِلَافًا فِي وُجُوبِهِ عَلَى الْمُتَوَفَّى عَنْهَا زَوْجُهَا، إلَّا عَنْ الْحَسَنِ، فَإِنَّهُ قَالَ</w:t>
      </w:r>
      <w:r w:rsidRPr="00ED5005">
        <w:rPr>
          <w:color w:val="000080"/>
        </w:rPr>
        <w:t xml:space="preserve">: </w:t>
      </w:r>
      <w:r w:rsidRPr="00ED5005">
        <w:rPr>
          <w:color w:val="000080"/>
          <w:rtl/>
        </w:rPr>
        <w:t>لَا يَجِبُ الْإِحْدَادُ</w:t>
      </w:r>
      <w:r w:rsidRPr="00ED5005">
        <w:rPr>
          <w:color w:val="000080"/>
        </w:rPr>
        <w:t xml:space="preserve">. </w:t>
      </w:r>
      <w:r w:rsidRPr="00ED5005">
        <w:rPr>
          <w:color w:val="000080"/>
          <w:rtl/>
        </w:rPr>
        <w:t>وَهُوَ قَوْلٌ شَذَّ بِهِ أَهْلَ الْعِلْمِ وَخَالَفَ بِهِ السُّنَّةَ، فَلَا يُعَرَّجُ عَلَيْهِ</w:t>
      </w:r>
      <w:r>
        <w:rPr>
          <w:rStyle w:val="FootnoteReference"/>
          <w:color w:val="000080"/>
          <w:rtl/>
        </w:rPr>
        <w:footnoteReference w:id="4"/>
      </w:r>
    </w:p>
    <w:p w:rsidR="008C49AD" w:rsidRDefault="008955E4" w:rsidP="00983410">
      <w:pPr>
        <w:jc w:val="both"/>
        <w:rPr>
          <w:rtl/>
        </w:rPr>
      </w:pPr>
      <w:r>
        <w:rPr>
          <w:rFonts w:hint="cs"/>
          <w:rtl/>
        </w:rPr>
        <w:t>طبق کلام شیخ طوسی، حسن بصری حداد را واجب می داند؛ اما استیعاب را شرط نمی داند</w:t>
      </w:r>
      <w:r w:rsidR="00983410">
        <w:rPr>
          <w:rFonts w:hint="cs"/>
          <w:rtl/>
        </w:rPr>
        <w:t>؛ اما</w:t>
      </w:r>
      <w:r>
        <w:rPr>
          <w:rFonts w:hint="cs"/>
          <w:rtl/>
        </w:rPr>
        <w:t xml:space="preserve"> طبق کلام ابن قدامه، حسن بصری حداد را واجب نمی داند.</w:t>
      </w:r>
    </w:p>
    <w:p w:rsidR="007F5812" w:rsidRDefault="007F5812" w:rsidP="003D68BF">
      <w:pPr>
        <w:jc w:val="both"/>
        <w:rPr>
          <w:rtl/>
        </w:rPr>
      </w:pPr>
      <w:r>
        <w:rPr>
          <w:rFonts w:hint="cs"/>
          <w:rtl/>
        </w:rPr>
        <w:t>شیخ طوسی شعبی را نیز موافق حسن بصری ذکر کرده بود؛ اما ابن قدامه چنین مطلبی ندارد.</w:t>
      </w:r>
    </w:p>
    <w:p w:rsidR="00275409" w:rsidRDefault="005E1461" w:rsidP="00275409">
      <w:pPr>
        <w:pStyle w:val="Heading1"/>
        <w:rPr>
          <w:rtl/>
        </w:rPr>
      </w:pPr>
      <w:bookmarkStart w:id="7" w:name="_Toc57488470"/>
      <w:bookmarkStart w:id="8" w:name="_Toc57489289"/>
      <w:r>
        <w:rPr>
          <w:rFonts w:hint="cs"/>
          <w:rtl/>
        </w:rPr>
        <w:t>کلام ابن رشد در</w:t>
      </w:r>
      <w:r w:rsidR="00275409">
        <w:rPr>
          <w:rFonts w:hint="cs"/>
          <w:rtl/>
        </w:rPr>
        <w:t xml:space="preserve"> بدایة المجتهد</w:t>
      </w:r>
      <w:bookmarkEnd w:id="7"/>
      <w:bookmarkEnd w:id="8"/>
    </w:p>
    <w:p w:rsidR="008C49AD" w:rsidRPr="008C5F70" w:rsidRDefault="008C5F70" w:rsidP="008C5F70">
      <w:pPr>
        <w:jc w:val="both"/>
        <w:rPr>
          <w:color w:val="000080"/>
        </w:rPr>
      </w:pPr>
      <w:r w:rsidRPr="008C5F70">
        <w:rPr>
          <w:color w:val="000080"/>
          <w:rtl/>
        </w:rPr>
        <w:t>أَجْمَعَ الْمُسْلِمُونَ عَلَى أَنَّ الْإِحْدَادَ وَاجِبٌ عَلَى النِّسَاءِ الْحَرَائِرِ الْمُسْلِمَاتِ فِي عِدَّةِ الْوَفَاةِ إِلَّا الْحَسَنَ وَحْدَهُ</w:t>
      </w:r>
      <w:r>
        <w:rPr>
          <w:rStyle w:val="FootnoteReference"/>
          <w:color w:val="000080"/>
          <w:rtl/>
        </w:rPr>
        <w:footnoteReference w:id="5"/>
      </w:r>
    </w:p>
    <w:p w:rsidR="003D68BF" w:rsidRDefault="00275409" w:rsidP="003D68BF">
      <w:pPr>
        <w:jc w:val="both"/>
        <w:rPr>
          <w:rtl/>
        </w:rPr>
      </w:pPr>
      <w:r>
        <w:rPr>
          <w:rFonts w:hint="cs"/>
          <w:rtl/>
        </w:rPr>
        <w:lastRenderedPageBreak/>
        <w:t>طبق این عبارت نیز حسن بصری حداد را واجب نمی داند.</w:t>
      </w:r>
    </w:p>
    <w:p w:rsidR="007F5812" w:rsidRDefault="005E1461" w:rsidP="005E1461">
      <w:pPr>
        <w:pStyle w:val="Heading1"/>
        <w:rPr>
          <w:rtl/>
        </w:rPr>
      </w:pPr>
      <w:bookmarkStart w:id="9" w:name="_Toc57488471"/>
      <w:bookmarkStart w:id="10" w:name="_Toc57489290"/>
      <w:r>
        <w:rPr>
          <w:rFonts w:hint="cs"/>
          <w:rtl/>
        </w:rPr>
        <w:t>کلام الماوردی در الحاوی الکبیر</w:t>
      </w:r>
      <w:bookmarkEnd w:id="9"/>
      <w:bookmarkEnd w:id="10"/>
    </w:p>
    <w:p w:rsidR="006B3BB5" w:rsidRPr="006B3BB5" w:rsidRDefault="006B3BB5" w:rsidP="006B3BB5">
      <w:pPr>
        <w:jc w:val="both"/>
        <w:rPr>
          <w:color w:val="000080"/>
          <w:rtl/>
        </w:rPr>
      </w:pPr>
      <w:r w:rsidRPr="006B3BB5">
        <w:rPr>
          <w:color w:val="000080"/>
          <w:rtl/>
        </w:rPr>
        <w:t xml:space="preserve">فَأَمَّا الْمُعْتَدَّةُ الَّتِي يَجِبُ الْإِحْدَادُ عَلَيْهَا فَالْمُتَوَفَّى عَنْهَا زَوْجُهَا وَيَجِبُ الْإِحْدَادُ عَلَيْهَا، قَالَ جَمِيعُ الْفُقَهَاءِ إِلَّا مَا حُكِيَ عَنِ الْحَسَنِ الْبَصْرِيِّ وَالشَّعْبِيِّ أَنَّ الْإِحْدَادَ غَيْرُ وَاجِبٍ عَلَيْهَا لِمَا رُوِيَ أَنَّ أَسْمَاءَ بِنْتَ عُمَيْسٍ لَمَّا أَتَاهَا نَعْشُ زَوْجِهَا جَعْفَرِ بْنِ أَبِي طَالِبٍ قَالَ لَهَا النَّبِيُّ - صَلَّى اللَّهُ عَلَيْهِ وَسَلَّم َ - " تَسَلَّبِي ثَلَاثًا </w:t>
      </w:r>
      <w:r w:rsidRPr="006B3BB5">
        <w:rPr>
          <w:color w:val="000080"/>
        </w:rPr>
        <w:t xml:space="preserve">" </w:t>
      </w:r>
      <w:r w:rsidRPr="006B3BB5">
        <w:rPr>
          <w:color w:val="000080"/>
          <w:rtl/>
        </w:rPr>
        <w:t>فَدَلَّ عَلَى اقْتِصَارِهِ بِنَاءً عَلَى ثَلَاثَةِ أَيَّامٍ أَنَّ مَا عَدَاهَا غَيْرُ وَاجِبٍ</w:t>
      </w:r>
      <w:r w:rsidRPr="006B3BB5">
        <w:rPr>
          <w:color w:val="000080"/>
        </w:rPr>
        <w:t>.</w:t>
      </w:r>
      <w:r w:rsidRPr="006B3BB5">
        <w:rPr>
          <w:color w:val="000080"/>
        </w:rPr>
        <w:br/>
      </w:r>
      <w:r w:rsidRPr="006B3BB5">
        <w:rPr>
          <w:color w:val="000080"/>
          <w:rtl/>
        </w:rPr>
        <w:t>وَالدَّلِيلُ عَلَى وُجُوبِهِ فِي الْعِدَّةِ بِأَسْرِهَا مَا رَوَاهُ حُمَيْدُ بْنُ نَافِعٍ عَنْ زَيْنَبَ بِنْتِ أَبِي سَلَمَةَ، وَهِيَ بِنْتُ أُمِّ سَلَمَةَ قَالَتْ دَخَلْتُ عَلَى أُمِّ حَبِيبَةَ حِينَ تُوُفِّيَ أَبُوهَا أَبُو سُفْيَانَ</w:t>
      </w:r>
      <w:r w:rsidR="00E76EA7">
        <w:rPr>
          <w:rFonts w:hint="cs"/>
          <w:color w:val="000080"/>
          <w:rtl/>
        </w:rPr>
        <w:t xml:space="preserve"> ...</w:t>
      </w:r>
      <w:r>
        <w:rPr>
          <w:rStyle w:val="FootnoteReference"/>
          <w:color w:val="000080"/>
          <w:rtl/>
        </w:rPr>
        <w:footnoteReference w:id="6"/>
      </w:r>
    </w:p>
    <w:p w:rsidR="006B3BB5" w:rsidRDefault="0020023A" w:rsidP="006719C1">
      <w:pPr>
        <w:jc w:val="both"/>
        <w:rPr>
          <w:rtl/>
        </w:rPr>
      </w:pPr>
      <w:r>
        <w:rPr>
          <w:rFonts w:hint="cs"/>
          <w:rtl/>
        </w:rPr>
        <w:t xml:space="preserve">در این عبارت شعبی نیز به عنوان مخالف ذکر </w:t>
      </w:r>
      <w:r w:rsidR="006719C1">
        <w:rPr>
          <w:rFonts w:hint="cs"/>
          <w:rtl/>
        </w:rPr>
        <w:t>شده</w:t>
      </w:r>
      <w:r>
        <w:rPr>
          <w:rFonts w:hint="cs"/>
          <w:rtl/>
        </w:rPr>
        <w:t xml:space="preserve"> است.</w:t>
      </w:r>
    </w:p>
    <w:p w:rsidR="00E535A2" w:rsidRDefault="00E535A2" w:rsidP="00E535A2">
      <w:pPr>
        <w:pStyle w:val="Heading1"/>
        <w:rPr>
          <w:rtl/>
        </w:rPr>
      </w:pPr>
      <w:bookmarkStart w:id="11" w:name="_Toc57488472"/>
      <w:bookmarkStart w:id="12" w:name="_Toc57489291"/>
      <w:r>
        <w:rPr>
          <w:rFonts w:hint="cs"/>
          <w:rtl/>
        </w:rPr>
        <w:t>کلام ابن حزم در المحلی بالآثار</w:t>
      </w:r>
      <w:bookmarkEnd w:id="11"/>
      <w:bookmarkEnd w:id="12"/>
    </w:p>
    <w:p w:rsidR="00E90A64" w:rsidRPr="00E90A64" w:rsidRDefault="00E90A64" w:rsidP="00E90A64">
      <w:pPr>
        <w:jc w:val="both"/>
        <w:rPr>
          <w:color w:val="000080"/>
        </w:rPr>
      </w:pPr>
      <w:r w:rsidRPr="00E90A64">
        <w:rPr>
          <w:color w:val="000080"/>
          <w:rtl/>
        </w:rPr>
        <w:t>وَهَهُنَا قَوْلٌ آخَرُ - كَمَا رُوِّينَا مِنْ طَرِيقِ حَمَّادِ بْنِ سَلَمَةَ عَنْ حُمَيْدٍ أَنَّ الْحَسَنَ الْبَصْرِيَّ كَانَ يَقُولُ: الْمُطَلَّقَةُ ثَلَاثًا، أَوْ الْمُتَوَفَّى عَنْهَا زَوْجُهَا يَكْتَحِلَانِ وَيَمْتَشِطَانِ وَيَطَّيَّبَانِ، وَيَخْتَضِبَانِ، وَيَنْتَعِلَانِ، وَيَضَعَانِ مَا شَاءَتَا.</w:t>
      </w:r>
      <w:r w:rsidRPr="00E90A64">
        <w:rPr>
          <w:rFonts w:hint="cs"/>
          <w:color w:val="000080"/>
          <w:rtl/>
        </w:rPr>
        <w:t xml:space="preserve"> </w:t>
      </w:r>
      <w:r w:rsidRPr="00E90A64">
        <w:rPr>
          <w:color w:val="000080"/>
          <w:rtl/>
        </w:rPr>
        <w:t>وَمِنْ طَرِيقِ شُعْبَةَ عَنْ الْحَكَمِ بْنِ عُتَيْبَةَ أَنَّ الْمُتَوَفَّى عَنْهَا لَا تُحِدُّ.</w:t>
      </w:r>
      <w:r w:rsidRPr="00E90A64">
        <w:rPr>
          <w:rFonts w:hint="cs"/>
          <w:color w:val="000080"/>
          <w:rtl/>
        </w:rPr>
        <w:t xml:space="preserve"> </w:t>
      </w:r>
      <w:r w:rsidRPr="00E90A64">
        <w:rPr>
          <w:color w:val="000080"/>
          <w:rtl/>
        </w:rPr>
        <w:t>قَالَ أَبُو مُحَمَّدٍ</w:t>
      </w:r>
      <w:r w:rsidR="00FA76BE">
        <w:rPr>
          <w:rStyle w:val="FootnoteReference"/>
          <w:color w:val="000080"/>
          <w:rtl/>
        </w:rPr>
        <w:footnoteReference w:id="7"/>
      </w:r>
      <w:r w:rsidRPr="00E90A64">
        <w:rPr>
          <w:color w:val="000080"/>
          <w:rtl/>
        </w:rPr>
        <w:t>: وَاحْتَجَّ أَهْلُ هَذِهِ الْمَقَالَةِ بِمَا - أَنَا مُحَمَّدُ بْنُ سَعِيدِ بْنِ نُبَاتٍ أَنَا أَحْمَدُ بْنُ عَوْنِ اللَّهِ أَنَا قَاسِمُ بْنُ أَصْبَغَ أَنَا مُحَمَّدُ بْنُ عَبْدِ السَّلَامِ الْخُشَنِيُّ أَنَا مُحَمَّدُ بْنُ بَشَّارٍ أَنَا مُحَمَّدُ بْنُ جَعْفَرٍ أَنَا شُعْبَةُ أَنَا الْحَكَمُ بْنُ عُتَيْبَةَ عَنْ عَبْدِ اللَّهِ بْنِ شَدَّادِ بْنِ الْهَادِي «أَنَّ رَسُولَ</w:t>
      </w:r>
      <w:r w:rsidRPr="00E90A64">
        <w:rPr>
          <w:rtl/>
        </w:rPr>
        <w:t xml:space="preserve"> </w:t>
      </w:r>
      <w:r w:rsidRPr="00E90A64">
        <w:rPr>
          <w:color w:val="000080"/>
          <w:rtl/>
        </w:rPr>
        <w:t>اللَّهِ - صَلَّى اللَّهُ عَلَيْهِ وَسَلَّمَ - قَالَ لِامْرَأَةِ جَعْفَرِ بْنِ أَبِي طَالِبٍ: إذَا كَانَ ثَلَاثَةُ أَيَّامٍ فَالْبَسِي مَا شِئْتِ، أَوْ إذَا كَانَ بَعْدَ ثَلَاثَةِ أَيَّامٍ» شُعْبَةُ شَكَّ.</w:t>
      </w:r>
      <w:r w:rsidR="005805DE">
        <w:rPr>
          <w:rFonts w:hint="cs"/>
          <w:color w:val="000080"/>
          <w:rtl/>
        </w:rPr>
        <w:t>..</w:t>
      </w:r>
      <w:r>
        <w:rPr>
          <w:rStyle w:val="FootnoteReference"/>
          <w:color w:val="000080"/>
          <w:rtl/>
        </w:rPr>
        <w:footnoteReference w:id="8"/>
      </w:r>
    </w:p>
    <w:p w:rsidR="003D68BF" w:rsidRDefault="00D4484A" w:rsidP="003D68BF">
      <w:pPr>
        <w:jc w:val="both"/>
        <w:rPr>
          <w:rtl/>
        </w:rPr>
      </w:pPr>
      <w:r>
        <w:rPr>
          <w:rFonts w:hint="cs"/>
          <w:rtl/>
        </w:rPr>
        <w:t>طبق این عبارت ترک پوشیدن لباس زینتی، سه روز واجب است و پس از سه روز جائز می باشد.</w:t>
      </w:r>
    </w:p>
    <w:p w:rsidR="00B63CE5" w:rsidRDefault="00B63CE5" w:rsidP="00B63CE5">
      <w:pPr>
        <w:jc w:val="both"/>
        <w:rPr>
          <w:rtl/>
        </w:rPr>
      </w:pPr>
      <w:r>
        <w:rPr>
          <w:rFonts w:hint="cs"/>
          <w:rtl/>
        </w:rPr>
        <w:t>به نظر می رسد، حدادی که شعبی و حسن بصری واجب دانسته اند، در واقع حداد نیست و سه روز عزاداری می باشد.</w:t>
      </w:r>
    </w:p>
    <w:p w:rsidR="00F71465" w:rsidRDefault="00F71465" w:rsidP="003D68BF">
      <w:pPr>
        <w:jc w:val="both"/>
        <w:rPr>
          <w:rtl/>
        </w:rPr>
      </w:pPr>
      <w:r>
        <w:rPr>
          <w:rFonts w:hint="cs"/>
          <w:rtl/>
        </w:rPr>
        <w:t>بر اساس عباراتی که بیان شد، سه نفر از عامه حداد را واجب ندانسته اند:</w:t>
      </w:r>
    </w:p>
    <w:p w:rsidR="00F71465" w:rsidRDefault="00F71465" w:rsidP="00F71465">
      <w:pPr>
        <w:pStyle w:val="ListParagraph"/>
        <w:numPr>
          <w:ilvl w:val="0"/>
          <w:numId w:val="16"/>
        </w:numPr>
        <w:jc w:val="both"/>
      </w:pPr>
      <w:r>
        <w:rPr>
          <w:rFonts w:hint="cs"/>
          <w:rtl/>
        </w:rPr>
        <w:t>شعبی</w:t>
      </w:r>
    </w:p>
    <w:p w:rsidR="00F71465" w:rsidRDefault="00F71465" w:rsidP="00F71465">
      <w:pPr>
        <w:pStyle w:val="ListParagraph"/>
        <w:numPr>
          <w:ilvl w:val="0"/>
          <w:numId w:val="16"/>
        </w:numPr>
        <w:jc w:val="both"/>
      </w:pPr>
      <w:r>
        <w:rPr>
          <w:rFonts w:hint="cs"/>
          <w:rtl/>
        </w:rPr>
        <w:t>حسن بصری</w:t>
      </w:r>
    </w:p>
    <w:p w:rsidR="00F71465" w:rsidRDefault="00F71465" w:rsidP="00F71465">
      <w:pPr>
        <w:pStyle w:val="ListParagraph"/>
        <w:numPr>
          <w:ilvl w:val="0"/>
          <w:numId w:val="16"/>
        </w:numPr>
        <w:jc w:val="both"/>
        <w:rPr>
          <w:rtl/>
        </w:rPr>
      </w:pPr>
      <w:r>
        <w:rPr>
          <w:rFonts w:hint="cs"/>
          <w:rtl/>
        </w:rPr>
        <w:t>حکم بن عتیبه</w:t>
      </w:r>
    </w:p>
    <w:p w:rsidR="003D68BF" w:rsidRDefault="00B63CE5" w:rsidP="00B63CE5">
      <w:pPr>
        <w:jc w:val="both"/>
        <w:rPr>
          <w:rtl/>
        </w:rPr>
      </w:pPr>
      <w:r>
        <w:rPr>
          <w:rFonts w:hint="cs"/>
          <w:rtl/>
        </w:rPr>
        <w:t>حکم بن عتیبه در بحث طلاق حداد را لازم می داند</w:t>
      </w:r>
      <w:r>
        <w:rPr>
          <w:rStyle w:val="FootnoteReference"/>
          <w:rtl/>
        </w:rPr>
        <w:footnoteReference w:id="9"/>
      </w:r>
      <w:r w:rsidR="008D7918">
        <w:rPr>
          <w:rFonts w:hint="cs"/>
          <w:rtl/>
        </w:rPr>
        <w:t xml:space="preserve"> در حالی که در وفات لازم ندانسته است.</w:t>
      </w:r>
    </w:p>
    <w:p w:rsidR="005C3B2D" w:rsidRDefault="005C3B2D" w:rsidP="00B55E75">
      <w:pPr>
        <w:pStyle w:val="Heading1"/>
        <w:rPr>
          <w:rtl/>
        </w:rPr>
      </w:pPr>
      <w:bookmarkStart w:id="13" w:name="_Toc57488473"/>
      <w:bookmarkStart w:id="14" w:name="_Toc57489292"/>
      <w:r>
        <w:rPr>
          <w:rFonts w:hint="cs"/>
          <w:rtl/>
        </w:rPr>
        <w:t>نتیجه</w:t>
      </w:r>
      <w:bookmarkEnd w:id="13"/>
      <w:bookmarkEnd w:id="14"/>
    </w:p>
    <w:p w:rsidR="00DC7100" w:rsidRDefault="005C3B2D" w:rsidP="00D10C57">
      <w:pPr>
        <w:jc w:val="both"/>
        <w:rPr>
          <w:rtl/>
        </w:rPr>
      </w:pPr>
      <w:r>
        <w:rPr>
          <w:rFonts w:hint="cs"/>
          <w:rtl/>
        </w:rPr>
        <w:t>آن چه مرحوم حاج آقا تقی قمی بیان کرد که اصل حداد</w:t>
      </w:r>
      <w:r w:rsidR="00B55E75">
        <w:rPr>
          <w:rFonts w:hint="cs"/>
          <w:rtl/>
        </w:rPr>
        <w:t xml:space="preserve"> مسلم </w:t>
      </w:r>
      <w:r w:rsidR="008736B0">
        <w:rPr>
          <w:rFonts w:hint="cs"/>
          <w:rtl/>
        </w:rPr>
        <w:t>است</w:t>
      </w:r>
      <w:r w:rsidR="00B55E75">
        <w:rPr>
          <w:rFonts w:hint="cs"/>
          <w:rtl/>
        </w:rPr>
        <w:t xml:space="preserve"> و در مدت آن اختلاف وجود دارد، صحیح نیست.</w:t>
      </w:r>
      <w:r w:rsidR="008736B0">
        <w:rPr>
          <w:rFonts w:hint="cs"/>
          <w:rtl/>
        </w:rPr>
        <w:t xml:space="preserve"> </w:t>
      </w:r>
      <w:r w:rsidR="00CE4529">
        <w:rPr>
          <w:rFonts w:hint="cs"/>
          <w:rtl/>
        </w:rPr>
        <w:t>سه روز عزاداری غیر از حداد است؛ روایاتی هم که در مورد سه روز نقل شده است، فقط به لباس اشاره کرده اند و ناظر به حداد نیستند.</w:t>
      </w:r>
    </w:p>
    <w:p w:rsidR="00DC7100" w:rsidRDefault="00DC7100" w:rsidP="00DC7100">
      <w:pPr>
        <w:jc w:val="both"/>
        <w:rPr>
          <w:rtl/>
        </w:rPr>
      </w:pPr>
      <w:r>
        <w:rPr>
          <w:rFonts w:hint="cs"/>
          <w:rtl/>
        </w:rPr>
        <w:t>البته وجوب حداد که در بین مسلمین کالمجمع علیه است، با یک روایت ( موثقه</w:t>
      </w:r>
      <w:r>
        <w:rPr>
          <w:rFonts w:hint="eastAsia"/>
          <w:rtl/>
        </w:rPr>
        <w:t>‌</w:t>
      </w:r>
      <w:r>
        <w:rPr>
          <w:rFonts w:hint="cs"/>
          <w:rtl/>
        </w:rPr>
        <w:t xml:space="preserve">ی عمار ساباطی) </w:t>
      </w:r>
      <w:r w:rsidR="003A53B7">
        <w:rPr>
          <w:rFonts w:hint="cs"/>
          <w:rtl/>
        </w:rPr>
        <w:t>نمی توان از آن رفع ید کرد.</w:t>
      </w:r>
    </w:p>
    <w:p w:rsidR="003D68BF" w:rsidRPr="006162A2" w:rsidRDefault="003D68BF" w:rsidP="003D68BF">
      <w:pPr>
        <w:jc w:val="both"/>
        <w:rPr>
          <w:rtl/>
        </w:rPr>
      </w:pPr>
    </w:p>
    <w:sectPr w:rsidR="003D68BF"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D4" w:rsidRDefault="00A234D4" w:rsidP="008B750B">
      <w:pPr>
        <w:spacing w:line="240" w:lineRule="auto"/>
      </w:pPr>
      <w:r>
        <w:separator/>
      </w:r>
    </w:p>
  </w:endnote>
  <w:endnote w:type="continuationSeparator" w:id="0">
    <w:p w:rsidR="00A234D4" w:rsidRDefault="00A234D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12CF3" w:rsidRPr="00112CF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854C5" w:rsidP="001B6799">
          <w:pPr>
            <w:pStyle w:val="Footer"/>
            <w:bidi w:val="0"/>
            <w:rPr>
              <w:color w:val="808080" w:themeColor="background1" w:themeShade="80"/>
              <w:rtl/>
            </w:rPr>
          </w:pPr>
          <w:bookmarkStart w:id="22" w:name="BokAdres"/>
          <w:bookmarkEnd w:id="22"/>
          <w:r>
            <w:rPr>
              <w:color w:val="808080" w:themeColor="background1" w:themeShade="80"/>
            </w:rPr>
            <w:t>F1js1_13990905-023_mk3_mfeb.ir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D4" w:rsidRDefault="00A234D4" w:rsidP="008B750B">
      <w:pPr>
        <w:spacing w:line="240" w:lineRule="auto"/>
      </w:pPr>
      <w:r>
        <w:separator/>
      </w:r>
    </w:p>
  </w:footnote>
  <w:footnote w:type="continuationSeparator" w:id="0">
    <w:p w:rsidR="00A234D4" w:rsidRDefault="00A234D4" w:rsidP="008B750B">
      <w:pPr>
        <w:spacing w:line="240" w:lineRule="auto"/>
      </w:pPr>
      <w:r>
        <w:continuationSeparator/>
      </w:r>
    </w:p>
  </w:footnote>
  <w:footnote w:id="1">
    <w:p w:rsidR="008C49AD" w:rsidRPr="008C49AD" w:rsidRDefault="008C49AD" w:rsidP="008C49AD">
      <w:pPr>
        <w:pStyle w:val="FootnoteText"/>
      </w:pPr>
      <w:r w:rsidRPr="008C49AD">
        <w:footnoteRef/>
      </w:r>
      <w:r w:rsidRPr="008C49AD">
        <w:rPr>
          <w:rtl/>
        </w:rPr>
        <w:t xml:space="preserve"> </w:t>
      </w:r>
      <w:hyperlink r:id="rId1" w:history="1">
        <w:r w:rsidRPr="008C49AD">
          <w:rPr>
            <w:rStyle w:val="Hyperlink"/>
            <w:rFonts w:hint="eastAsia"/>
            <w:rtl/>
          </w:rPr>
          <w:t>تکملة</w:t>
        </w:r>
        <w:r w:rsidRPr="008C49AD">
          <w:rPr>
            <w:rStyle w:val="Hyperlink"/>
            <w:rtl/>
          </w:rPr>
          <w:t xml:space="preserve"> العروة الوثق</w:t>
        </w:r>
        <w:r w:rsidRPr="008C49AD">
          <w:rPr>
            <w:rStyle w:val="Hyperlink"/>
            <w:rFonts w:hint="cs"/>
            <w:rtl/>
          </w:rPr>
          <w:t>ی</w:t>
        </w:r>
        <w:r w:rsidRPr="008C49AD">
          <w:rPr>
            <w:rStyle w:val="Hyperlink"/>
            <w:rFonts w:hint="eastAsia"/>
            <w:rtl/>
          </w:rPr>
          <w:t>،</w:t>
        </w:r>
        <w:r w:rsidRPr="008C49AD">
          <w:rPr>
            <w:rStyle w:val="Hyperlink"/>
            <w:rtl/>
          </w:rPr>
          <w:t xml:space="preserve"> الس</w:t>
        </w:r>
        <w:r w:rsidRPr="008C49AD">
          <w:rPr>
            <w:rStyle w:val="Hyperlink"/>
            <w:rFonts w:hint="cs"/>
            <w:rtl/>
          </w:rPr>
          <w:t>ی</w:t>
        </w:r>
        <w:r w:rsidRPr="008C49AD">
          <w:rPr>
            <w:rStyle w:val="Hyperlink"/>
            <w:rFonts w:hint="eastAsia"/>
            <w:rtl/>
          </w:rPr>
          <w:t>د</w:t>
        </w:r>
        <w:r w:rsidRPr="008C49AD">
          <w:rPr>
            <w:rStyle w:val="Hyperlink"/>
            <w:rtl/>
          </w:rPr>
          <w:t xml:space="preserve"> محمد کاظم الطباطبائ</w:t>
        </w:r>
        <w:r w:rsidRPr="008C49AD">
          <w:rPr>
            <w:rStyle w:val="Hyperlink"/>
            <w:rFonts w:hint="cs"/>
            <w:rtl/>
          </w:rPr>
          <w:t>ی</w:t>
        </w:r>
        <w:r w:rsidRPr="008C49AD">
          <w:rPr>
            <w:rStyle w:val="Hyperlink"/>
            <w:rtl/>
          </w:rPr>
          <w:t xml:space="preserve"> ال</w:t>
        </w:r>
        <w:r w:rsidRPr="008C49AD">
          <w:rPr>
            <w:rStyle w:val="Hyperlink"/>
            <w:rFonts w:hint="cs"/>
            <w:rtl/>
          </w:rPr>
          <w:t>ی</w:t>
        </w:r>
        <w:r w:rsidRPr="008C49AD">
          <w:rPr>
            <w:rStyle w:val="Hyperlink"/>
            <w:rFonts w:hint="eastAsia"/>
            <w:rtl/>
          </w:rPr>
          <w:t>زد</w:t>
        </w:r>
        <w:r w:rsidRPr="008C49AD">
          <w:rPr>
            <w:rStyle w:val="Hyperlink"/>
            <w:rFonts w:hint="cs"/>
            <w:rtl/>
          </w:rPr>
          <w:t>ی</w:t>
        </w:r>
        <w:r w:rsidRPr="008C49AD">
          <w:rPr>
            <w:rStyle w:val="Hyperlink"/>
            <w:rFonts w:hint="eastAsia"/>
            <w:rtl/>
          </w:rPr>
          <w:t>،</w:t>
        </w:r>
        <w:r w:rsidRPr="008C49AD">
          <w:rPr>
            <w:rStyle w:val="Hyperlink"/>
            <w:rtl/>
          </w:rPr>
          <w:t xml:space="preserve"> ج1، ص63.</w:t>
        </w:r>
      </w:hyperlink>
    </w:p>
  </w:footnote>
  <w:footnote w:id="2">
    <w:p w:rsidR="00F67AE6" w:rsidRPr="004059BF" w:rsidRDefault="00F67AE6" w:rsidP="00F67AE6">
      <w:pPr>
        <w:pStyle w:val="FootnoteText"/>
      </w:pPr>
      <w:r w:rsidRPr="004059BF">
        <w:footnoteRef/>
      </w:r>
      <w:r w:rsidRPr="004059BF">
        <w:rPr>
          <w:rtl/>
        </w:rPr>
        <w:t xml:space="preserve"> </w:t>
      </w:r>
      <w:hyperlink r:id="rId2" w:history="1">
        <w:r w:rsidRPr="004059BF">
          <w:rPr>
            <w:rStyle w:val="Hyperlink"/>
            <w:rFonts w:hint="eastAsia"/>
            <w:rtl/>
          </w:rPr>
          <w:t>من</w:t>
        </w:r>
        <w:r w:rsidRPr="004059BF">
          <w:rPr>
            <w:rStyle w:val="Hyperlink"/>
            <w:rtl/>
          </w:rPr>
          <w:t xml:space="preserve"> لا </w:t>
        </w:r>
        <w:r w:rsidRPr="004059BF">
          <w:rPr>
            <w:rStyle w:val="Hyperlink"/>
            <w:rFonts w:hint="cs"/>
            <w:rtl/>
          </w:rPr>
          <w:t>ی</w:t>
        </w:r>
        <w:r w:rsidRPr="004059BF">
          <w:rPr>
            <w:rStyle w:val="Hyperlink"/>
            <w:rFonts w:hint="eastAsia"/>
            <w:rtl/>
          </w:rPr>
          <w:t>حضره</w:t>
        </w:r>
        <w:r w:rsidRPr="004059BF">
          <w:rPr>
            <w:rStyle w:val="Hyperlink"/>
            <w:rtl/>
          </w:rPr>
          <w:t xml:space="preserve"> الفق</w:t>
        </w:r>
        <w:r w:rsidRPr="004059BF">
          <w:rPr>
            <w:rStyle w:val="Hyperlink"/>
            <w:rFonts w:hint="cs"/>
            <w:rtl/>
          </w:rPr>
          <w:t>ی</w:t>
        </w:r>
        <w:r w:rsidRPr="004059BF">
          <w:rPr>
            <w:rStyle w:val="Hyperlink"/>
            <w:rFonts w:hint="eastAsia"/>
            <w:rtl/>
          </w:rPr>
          <w:t>ه،</w:t>
        </w:r>
        <w:r w:rsidRPr="004059BF">
          <w:rPr>
            <w:rStyle w:val="Hyperlink"/>
            <w:rtl/>
          </w:rPr>
          <w:t xml:space="preserve"> ش</w:t>
        </w:r>
        <w:r w:rsidRPr="004059BF">
          <w:rPr>
            <w:rStyle w:val="Hyperlink"/>
            <w:rFonts w:hint="cs"/>
            <w:rtl/>
          </w:rPr>
          <w:t>ی</w:t>
        </w:r>
        <w:r w:rsidRPr="004059BF">
          <w:rPr>
            <w:rStyle w:val="Hyperlink"/>
            <w:rFonts w:hint="eastAsia"/>
            <w:rtl/>
          </w:rPr>
          <w:t>خ</w:t>
        </w:r>
        <w:r w:rsidRPr="004059BF">
          <w:rPr>
            <w:rStyle w:val="Hyperlink"/>
            <w:rtl/>
          </w:rPr>
          <w:t xml:space="preserve"> صدوق، ج3، ص508.</w:t>
        </w:r>
      </w:hyperlink>
    </w:p>
  </w:footnote>
  <w:footnote w:id="3">
    <w:p w:rsidR="00810346" w:rsidRDefault="00810346" w:rsidP="00810346">
      <w:pPr>
        <w:pStyle w:val="FootnoteText"/>
      </w:pPr>
      <w:r>
        <w:rPr>
          <w:rStyle w:val="FootnoteReference"/>
        </w:rPr>
        <w:footnoteRef/>
      </w:r>
      <w:r>
        <w:rPr>
          <w:rtl/>
        </w:rPr>
        <w:t xml:space="preserve"> </w:t>
      </w:r>
      <w:r>
        <w:rPr>
          <w:rFonts w:hint="cs"/>
          <w:rtl/>
        </w:rPr>
        <w:t>مباني منهاج الصالحين، ج‌10، ص</w:t>
      </w:r>
      <w:r w:rsidRPr="00810346">
        <w:rPr>
          <w:rFonts w:hint="cs"/>
          <w:rtl/>
        </w:rPr>
        <w:t xml:space="preserve"> 421‌</w:t>
      </w:r>
    </w:p>
  </w:footnote>
  <w:footnote w:id="4">
    <w:p w:rsidR="00ED5005" w:rsidRDefault="00ED5005">
      <w:pPr>
        <w:pStyle w:val="FootnoteText"/>
      </w:pPr>
      <w:r>
        <w:rPr>
          <w:rStyle w:val="FootnoteReference"/>
        </w:rPr>
        <w:footnoteRef/>
      </w:r>
      <w:r>
        <w:rPr>
          <w:rtl/>
        </w:rPr>
        <w:t xml:space="preserve"> المغني</w:t>
      </w:r>
      <w:r>
        <w:rPr>
          <w:rFonts w:hint="cs"/>
          <w:rtl/>
        </w:rPr>
        <w:t xml:space="preserve">، </w:t>
      </w:r>
      <w:r w:rsidRPr="00ED5005">
        <w:rPr>
          <w:rtl/>
        </w:rPr>
        <w:t xml:space="preserve">ابن </w:t>
      </w:r>
      <w:r>
        <w:rPr>
          <w:rtl/>
        </w:rPr>
        <w:t>قدامة المقدسي</w:t>
      </w:r>
      <w:r>
        <w:rPr>
          <w:rFonts w:hint="cs"/>
          <w:rtl/>
        </w:rPr>
        <w:t xml:space="preserve">، </w:t>
      </w:r>
      <w:r>
        <w:rPr>
          <w:rtl/>
        </w:rPr>
        <w:t>جلد 8  ص</w:t>
      </w:r>
      <w:r w:rsidRPr="00ED5005">
        <w:rPr>
          <w:rtl/>
        </w:rPr>
        <w:t xml:space="preserve"> 154</w:t>
      </w:r>
    </w:p>
  </w:footnote>
  <w:footnote w:id="5">
    <w:p w:rsidR="008C5F70" w:rsidRDefault="008C5F70">
      <w:pPr>
        <w:pStyle w:val="FootnoteText"/>
      </w:pPr>
      <w:r>
        <w:rPr>
          <w:rStyle w:val="FootnoteReference"/>
        </w:rPr>
        <w:footnoteRef/>
      </w:r>
      <w:r>
        <w:rPr>
          <w:rtl/>
        </w:rPr>
        <w:t xml:space="preserve"> بداية المجتهد ونهاية المقتصد</w:t>
      </w:r>
      <w:r>
        <w:rPr>
          <w:rFonts w:hint="cs"/>
          <w:rtl/>
        </w:rPr>
        <w:t>،</w:t>
      </w:r>
      <w:r w:rsidRPr="008C5F70">
        <w:rPr>
          <w:rtl/>
        </w:rPr>
        <w:t xml:space="preserve"> ابن ر</w:t>
      </w:r>
      <w:r>
        <w:rPr>
          <w:rtl/>
        </w:rPr>
        <w:t>شد الحفيد</w:t>
      </w:r>
      <w:r>
        <w:rPr>
          <w:rFonts w:hint="cs"/>
          <w:rtl/>
        </w:rPr>
        <w:t xml:space="preserve">، </w:t>
      </w:r>
      <w:r>
        <w:rPr>
          <w:rtl/>
        </w:rPr>
        <w:t>ج 3 ص</w:t>
      </w:r>
      <w:r w:rsidRPr="008C5F70">
        <w:rPr>
          <w:rtl/>
        </w:rPr>
        <w:t xml:space="preserve"> 141</w:t>
      </w:r>
    </w:p>
  </w:footnote>
  <w:footnote w:id="6">
    <w:p w:rsidR="006B3BB5" w:rsidRDefault="006B3BB5">
      <w:pPr>
        <w:pStyle w:val="FootnoteText"/>
      </w:pPr>
      <w:r>
        <w:rPr>
          <w:rStyle w:val="FootnoteReference"/>
        </w:rPr>
        <w:footnoteRef/>
      </w:r>
      <w:r>
        <w:rPr>
          <w:rtl/>
        </w:rPr>
        <w:t xml:space="preserve"> الحاوي الكبير</w:t>
      </w:r>
      <w:r>
        <w:rPr>
          <w:rFonts w:hint="cs"/>
          <w:rtl/>
        </w:rPr>
        <w:t>،</w:t>
      </w:r>
      <w:r>
        <w:rPr>
          <w:rtl/>
        </w:rPr>
        <w:t xml:space="preserve"> الماوردي</w:t>
      </w:r>
      <w:r>
        <w:rPr>
          <w:rFonts w:hint="cs"/>
          <w:rtl/>
        </w:rPr>
        <w:t>،</w:t>
      </w:r>
      <w:r>
        <w:rPr>
          <w:rtl/>
        </w:rPr>
        <w:t xml:space="preserve"> ج 11  ص</w:t>
      </w:r>
      <w:r w:rsidRPr="006B3BB5">
        <w:rPr>
          <w:rtl/>
        </w:rPr>
        <w:t xml:space="preserve"> 273</w:t>
      </w:r>
    </w:p>
  </w:footnote>
  <w:footnote w:id="7">
    <w:p w:rsidR="00FA76BE" w:rsidRDefault="00FA76BE">
      <w:pPr>
        <w:pStyle w:val="FootnoteText"/>
      </w:pPr>
      <w:r>
        <w:rPr>
          <w:rStyle w:val="FootnoteReference"/>
        </w:rPr>
        <w:footnoteRef/>
      </w:r>
      <w:r>
        <w:rPr>
          <w:rtl/>
        </w:rPr>
        <w:t xml:space="preserve"> </w:t>
      </w:r>
      <w:r>
        <w:rPr>
          <w:rFonts w:hint="cs"/>
          <w:rtl/>
        </w:rPr>
        <w:t>مراد ابن حزم صاحب المحلی می باشد.</w:t>
      </w:r>
    </w:p>
  </w:footnote>
  <w:footnote w:id="8">
    <w:p w:rsidR="00E90A64" w:rsidRDefault="00E90A64" w:rsidP="00827904">
      <w:pPr>
        <w:pStyle w:val="FootnoteText"/>
      </w:pPr>
      <w:r>
        <w:rPr>
          <w:rStyle w:val="FootnoteReference"/>
        </w:rPr>
        <w:footnoteRef/>
      </w:r>
      <w:r>
        <w:rPr>
          <w:rtl/>
        </w:rPr>
        <w:t xml:space="preserve"> المحلى بالآثار</w:t>
      </w:r>
      <w:r>
        <w:rPr>
          <w:rFonts w:hint="cs"/>
          <w:rtl/>
        </w:rPr>
        <w:t>،</w:t>
      </w:r>
      <w:r>
        <w:rPr>
          <w:rtl/>
        </w:rPr>
        <w:t xml:space="preserve"> ابن حزم</w:t>
      </w:r>
      <w:r>
        <w:rPr>
          <w:rFonts w:hint="cs"/>
          <w:rtl/>
        </w:rPr>
        <w:t xml:space="preserve">، </w:t>
      </w:r>
      <w:r>
        <w:rPr>
          <w:rtl/>
        </w:rPr>
        <w:t>ج 10 ص</w:t>
      </w:r>
      <w:r w:rsidRPr="00E90A64">
        <w:rPr>
          <w:rtl/>
        </w:rPr>
        <w:t xml:space="preserve"> </w:t>
      </w:r>
      <w:r w:rsidR="00BA38D3">
        <w:rPr>
          <w:rFonts w:hint="cs"/>
          <w:rtl/>
        </w:rPr>
        <w:t>69 و</w:t>
      </w:r>
      <w:r w:rsidRPr="00E90A64">
        <w:rPr>
          <w:rtl/>
        </w:rPr>
        <w:t>70</w:t>
      </w:r>
    </w:p>
  </w:footnote>
  <w:footnote w:id="9">
    <w:p w:rsidR="00B63CE5" w:rsidRDefault="00B63CE5">
      <w:pPr>
        <w:pStyle w:val="FootnoteText"/>
      </w:pPr>
      <w:r>
        <w:rPr>
          <w:rStyle w:val="FootnoteReference"/>
        </w:rPr>
        <w:footnoteRef/>
      </w:r>
      <w:r>
        <w:rPr>
          <w:rtl/>
        </w:rPr>
        <w:t xml:space="preserve"> </w:t>
      </w:r>
      <w:r>
        <w:rPr>
          <w:rFonts w:hint="cs"/>
          <w:rtl/>
        </w:rPr>
        <w:t>در المحلی بالآثار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3854C5">
      <w:rPr>
        <w:b/>
        <w:bCs/>
        <w:sz w:val="20"/>
        <w:szCs w:val="24"/>
        <w:rtl/>
      </w:rPr>
      <w:t>023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3854C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3854C5">
      <w:rPr>
        <w:b/>
        <w:bCs/>
        <w:color w:val="632423" w:themeColor="accent2" w:themeShade="80"/>
        <w:sz w:val="20"/>
        <w:szCs w:val="24"/>
        <w:rtl/>
      </w:rPr>
      <w:t>س</w:t>
    </w:r>
    <w:r w:rsidR="003854C5">
      <w:rPr>
        <w:rFonts w:hint="cs"/>
        <w:b/>
        <w:bCs/>
        <w:color w:val="632423" w:themeColor="accent2" w:themeShade="80"/>
        <w:sz w:val="20"/>
        <w:szCs w:val="24"/>
        <w:rtl/>
      </w:rPr>
      <w:t>ی</w:t>
    </w:r>
    <w:r w:rsidR="003854C5">
      <w:rPr>
        <w:rFonts w:hint="eastAsia"/>
        <w:b/>
        <w:bCs/>
        <w:color w:val="632423" w:themeColor="accent2" w:themeShade="80"/>
        <w:sz w:val="20"/>
        <w:szCs w:val="24"/>
        <w:rtl/>
      </w:rPr>
      <w:t>د</w:t>
    </w:r>
    <w:r w:rsidR="003854C5">
      <w:rPr>
        <w:b/>
        <w:bCs/>
        <w:color w:val="632423" w:themeColor="accent2" w:themeShade="80"/>
        <w:sz w:val="20"/>
        <w:szCs w:val="24"/>
        <w:rtl/>
      </w:rPr>
      <w:t xml:space="preserve"> محمد جواد شب</w:t>
    </w:r>
    <w:r w:rsidR="003854C5">
      <w:rPr>
        <w:rFonts w:hint="cs"/>
        <w:b/>
        <w:bCs/>
        <w:color w:val="632423" w:themeColor="accent2" w:themeShade="80"/>
        <w:sz w:val="20"/>
        <w:szCs w:val="24"/>
        <w:rtl/>
      </w:rPr>
      <w:t>ی</w:t>
    </w:r>
    <w:r w:rsidR="003854C5">
      <w:rPr>
        <w:rFonts w:hint="eastAsia"/>
        <w:b/>
        <w:bCs/>
        <w:color w:val="632423" w:themeColor="accent2" w:themeShade="80"/>
        <w:sz w:val="20"/>
        <w:szCs w:val="24"/>
        <w:rtl/>
      </w:rPr>
      <w:t>ر</w:t>
    </w:r>
    <w:r w:rsidR="003854C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3854C5">
      <w:rPr>
        <w:sz w:val="24"/>
        <w:szCs w:val="24"/>
        <w:rtl/>
      </w:rPr>
      <w:t>5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3854C5">
      <w:rPr>
        <w:color w:val="000000" w:themeColor="text1"/>
        <w:sz w:val="24"/>
        <w:szCs w:val="24"/>
        <w:rtl/>
      </w:rPr>
      <w:t>تکمله‌</w:t>
    </w:r>
    <w:r w:rsidR="003854C5">
      <w:rPr>
        <w:rFonts w:hint="cs"/>
        <w:color w:val="000000" w:themeColor="text1"/>
        <w:sz w:val="24"/>
        <w:szCs w:val="24"/>
        <w:rtl/>
      </w:rPr>
      <w:t>ی</w:t>
    </w:r>
    <w:r w:rsidR="003854C5">
      <w:rPr>
        <w:color w:val="000000" w:themeColor="text1"/>
        <w:sz w:val="24"/>
        <w:szCs w:val="24"/>
        <w:rtl/>
      </w:rPr>
      <w:t xml:space="preserve"> عروه ( عده‌</w:t>
    </w:r>
    <w:r w:rsidR="003854C5">
      <w:rPr>
        <w:rFonts w:hint="cs"/>
        <w:color w:val="000000" w:themeColor="text1"/>
        <w:sz w:val="24"/>
        <w:szCs w:val="24"/>
        <w:rtl/>
      </w:rPr>
      <w:t>ی</w:t>
    </w:r>
    <w:r w:rsidR="003854C5">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3854C5">
      <w:rPr>
        <w:sz w:val="24"/>
        <w:szCs w:val="24"/>
        <w:rtl/>
      </w:rPr>
      <w:t>مهد</w:t>
    </w:r>
    <w:r w:rsidR="003854C5">
      <w:rPr>
        <w:rFonts w:hint="cs"/>
        <w:sz w:val="24"/>
        <w:szCs w:val="24"/>
        <w:rtl/>
      </w:rPr>
      <w:t>ی</w:t>
    </w:r>
    <w:r w:rsidR="003854C5">
      <w:rPr>
        <w:sz w:val="24"/>
        <w:szCs w:val="24"/>
        <w:rtl/>
      </w:rPr>
      <w:t xml:space="preserve"> کاظم</w:t>
    </w:r>
    <w:r w:rsidR="003854C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3854C5">
      <w:rPr>
        <w:sz w:val="24"/>
        <w:szCs w:val="24"/>
        <w:rtl/>
      </w:rPr>
      <w:t>مساله‌</w:t>
    </w:r>
    <w:r w:rsidR="003854C5">
      <w:rPr>
        <w:rFonts w:hint="cs"/>
        <w:sz w:val="24"/>
        <w:szCs w:val="24"/>
        <w:rtl/>
      </w:rPr>
      <w:t>ی</w:t>
    </w:r>
    <w:r w:rsidR="003854C5">
      <w:rPr>
        <w:sz w:val="24"/>
        <w:szCs w:val="24"/>
        <w:rtl/>
      </w:rPr>
      <w:t xml:space="preserve"> دوم ( حداد)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8505A"/>
    <w:multiLevelType w:val="hybridMultilevel"/>
    <w:tmpl w:val="BCC68F62"/>
    <w:lvl w:ilvl="0" w:tplc="2FBEE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D7E"/>
    <w:rsid w:val="00025777"/>
    <w:rsid w:val="00025B70"/>
    <w:rsid w:val="000353D7"/>
    <w:rsid w:val="00052ABF"/>
    <w:rsid w:val="00055496"/>
    <w:rsid w:val="000558B2"/>
    <w:rsid w:val="00073AA0"/>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2CF3"/>
    <w:rsid w:val="00114AB7"/>
    <w:rsid w:val="00116B2B"/>
    <w:rsid w:val="00124E3D"/>
    <w:rsid w:val="00127E95"/>
    <w:rsid w:val="00130659"/>
    <w:rsid w:val="001347C7"/>
    <w:rsid w:val="001356B0"/>
    <w:rsid w:val="00151937"/>
    <w:rsid w:val="001641DA"/>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023A"/>
    <w:rsid w:val="0020241A"/>
    <w:rsid w:val="00203821"/>
    <w:rsid w:val="00211632"/>
    <w:rsid w:val="0021630D"/>
    <w:rsid w:val="0024121B"/>
    <w:rsid w:val="00247D2F"/>
    <w:rsid w:val="00256560"/>
    <w:rsid w:val="00273D5A"/>
    <w:rsid w:val="00275409"/>
    <w:rsid w:val="0027605E"/>
    <w:rsid w:val="00281E00"/>
    <w:rsid w:val="002851E1"/>
    <w:rsid w:val="00294A52"/>
    <w:rsid w:val="00297B66"/>
    <w:rsid w:val="002B575F"/>
    <w:rsid w:val="002B729B"/>
    <w:rsid w:val="002C23B5"/>
    <w:rsid w:val="002C53A2"/>
    <w:rsid w:val="002C6118"/>
    <w:rsid w:val="002D0040"/>
    <w:rsid w:val="002D2FA8"/>
    <w:rsid w:val="002E220F"/>
    <w:rsid w:val="00307311"/>
    <w:rsid w:val="0032100F"/>
    <w:rsid w:val="0033402C"/>
    <w:rsid w:val="00340521"/>
    <w:rsid w:val="00345C73"/>
    <w:rsid w:val="00354A99"/>
    <w:rsid w:val="00360311"/>
    <w:rsid w:val="00361922"/>
    <w:rsid w:val="0037339B"/>
    <w:rsid w:val="003854C5"/>
    <w:rsid w:val="00386C11"/>
    <w:rsid w:val="00397466"/>
    <w:rsid w:val="003A53B7"/>
    <w:rsid w:val="003A54EA"/>
    <w:rsid w:val="003A6148"/>
    <w:rsid w:val="003C33F6"/>
    <w:rsid w:val="003C3D2E"/>
    <w:rsid w:val="003C43A5"/>
    <w:rsid w:val="003C6459"/>
    <w:rsid w:val="003D68BF"/>
    <w:rsid w:val="003E1C5C"/>
    <w:rsid w:val="003E6650"/>
    <w:rsid w:val="003F5B46"/>
    <w:rsid w:val="00401363"/>
    <w:rsid w:val="00402E47"/>
    <w:rsid w:val="00425015"/>
    <w:rsid w:val="00430994"/>
    <w:rsid w:val="0043441A"/>
    <w:rsid w:val="00441B6D"/>
    <w:rsid w:val="004556EF"/>
    <w:rsid w:val="00462B07"/>
    <w:rsid w:val="00465BD2"/>
    <w:rsid w:val="004715C8"/>
    <w:rsid w:val="00481C31"/>
    <w:rsid w:val="00482FC1"/>
    <w:rsid w:val="00483027"/>
    <w:rsid w:val="004871AA"/>
    <w:rsid w:val="004918D7"/>
    <w:rsid w:val="004926E1"/>
    <w:rsid w:val="004A2FEA"/>
    <w:rsid w:val="004D2DD7"/>
    <w:rsid w:val="004D71FE"/>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600F"/>
    <w:rsid w:val="005805DE"/>
    <w:rsid w:val="00580C24"/>
    <w:rsid w:val="005968EF"/>
    <w:rsid w:val="00596C1E"/>
    <w:rsid w:val="005A2E26"/>
    <w:rsid w:val="005B7BCA"/>
    <w:rsid w:val="005C0DAE"/>
    <w:rsid w:val="005C188E"/>
    <w:rsid w:val="005C3B2D"/>
    <w:rsid w:val="005D2349"/>
    <w:rsid w:val="005E1461"/>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19C1"/>
    <w:rsid w:val="00695519"/>
    <w:rsid w:val="006A4134"/>
    <w:rsid w:val="006A5DDA"/>
    <w:rsid w:val="006A6701"/>
    <w:rsid w:val="006B21F4"/>
    <w:rsid w:val="006B3753"/>
    <w:rsid w:val="006B3BB5"/>
    <w:rsid w:val="006B7AD6"/>
    <w:rsid w:val="006C50FD"/>
    <w:rsid w:val="006C6579"/>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3E31"/>
    <w:rsid w:val="0078594B"/>
    <w:rsid w:val="00795E02"/>
    <w:rsid w:val="007979D0"/>
    <w:rsid w:val="007A28F2"/>
    <w:rsid w:val="007A4E18"/>
    <w:rsid w:val="007A7B8C"/>
    <w:rsid w:val="007C6D9E"/>
    <w:rsid w:val="007D1C43"/>
    <w:rsid w:val="007D3979"/>
    <w:rsid w:val="007D6C53"/>
    <w:rsid w:val="007E1564"/>
    <w:rsid w:val="007E1E87"/>
    <w:rsid w:val="007E5B3F"/>
    <w:rsid w:val="007F2257"/>
    <w:rsid w:val="007F5812"/>
    <w:rsid w:val="0080091D"/>
    <w:rsid w:val="00804108"/>
    <w:rsid w:val="00804FC4"/>
    <w:rsid w:val="00810346"/>
    <w:rsid w:val="00816367"/>
    <w:rsid w:val="00816A0B"/>
    <w:rsid w:val="00824B22"/>
    <w:rsid w:val="00827904"/>
    <w:rsid w:val="00830C53"/>
    <w:rsid w:val="00837FAA"/>
    <w:rsid w:val="00841F77"/>
    <w:rsid w:val="0085276D"/>
    <w:rsid w:val="00863390"/>
    <w:rsid w:val="0086385C"/>
    <w:rsid w:val="00871916"/>
    <w:rsid w:val="008736B0"/>
    <w:rsid w:val="008955E4"/>
    <w:rsid w:val="008956DD"/>
    <w:rsid w:val="008A510E"/>
    <w:rsid w:val="008A522A"/>
    <w:rsid w:val="008B4464"/>
    <w:rsid w:val="008B750B"/>
    <w:rsid w:val="008C3162"/>
    <w:rsid w:val="008C49AD"/>
    <w:rsid w:val="008C5F70"/>
    <w:rsid w:val="008D1F14"/>
    <w:rsid w:val="008D7918"/>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3410"/>
    <w:rsid w:val="009846A7"/>
    <w:rsid w:val="0098794D"/>
    <w:rsid w:val="0099497B"/>
    <w:rsid w:val="009A43BA"/>
    <w:rsid w:val="009B0D05"/>
    <w:rsid w:val="009B4CA6"/>
    <w:rsid w:val="009B79F8"/>
    <w:rsid w:val="009C66D5"/>
    <w:rsid w:val="009D13FD"/>
    <w:rsid w:val="009D266A"/>
    <w:rsid w:val="009F3E50"/>
    <w:rsid w:val="009F7E07"/>
    <w:rsid w:val="00A01522"/>
    <w:rsid w:val="00A10A11"/>
    <w:rsid w:val="00A13C6A"/>
    <w:rsid w:val="00A17B09"/>
    <w:rsid w:val="00A234D4"/>
    <w:rsid w:val="00A457C6"/>
    <w:rsid w:val="00A46AD0"/>
    <w:rsid w:val="00A47063"/>
    <w:rsid w:val="00A473A8"/>
    <w:rsid w:val="00A513F0"/>
    <w:rsid w:val="00A61AC8"/>
    <w:rsid w:val="00A6366F"/>
    <w:rsid w:val="00A65D4C"/>
    <w:rsid w:val="00A70512"/>
    <w:rsid w:val="00A84BC1"/>
    <w:rsid w:val="00AA1F60"/>
    <w:rsid w:val="00AA40D7"/>
    <w:rsid w:val="00AB5F7D"/>
    <w:rsid w:val="00AC0C50"/>
    <w:rsid w:val="00AC6FE2"/>
    <w:rsid w:val="00AE5220"/>
    <w:rsid w:val="00AF3925"/>
    <w:rsid w:val="00B1296B"/>
    <w:rsid w:val="00B2292F"/>
    <w:rsid w:val="00B43169"/>
    <w:rsid w:val="00B501A8"/>
    <w:rsid w:val="00B55AE4"/>
    <w:rsid w:val="00B55E75"/>
    <w:rsid w:val="00B63CE5"/>
    <w:rsid w:val="00B70B46"/>
    <w:rsid w:val="00B739B0"/>
    <w:rsid w:val="00B814A3"/>
    <w:rsid w:val="00B96F38"/>
    <w:rsid w:val="00BA38D3"/>
    <w:rsid w:val="00BC716B"/>
    <w:rsid w:val="00BD0E74"/>
    <w:rsid w:val="00BD5F8C"/>
    <w:rsid w:val="00BE29DD"/>
    <w:rsid w:val="00BF5294"/>
    <w:rsid w:val="00C066AF"/>
    <w:rsid w:val="00C10E06"/>
    <w:rsid w:val="00C145B8"/>
    <w:rsid w:val="00C2438F"/>
    <w:rsid w:val="00C31AF0"/>
    <w:rsid w:val="00C32A7E"/>
    <w:rsid w:val="00C34186"/>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4529"/>
    <w:rsid w:val="00CE7481"/>
    <w:rsid w:val="00CF0A8F"/>
    <w:rsid w:val="00D048CE"/>
    <w:rsid w:val="00D10998"/>
    <w:rsid w:val="00D10C57"/>
    <w:rsid w:val="00D15CBD"/>
    <w:rsid w:val="00D221CB"/>
    <w:rsid w:val="00D23391"/>
    <w:rsid w:val="00D31805"/>
    <w:rsid w:val="00D4484A"/>
    <w:rsid w:val="00D552B9"/>
    <w:rsid w:val="00D735B2"/>
    <w:rsid w:val="00D74021"/>
    <w:rsid w:val="00D76D01"/>
    <w:rsid w:val="00D922A9"/>
    <w:rsid w:val="00D9394A"/>
    <w:rsid w:val="00DA303D"/>
    <w:rsid w:val="00DB0CBB"/>
    <w:rsid w:val="00DB67CC"/>
    <w:rsid w:val="00DC3783"/>
    <w:rsid w:val="00DC7100"/>
    <w:rsid w:val="00DE1070"/>
    <w:rsid w:val="00E00219"/>
    <w:rsid w:val="00E0316B"/>
    <w:rsid w:val="00E25E10"/>
    <w:rsid w:val="00E50B41"/>
    <w:rsid w:val="00E5219B"/>
    <w:rsid w:val="00E52D07"/>
    <w:rsid w:val="00E535A2"/>
    <w:rsid w:val="00E5518B"/>
    <w:rsid w:val="00E609FE"/>
    <w:rsid w:val="00E630BE"/>
    <w:rsid w:val="00E74314"/>
    <w:rsid w:val="00E75920"/>
    <w:rsid w:val="00E76EA7"/>
    <w:rsid w:val="00E80D96"/>
    <w:rsid w:val="00E871FA"/>
    <w:rsid w:val="00E90A64"/>
    <w:rsid w:val="00E936A4"/>
    <w:rsid w:val="00E954BB"/>
    <w:rsid w:val="00EA45E7"/>
    <w:rsid w:val="00EB78E3"/>
    <w:rsid w:val="00EB7BE3"/>
    <w:rsid w:val="00EC1C4B"/>
    <w:rsid w:val="00EC735A"/>
    <w:rsid w:val="00ED5005"/>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67AE6"/>
    <w:rsid w:val="00F71465"/>
    <w:rsid w:val="00F71FC9"/>
    <w:rsid w:val="00F73B48"/>
    <w:rsid w:val="00F74F51"/>
    <w:rsid w:val="00F77BBC"/>
    <w:rsid w:val="00F842AD"/>
    <w:rsid w:val="00F914EB"/>
    <w:rsid w:val="00F91B85"/>
    <w:rsid w:val="00F92741"/>
    <w:rsid w:val="00F938E7"/>
    <w:rsid w:val="00FA3B17"/>
    <w:rsid w:val="00FA5E8D"/>
    <w:rsid w:val="00FA5F3D"/>
    <w:rsid w:val="00FA76BE"/>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692609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674003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915873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632666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1/3/508/&#1575;&#1604;&#1587;&#1575;&#1576;&#1575;&#1591;&#1740;" TargetMode="External"/><Relationship Id="rId1" Type="http://schemas.openxmlformats.org/officeDocument/2006/relationships/hyperlink" Target="http://lib.eshia.ir/10081/1/63/&#1575;&#1604;&#1605;&#1587;&#1578;&#1601;&#1740;&#159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D8D4-03FF-4FE0-866D-037F0B26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3455</TotalTime>
  <Pages>4</Pages>
  <Words>806</Words>
  <Characters>4596</Characters>
  <Application>Microsoft Office Word</Application>
  <DocSecurity>0</DocSecurity>
  <Lines>38</Lines>
  <Paragraphs>10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5392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56</cp:revision>
  <dcterms:created xsi:type="dcterms:W3CDTF">2020-11-26T07:40:00Z</dcterms:created>
  <dcterms:modified xsi:type="dcterms:W3CDTF">2020-12-09T04:13:00Z</dcterms:modified>
  <cp:contentStatus>ویرایش 2.5</cp:contentStatus>
  <cp:version>2.7</cp:version>
</cp:coreProperties>
</file>