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C40" w:rsidRDefault="00595C40" w:rsidP="00595C40">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595C40" w:rsidRDefault="00595C40" w:rsidP="00595C40">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9</w:t>
      </w:r>
      <w:r>
        <w:rPr>
          <w:rFonts w:ascii="IRANSans" w:hAnsi="IRANSans" w:cs="IRANSans" w:hint="cs"/>
          <w:b/>
          <w:bCs/>
          <w:color w:val="0101FF"/>
          <w:sz w:val="24"/>
          <w:szCs w:val="24"/>
          <w:shd w:val="clear" w:color="auto" w:fill="FFFFFF"/>
          <w:rtl/>
        </w:rPr>
        <w:t>8</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30</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1399 </w:t>
      </w:r>
      <w:r w:rsidRPr="00595C40">
        <w:rPr>
          <w:rFonts w:ascii="IRANSans" w:hAnsi="IRANSans" w:cs="IRANSans"/>
          <w:b/>
          <w:bCs/>
          <w:color w:val="0101FF"/>
          <w:sz w:val="24"/>
          <w:szCs w:val="24"/>
          <w:shd w:val="clear" w:color="auto" w:fill="FFFFFF"/>
          <w:rtl/>
        </w:rPr>
        <w:t>مساله</w:t>
      </w:r>
      <w:r w:rsidRPr="00595C40">
        <w:rPr>
          <w:rFonts w:ascii="IRANSans" w:hAnsi="IRANSans" w:cs="IRANSans" w:hint="cs"/>
          <w:b/>
          <w:bCs/>
          <w:color w:val="0101FF"/>
          <w:sz w:val="24"/>
          <w:szCs w:val="24"/>
          <w:shd w:val="clear" w:color="auto" w:fill="FFFFFF"/>
          <w:rtl/>
        </w:rPr>
        <w:t>‌ی</w:t>
      </w:r>
      <w:r w:rsidRPr="00595C40">
        <w:rPr>
          <w:rFonts w:ascii="IRANSans" w:hAnsi="IRANSans" w:cs="IRANSans"/>
          <w:b/>
          <w:bCs/>
          <w:color w:val="0101FF"/>
          <w:sz w:val="24"/>
          <w:szCs w:val="24"/>
          <w:shd w:val="clear" w:color="auto" w:fill="FFFFFF"/>
          <w:rtl/>
        </w:rPr>
        <w:t xml:space="preserve"> دوم ( حداد)</w:t>
      </w:r>
      <w:r w:rsidRPr="00595C40">
        <w:rPr>
          <w:rFonts w:ascii="IRANSans" w:hAnsi="IRANSans" w:cs="IRANSans" w:hint="c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247D2F" w:rsidRPr="003A6148" w:rsidRDefault="00247D2F" w:rsidP="003A6148">
      <w:pPr>
        <w:pBdr>
          <w:bottom w:val="double" w:sz="6" w:space="1" w:color="auto"/>
        </w:pBdr>
      </w:pPr>
    </w:p>
    <w:p w:rsidR="008F5B4D" w:rsidRDefault="008F5B4D" w:rsidP="003A6148"/>
    <w:p w:rsidR="001A1EA5" w:rsidRDefault="00374A8D" w:rsidP="00AE5501">
      <w:pPr>
        <w:pStyle w:val="Heading1"/>
        <w:tabs>
          <w:tab w:val="left" w:pos="6548"/>
        </w:tabs>
        <w:rPr>
          <w:rtl/>
        </w:rPr>
      </w:pPr>
      <w:bookmarkStart w:id="1" w:name="_Toc54271222"/>
      <w:r>
        <w:rPr>
          <w:rFonts w:hint="cs"/>
          <w:rtl/>
        </w:rPr>
        <w:t>مساله</w:t>
      </w:r>
      <w:r>
        <w:rPr>
          <w:rFonts w:hint="eastAsia"/>
          <w:rtl/>
        </w:rPr>
        <w:t>‌</w:t>
      </w:r>
      <w:r>
        <w:rPr>
          <w:rFonts w:hint="cs"/>
          <w:rtl/>
        </w:rPr>
        <w:t>ی دومِ فصل اولِ تکمله</w:t>
      </w:r>
      <w:r>
        <w:rPr>
          <w:rFonts w:hint="eastAsia"/>
          <w:rtl/>
        </w:rPr>
        <w:t>‌</w:t>
      </w:r>
      <w:r>
        <w:rPr>
          <w:rFonts w:hint="cs"/>
          <w:rtl/>
        </w:rPr>
        <w:t>ی عروه</w:t>
      </w:r>
      <w:bookmarkEnd w:id="1"/>
      <w:r w:rsidR="00AE5501">
        <w:rPr>
          <w:rtl/>
        </w:rPr>
        <w:tab/>
      </w:r>
    </w:p>
    <w:p w:rsidR="00374A8D" w:rsidRPr="00374A8D" w:rsidRDefault="00374A8D" w:rsidP="00374A8D">
      <w:pPr>
        <w:jc w:val="both"/>
        <w:rPr>
          <w:color w:val="0000FF"/>
          <w:rtl/>
        </w:rPr>
      </w:pPr>
      <w:r w:rsidRPr="00374A8D">
        <w:rPr>
          <w:rFonts w:hint="cs"/>
          <w:color w:val="0000FF"/>
          <w:rtl/>
        </w:rPr>
        <w:t>مسألة 2: يجب عليها في وفاة زوجها الحداد ما دامت في العدة</w:t>
      </w:r>
      <w:r w:rsidRPr="00374A8D">
        <w:rPr>
          <w:rFonts w:hint="cs"/>
          <w:color w:val="0000FF"/>
        </w:rPr>
        <w:t>‌</w:t>
      </w:r>
      <w:r w:rsidRPr="00374A8D">
        <w:rPr>
          <w:rFonts w:hint="cs"/>
          <w:color w:val="0000FF"/>
          <w:rtl/>
        </w:rPr>
        <w:t>، و هو كالاحداد في الشرع بل و اللّغة ترك الزينة في البدن و اللباس، بمثل التكحل و التطيب و الخضاب و الحمرة و الخطاط و ماء الذهب و نحوها، و ليس ما يعد زينة كالأحمر و الأصفر و الحلّي و لبس الحرير و الديباج و نحوها من الثياب، و بالجملة كل ما يعد زينة ممّا تتزين به للزوج المختلف بحسب الأشخاص و البلدان و الأزمان فيحكم في كلّ بلد بما هو‌ المعتاد فيه، و الاقتصار في الأخبار على الثوب المصبوغ إنّما هو من باب المثال بل المدار على ما يعد زينة بحسب حالها فقد يكون الأسود زينة و قد يكون الأبيض زينة، نعم لا بأس بتنظيف البدن و اللباس و تسريح الشعر و تقليم الأظفار و السواك و دخول الحمام و لا السكنى في المساكن العالية و لا الافتراش بالفرش الفاخرة ممّا لا يعد زينة في البدن و اللباس، و يدل على وجوب ترك الزينة الإجماع و الأخبار المستفيضة، نعم لا بأس بها مع الضرورة و عليها يحمل إطلاق الجواز في بعض الأخبار</w:t>
      </w:r>
      <w:r>
        <w:rPr>
          <w:rStyle w:val="FootnoteReference"/>
          <w:color w:val="0000FF"/>
          <w:rtl/>
        </w:rPr>
        <w:footnoteReference w:id="1"/>
      </w:r>
    </w:p>
    <w:p w:rsidR="00F17FD5" w:rsidRDefault="00F17FD5" w:rsidP="00F17FD5">
      <w:pPr>
        <w:jc w:val="both"/>
        <w:rPr>
          <w:rtl/>
        </w:rPr>
      </w:pPr>
      <w:r>
        <w:rPr>
          <w:rFonts w:hint="cs"/>
          <w:rtl/>
        </w:rPr>
        <w:lastRenderedPageBreak/>
        <w:t>در عبارت «</w:t>
      </w:r>
      <w:r w:rsidRPr="00374A8D">
        <w:rPr>
          <w:rFonts w:hint="cs"/>
          <w:color w:val="0000FF"/>
          <w:rtl/>
        </w:rPr>
        <w:t>و ليس ما يعد زينة كالأحمر</w:t>
      </w:r>
      <w:r>
        <w:rPr>
          <w:rFonts w:hint="cs"/>
          <w:rtl/>
        </w:rPr>
        <w:t>» لبس صحیح است که به اشتباه لیس آمده است.</w:t>
      </w:r>
    </w:p>
    <w:p w:rsidR="00374A8D" w:rsidRDefault="00AE5501" w:rsidP="00AE5501">
      <w:pPr>
        <w:jc w:val="both"/>
        <w:rPr>
          <w:rtl/>
        </w:rPr>
      </w:pPr>
      <w:r>
        <w:rPr>
          <w:rFonts w:hint="cs"/>
          <w:rtl/>
        </w:rPr>
        <w:t>مرحوم سید یزدی می فرماید: در ایام عده</w:t>
      </w:r>
      <w:r>
        <w:rPr>
          <w:rFonts w:hint="eastAsia"/>
          <w:rtl/>
        </w:rPr>
        <w:t>‌</w:t>
      </w:r>
      <w:r>
        <w:rPr>
          <w:rFonts w:hint="cs"/>
          <w:rtl/>
        </w:rPr>
        <w:t>ی وفات، حداد بر زن واجب است.</w:t>
      </w:r>
      <w:r w:rsidR="006A444A">
        <w:rPr>
          <w:rFonts w:hint="cs"/>
          <w:rtl/>
        </w:rPr>
        <w:t xml:space="preserve"> حداد مانند احداد در شرع و بلکه در لغت به معنای ترک زینت در بدن و لبا</w:t>
      </w:r>
      <w:r w:rsidR="00D50EDA">
        <w:rPr>
          <w:rFonts w:hint="cs"/>
          <w:rtl/>
        </w:rPr>
        <w:t xml:space="preserve">س می باشد؛ مانند سرمه کشیدن، عطر زدن، خضاب کردن، </w:t>
      </w:r>
      <w:r w:rsidR="00391993">
        <w:rPr>
          <w:rFonts w:hint="cs"/>
          <w:rtl/>
        </w:rPr>
        <w:t>قرمزی، ایجاد خط و خطاطی</w:t>
      </w:r>
      <w:r w:rsidR="00A050C1">
        <w:rPr>
          <w:rFonts w:hint="cs"/>
          <w:rtl/>
        </w:rPr>
        <w:t xml:space="preserve"> و آب طلا و مانند آن و پوشیدن آن چه که زینت به شمار </w:t>
      </w:r>
      <w:r w:rsidR="006240C9">
        <w:rPr>
          <w:rFonts w:hint="cs"/>
          <w:rtl/>
        </w:rPr>
        <w:t>آید؛ مانند لباس قرمز، لباس زرد، زیور آلات،</w:t>
      </w:r>
      <w:r w:rsidR="00A050C1">
        <w:rPr>
          <w:rFonts w:hint="cs"/>
          <w:rtl/>
        </w:rPr>
        <w:t xml:space="preserve"> پوشیدن ابریشم و </w:t>
      </w:r>
      <w:r w:rsidR="00354D83">
        <w:rPr>
          <w:rFonts w:hint="cs"/>
          <w:rtl/>
        </w:rPr>
        <w:t>لباس هایی مانند آن؛ خلاصه هر آن چه که به واسطه</w:t>
      </w:r>
      <w:r w:rsidR="00354D83">
        <w:rPr>
          <w:rFonts w:hint="eastAsia"/>
          <w:rtl/>
        </w:rPr>
        <w:t>‌</w:t>
      </w:r>
      <w:r w:rsidR="00354D83">
        <w:rPr>
          <w:rFonts w:hint="cs"/>
          <w:rtl/>
        </w:rPr>
        <w:t>ی آن برای شوهر زینت می کنند.</w:t>
      </w:r>
    </w:p>
    <w:p w:rsidR="00F17FD5" w:rsidRDefault="00F17FD5" w:rsidP="00AE5501">
      <w:pPr>
        <w:jc w:val="both"/>
        <w:rPr>
          <w:rtl/>
        </w:rPr>
      </w:pPr>
      <w:r>
        <w:rPr>
          <w:rFonts w:hint="cs"/>
          <w:rtl/>
        </w:rPr>
        <w:t>مرحوم آقای قمی قید «</w:t>
      </w:r>
      <w:r w:rsidR="00F44FB4">
        <w:rPr>
          <w:rFonts w:hint="cs"/>
          <w:rtl/>
        </w:rPr>
        <w:t xml:space="preserve">للزوج» را در عبارت </w:t>
      </w:r>
      <w:r w:rsidR="00F44FB4" w:rsidRPr="00374A8D">
        <w:rPr>
          <w:rFonts w:hint="cs"/>
          <w:color w:val="0000FF"/>
          <w:rtl/>
        </w:rPr>
        <w:t>ممّا تتزين به للزوج</w:t>
      </w:r>
      <w:r w:rsidR="00F44FB4">
        <w:rPr>
          <w:rFonts w:hint="cs"/>
          <w:rtl/>
        </w:rPr>
        <w:t xml:space="preserve"> صحیح نمی داند؛ زیرا دو نوع زینت وجود ندارد که یک نوع</w:t>
      </w:r>
      <w:r w:rsidR="00C627EB">
        <w:rPr>
          <w:rFonts w:hint="cs"/>
          <w:rtl/>
        </w:rPr>
        <w:t>،</w:t>
      </w:r>
      <w:r w:rsidR="00F44FB4">
        <w:rPr>
          <w:rFonts w:hint="cs"/>
          <w:rtl/>
        </w:rPr>
        <w:t xml:space="preserve"> مخصوص زوج باشد و یک نوع</w:t>
      </w:r>
      <w:r w:rsidR="00C627EB">
        <w:rPr>
          <w:rFonts w:hint="cs"/>
          <w:rtl/>
        </w:rPr>
        <w:t>،</w:t>
      </w:r>
      <w:r w:rsidR="00F44FB4">
        <w:rPr>
          <w:rFonts w:hint="cs"/>
          <w:rtl/>
        </w:rPr>
        <w:t xml:space="preserve"> مخصوص غیر زوج باشد.</w:t>
      </w:r>
    </w:p>
    <w:p w:rsidR="00374A8D" w:rsidRDefault="00AE06DE" w:rsidP="00374A8D">
      <w:pPr>
        <w:jc w:val="both"/>
        <w:rPr>
          <w:rtl/>
        </w:rPr>
      </w:pPr>
      <w:r>
        <w:rPr>
          <w:rFonts w:hint="cs"/>
          <w:rtl/>
        </w:rPr>
        <w:t xml:space="preserve">مرحوم سید یزدی در ادامه می فرماید: </w:t>
      </w:r>
      <w:r w:rsidR="007A4E6C">
        <w:rPr>
          <w:rFonts w:hint="cs"/>
          <w:rtl/>
        </w:rPr>
        <w:t>زینت به حسب اشخاص، شهرها و زمان های مختلف، متفاوت است؛ ممکن است چیزی در زمان خاصی یا در شهری زینت باشد و در زمان های دیگر یا بلاد دیگر زینت نباشد.</w:t>
      </w:r>
      <w:r w:rsidR="001C47AD">
        <w:rPr>
          <w:rFonts w:hint="cs"/>
          <w:rtl/>
        </w:rPr>
        <w:t xml:space="preserve"> این که در بعضی از روایات فقط ثوب مصبوغ را ذکر کرده است، از باب مثال می باشد.</w:t>
      </w:r>
    </w:p>
    <w:p w:rsidR="001C47AD" w:rsidRDefault="001C47AD" w:rsidP="00374A8D">
      <w:pPr>
        <w:jc w:val="both"/>
        <w:rPr>
          <w:rtl/>
        </w:rPr>
      </w:pPr>
      <w:r>
        <w:rPr>
          <w:rFonts w:hint="cs"/>
          <w:rtl/>
        </w:rPr>
        <w:t>روایات تعبیرات مختلف دارد و از مجموع آن ها مشخص می شود که موارد مذکور در روایات از باب مثال می باشد</w:t>
      </w:r>
      <w:r w:rsidR="00442013">
        <w:rPr>
          <w:rFonts w:hint="cs"/>
          <w:rtl/>
        </w:rPr>
        <w:t xml:space="preserve"> و مطلق تزین برای زنی که در عده</w:t>
      </w:r>
      <w:r w:rsidR="00442013">
        <w:rPr>
          <w:rFonts w:hint="eastAsia"/>
          <w:rtl/>
        </w:rPr>
        <w:t>‌</w:t>
      </w:r>
      <w:r w:rsidR="00442013">
        <w:rPr>
          <w:rFonts w:hint="cs"/>
          <w:rtl/>
        </w:rPr>
        <w:t>ی وفات می باشد، ممنوع است.</w:t>
      </w:r>
    </w:p>
    <w:p w:rsidR="00374A8D" w:rsidRDefault="00794A46" w:rsidP="00374A8D">
      <w:pPr>
        <w:jc w:val="both"/>
        <w:rPr>
          <w:rtl/>
        </w:rPr>
      </w:pPr>
      <w:r>
        <w:rPr>
          <w:rFonts w:hint="cs"/>
          <w:rtl/>
        </w:rPr>
        <w:t xml:space="preserve">سپس می فرماید: بلکه </w:t>
      </w:r>
      <w:r w:rsidR="004E0A99">
        <w:rPr>
          <w:rFonts w:hint="cs"/>
          <w:rtl/>
        </w:rPr>
        <w:t>ملاک در زینت به حسب حال زن می باشد؛ گاهی ممکن است لباس سیاه یا سفید نیز زینت به حساب آید.</w:t>
      </w:r>
      <w:r w:rsidR="00614A8B">
        <w:rPr>
          <w:rFonts w:hint="cs"/>
          <w:rtl/>
        </w:rPr>
        <w:t xml:space="preserve"> بله نظافت بدن و لباس، شانه کردن مو، گرفتن ناخن، مسواک زدن و حمام رفتن</w:t>
      </w:r>
      <w:r w:rsidR="000F2CD2">
        <w:rPr>
          <w:rFonts w:hint="cs"/>
          <w:rtl/>
        </w:rPr>
        <w:t xml:space="preserve"> زینت نمی باشد و</w:t>
      </w:r>
      <w:r w:rsidR="0015237E">
        <w:rPr>
          <w:rFonts w:hint="cs"/>
          <w:rtl/>
        </w:rPr>
        <w:t xml:space="preserve"> اشکال ندارد.</w:t>
      </w:r>
      <w:r w:rsidR="009D7A0A">
        <w:rPr>
          <w:rFonts w:hint="cs"/>
          <w:rtl/>
        </w:rPr>
        <w:t xml:space="preserve"> فرش های فاخر</w:t>
      </w:r>
      <w:r w:rsidR="00C627EB">
        <w:rPr>
          <w:rFonts w:hint="cs"/>
          <w:rtl/>
        </w:rPr>
        <w:t xml:space="preserve"> و ... نیز ممنوع نمی باشد. آن چه ممنوع است، </w:t>
      </w:r>
      <w:r w:rsidR="00F374F3">
        <w:rPr>
          <w:rFonts w:hint="cs"/>
          <w:rtl/>
        </w:rPr>
        <w:t>زینت در بدن و لباس می باشد.</w:t>
      </w:r>
      <w:r w:rsidR="00023388">
        <w:rPr>
          <w:rFonts w:hint="cs"/>
          <w:rtl/>
        </w:rPr>
        <w:t xml:space="preserve"> </w:t>
      </w:r>
      <w:r w:rsidR="00064905">
        <w:rPr>
          <w:rFonts w:hint="cs"/>
          <w:rtl/>
        </w:rPr>
        <w:t>اجماع و اخبار مستفیضه بر وجوب ترک زینت دلالت می کنند.</w:t>
      </w:r>
      <w:r w:rsidR="00870C1C">
        <w:rPr>
          <w:rFonts w:hint="cs"/>
          <w:rtl/>
        </w:rPr>
        <w:t xml:space="preserve"> بله در ص</w:t>
      </w:r>
      <w:r w:rsidR="0077332C">
        <w:rPr>
          <w:rFonts w:hint="cs"/>
          <w:rtl/>
        </w:rPr>
        <w:t>ورت ضرورت زینت کردن اشکال ندارد و جواز زینت در اطلاق بعضی از روایات بر صورت ضرورت حمل می شود.</w:t>
      </w:r>
    </w:p>
    <w:p w:rsidR="005D440C" w:rsidRDefault="000E343C" w:rsidP="000E343C">
      <w:pPr>
        <w:pStyle w:val="Heading1"/>
        <w:rPr>
          <w:rtl/>
        </w:rPr>
      </w:pPr>
      <w:bookmarkStart w:id="2" w:name="_Toc54271223"/>
      <w:r>
        <w:rPr>
          <w:rFonts w:hint="cs"/>
          <w:rtl/>
        </w:rPr>
        <w:t>روایات حداد</w:t>
      </w:r>
      <w:bookmarkEnd w:id="2"/>
    </w:p>
    <w:p w:rsidR="000E343C" w:rsidRDefault="000E343C" w:rsidP="005D440C">
      <w:pPr>
        <w:jc w:val="both"/>
        <w:rPr>
          <w:rtl/>
        </w:rPr>
      </w:pPr>
      <w:r>
        <w:rPr>
          <w:rFonts w:hint="cs"/>
          <w:rtl/>
        </w:rPr>
        <w:t>در جامع احادیث الشیعه در باب هفدهم از ابواب عدد</w:t>
      </w:r>
      <w:r>
        <w:rPr>
          <w:rStyle w:val="FootnoteReference"/>
          <w:rtl/>
        </w:rPr>
        <w:footnoteReference w:id="2"/>
      </w:r>
      <w:r w:rsidR="00A01973">
        <w:rPr>
          <w:rFonts w:hint="cs"/>
          <w:rtl/>
        </w:rPr>
        <w:t xml:space="preserve"> روایات حداد ذکر شده است.</w:t>
      </w:r>
    </w:p>
    <w:p w:rsidR="00A01973" w:rsidRDefault="00A01973" w:rsidP="005D440C">
      <w:pPr>
        <w:jc w:val="both"/>
      </w:pPr>
      <w:r>
        <w:rPr>
          <w:rFonts w:hint="cs"/>
          <w:rtl/>
        </w:rPr>
        <w:t>در بعضی از این روایات، «کحل، طیب و ثوب مصبوغ» بیان شده اند. در بعضی روایات، «کحل، مشط و خضاب» مطرح شده است.</w:t>
      </w:r>
      <w:r w:rsidR="003B0A88">
        <w:rPr>
          <w:rFonts w:hint="cs"/>
          <w:rtl/>
        </w:rPr>
        <w:t xml:space="preserve"> البته متعارف شانه کردن زینت به حساب نمی آید؛ مگر آن که نوع خاصی از شانه کردن مد نظر باشد.</w:t>
      </w:r>
      <w:r w:rsidR="00B91E6E">
        <w:rPr>
          <w:rFonts w:hint="cs"/>
          <w:rtl/>
        </w:rPr>
        <w:t xml:space="preserve"> روایت زراره </w:t>
      </w:r>
      <w:r w:rsidR="00B91E6E">
        <w:rPr>
          <w:rFonts w:hint="cs"/>
          <w:rtl/>
        </w:rPr>
        <w:lastRenderedPageBreak/>
        <w:t>معنای عامی را بیان می کند و «طیب و تزین» را ذکر کرده است.</w:t>
      </w:r>
      <w:r w:rsidR="00A6025E">
        <w:rPr>
          <w:rFonts w:hint="cs"/>
          <w:rtl/>
        </w:rPr>
        <w:t xml:space="preserve"> در بعضی روایات فقط «طیب» ذکر شده است.</w:t>
      </w:r>
      <w:r w:rsidR="00A3105C">
        <w:rPr>
          <w:rFonts w:hint="cs"/>
          <w:rtl/>
        </w:rPr>
        <w:t xml:space="preserve"> در بعضی روایات تعبیر «حداد و تحد» ذکر شده است.</w:t>
      </w:r>
    </w:p>
    <w:p w:rsidR="00E20192" w:rsidRDefault="00E20192" w:rsidP="00E20192">
      <w:pPr>
        <w:pStyle w:val="Heading2"/>
        <w:rPr>
          <w:rtl/>
        </w:rPr>
      </w:pPr>
      <w:bookmarkStart w:id="3" w:name="_Toc54271224"/>
      <w:r>
        <w:rPr>
          <w:rFonts w:hint="cs"/>
          <w:rtl/>
        </w:rPr>
        <w:t>روایت اول</w:t>
      </w:r>
      <w:bookmarkEnd w:id="3"/>
    </w:p>
    <w:p w:rsidR="008F1638" w:rsidRDefault="008F1638" w:rsidP="005D440C">
      <w:pPr>
        <w:jc w:val="both"/>
        <w:rPr>
          <w:rtl/>
        </w:rPr>
      </w:pPr>
      <w:r>
        <w:rPr>
          <w:rFonts w:hint="cs"/>
          <w:rtl/>
        </w:rPr>
        <w:t>جمع بین روایات مختلف با تعابیر متفاوت همان معنایی است که در روایت زرا</w:t>
      </w:r>
      <w:r w:rsidR="000001EA">
        <w:rPr>
          <w:rFonts w:hint="cs"/>
          <w:rtl/>
        </w:rPr>
        <w:t>ره وارد شده است:</w:t>
      </w:r>
    </w:p>
    <w:p w:rsidR="005D440C" w:rsidRPr="006240C9" w:rsidRDefault="005D440C" w:rsidP="006240C9">
      <w:pPr>
        <w:jc w:val="both"/>
        <w:rPr>
          <w:color w:val="008000"/>
        </w:rPr>
      </w:pPr>
      <w:r w:rsidRPr="005D440C">
        <w:rPr>
          <w:rFonts w:hint="cs"/>
          <w:rtl/>
        </w:rPr>
        <w:t xml:space="preserve">مُحَمَّدُ بْنُ يَحْيَى عَنْ أَحْمَدَ بْنِ مُحَمَّدٍ عَنْ مُحَمَّدِ بْنِ خَالِدٍ عَنِ الْقَاسِمِ بْنِ عُرْوَةَ عَنْ زُرَارَةَ عَنْ أَبِي عَبْدِ اللَّهِ ع قَالَ: </w:t>
      </w:r>
      <w:r w:rsidRPr="005D440C">
        <w:rPr>
          <w:rFonts w:hint="cs"/>
          <w:color w:val="008000"/>
          <w:rtl/>
        </w:rPr>
        <w:t>الْمُتَوَفَّى عَنْهَا زَوْجُهَا لَيْسَ‏ لَهَا أَنْ‏ تَطَيَّبَ‏ وَ لَا تَزَيَّنَ حَتَّى تَنْقَضِيَ عِدَّتُهَا أَرْبَعَةَ أَشْهُرٍ وَ عَشَرَةَ أَيَّامٍ.</w:t>
      </w:r>
      <w:r>
        <w:rPr>
          <w:rStyle w:val="FootnoteReference"/>
          <w:color w:val="008000"/>
          <w:rtl/>
        </w:rPr>
        <w:footnoteReference w:id="3"/>
      </w:r>
    </w:p>
    <w:p w:rsidR="00374A8D" w:rsidRDefault="00E20192" w:rsidP="00E20192">
      <w:pPr>
        <w:pStyle w:val="Heading2"/>
        <w:rPr>
          <w:rtl/>
        </w:rPr>
      </w:pPr>
      <w:bookmarkStart w:id="4" w:name="_Toc54271225"/>
      <w:r>
        <w:rPr>
          <w:rFonts w:hint="cs"/>
          <w:rtl/>
        </w:rPr>
        <w:t>روایت دوم</w:t>
      </w:r>
      <w:bookmarkEnd w:id="4"/>
    </w:p>
    <w:p w:rsidR="005D440C" w:rsidRPr="005D440C" w:rsidRDefault="005D440C" w:rsidP="005D440C">
      <w:pPr>
        <w:jc w:val="both"/>
        <w:rPr>
          <w:color w:val="008000"/>
        </w:rPr>
      </w:pPr>
      <w:r w:rsidRPr="005D440C">
        <w:rPr>
          <w:rFonts w:hint="cs"/>
          <w:rtl/>
        </w:rPr>
        <w:t xml:space="preserve">أَبُو عَلِيٍّ الْأَشْعَرِيُّ عَنْ مُحَمَّدِ بْنِ عَبْدِ الْجَبَّارِ عَنْ مُحَمَّدِ بْنِ إِسْمَاعِيلَ عَنْ أَبَانٍ عَنِ ابْنِ أَبِي يَعْفُورٍ عَنْ أَبِي عَبْدِ اللَّهِ ع قَالَ: </w:t>
      </w:r>
      <w:r w:rsidRPr="005D440C">
        <w:rPr>
          <w:rFonts w:hint="cs"/>
          <w:color w:val="008000"/>
          <w:rtl/>
        </w:rPr>
        <w:t>سَأَلْتُ عَنِ الْمُتَوَفَّى عَنْهَا زَوْجُهَا فَقَالَ لَا تَكْتَحِلُ لِلزِّينَةِ وَ لَا تَطَيَّبُ وَ لَا تَلْبَسُ ثَوْباً مَصْبُوغاً وَ لَا تَبِيتُ عَنْ بَيْتِهَا وَ تَقْضِي الْحُقُوقَ وَ تَمْتَشِطُ بِغِسْلَةٍ وَ تَحُجُّ وَ إِنْ كَانَتْ فِي عِدَّتِهَا.</w:t>
      </w:r>
      <w:r>
        <w:rPr>
          <w:rStyle w:val="FootnoteReference"/>
          <w:color w:val="008000"/>
          <w:rtl/>
        </w:rPr>
        <w:footnoteReference w:id="4"/>
      </w:r>
    </w:p>
    <w:p w:rsidR="005D440C" w:rsidRDefault="00E20192" w:rsidP="00D95314">
      <w:pPr>
        <w:jc w:val="both"/>
        <w:rPr>
          <w:rtl/>
        </w:rPr>
      </w:pPr>
      <w:r>
        <w:rPr>
          <w:rFonts w:hint="cs"/>
          <w:rtl/>
        </w:rPr>
        <w:t>اگر ابان را امامی بدانیم و نقل هایی که او را ناووسی دانسته اند،</w:t>
      </w:r>
      <w:r w:rsidR="00D95314" w:rsidRPr="00D95314">
        <w:rPr>
          <w:rFonts w:hint="cs"/>
          <w:rtl/>
        </w:rPr>
        <w:t xml:space="preserve"> </w:t>
      </w:r>
      <w:r w:rsidR="00D95314">
        <w:rPr>
          <w:rFonts w:hint="cs"/>
          <w:rtl/>
        </w:rPr>
        <w:t>انکار</w:t>
      </w:r>
      <w:r>
        <w:rPr>
          <w:rFonts w:hint="cs"/>
          <w:rtl/>
        </w:rPr>
        <w:t xml:space="preserve"> </w:t>
      </w:r>
      <w:r w:rsidR="00D95314">
        <w:rPr>
          <w:rFonts w:hint="cs"/>
          <w:rtl/>
        </w:rPr>
        <w:t xml:space="preserve">کنیم، </w:t>
      </w:r>
      <w:r>
        <w:rPr>
          <w:rFonts w:hint="cs"/>
          <w:rtl/>
        </w:rPr>
        <w:t>این روایت صحیحه می باشد.</w:t>
      </w:r>
      <w:r w:rsidR="00E55C47">
        <w:rPr>
          <w:rFonts w:hint="cs"/>
          <w:rtl/>
        </w:rPr>
        <w:t xml:space="preserve"> البته ابان در طبقه</w:t>
      </w:r>
      <w:r w:rsidR="00E55C47">
        <w:rPr>
          <w:rFonts w:hint="eastAsia"/>
          <w:rtl/>
        </w:rPr>
        <w:t>‌</w:t>
      </w:r>
      <w:r w:rsidR="00E55C47">
        <w:rPr>
          <w:rFonts w:hint="cs"/>
          <w:rtl/>
        </w:rPr>
        <w:t>ی دوم اصحاب اجماع می باشد و ممکن است بعضی از فقها از این جهت، روای</w:t>
      </w:r>
      <w:r w:rsidR="00D751E2">
        <w:rPr>
          <w:rFonts w:hint="cs"/>
          <w:rtl/>
        </w:rPr>
        <w:t>ا</w:t>
      </w:r>
      <w:r w:rsidR="00E55C47">
        <w:rPr>
          <w:rFonts w:hint="cs"/>
          <w:rtl/>
        </w:rPr>
        <w:t xml:space="preserve">ت </w:t>
      </w:r>
      <w:r w:rsidR="00D751E2">
        <w:rPr>
          <w:rFonts w:hint="cs"/>
          <w:rtl/>
        </w:rPr>
        <w:t xml:space="preserve">او </w:t>
      </w:r>
      <w:r w:rsidR="00E55C47">
        <w:rPr>
          <w:rFonts w:hint="cs"/>
          <w:rtl/>
        </w:rPr>
        <w:t>را معتبر بدانند.</w:t>
      </w:r>
    </w:p>
    <w:p w:rsidR="005D440C" w:rsidRDefault="00DE3191" w:rsidP="00DE3191">
      <w:pPr>
        <w:jc w:val="both"/>
        <w:rPr>
          <w:rtl/>
        </w:rPr>
      </w:pPr>
      <w:r>
        <w:rPr>
          <w:rFonts w:hint="cs"/>
          <w:rtl/>
        </w:rPr>
        <w:t>از کلام علامه در خلاصه چنین استفاده می شود که گر چه روایات موثق را حجت نمی داند؛ اما روایات افرادی مثل ابان را به دلیل اصحاب اجماع بودن می پذیرد.</w:t>
      </w:r>
    </w:p>
    <w:p w:rsidR="007025DD" w:rsidRDefault="00A00079" w:rsidP="00291841">
      <w:pPr>
        <w:jc w:val="both"/>
        <w:rPr>
          <w:rtl/>
        </w:rPr>
      </w:pPr>
      <w:r>
        <w:rPr>
          <w:rFonts w:hint="cs"/>
          <w:rtl/>
        </w:rPr>
        <w:t xml:space="preserve">با توجه به این که در این روایت، به شانه کردن اشاره </w:t>
      </w:r>
      <w:r w:rsidR="00291841">
        <w:rPr>
          <w:rFonts w:hint="cs"/>
          <w:rtl/>
        </w:rPr>
        <w:t>شده</w:t>
      </w:r>
      <w:r>
        <w:rPr>
          <w:rFonts w:hint="cs"/>
          <w:rtl/>
        </w:rPr>
        <w:t xml:space="preserve"> ا</w:t>
      </w:r>
      <w:r w:rsidR="000201AD">
        <w:rPr>
          <w:rFonts w:hint="cs"/>
          <w:rtl/>
        </w:rPr>
        <w:t xml:space="preserve">ست؛ اما آن را ممنوع ندانسته است؛ </w:t>
      </w:r>
      <w:r w:rsidR="00595F4C">
        <w:rPr>
          <w:rFonts w:hint="cs"/>
          <w:rtl/>
        </w:rPr>
        <w:t>می توان گفت</w:t>
      </w:r>
      <w:r w:rsidR="000201AD">
        <w:rPr>
          <w:rFonts w:hint="cs"/>
          <w:rtl/>
        </w:rPr>
        <w:t xml:space="preserve"> روایت </w:t>
      </w:r>
      <w:r w:rsidR="00595F4C">
        <w:rPr>
          <w:rFonts w:hint="cs"/>
          <w:rtl/>
        </w:rPr>
        <w:t>ابی بصیر که شانه کردن را ممنوع کرده است، ناظر به شانه کردن خاصی است که زینت به حساب می آید.</w:t>
      </w:r>
    </w:p>
    <w:p w:rsidR="00045056" w:rsidRDefault="00045056" w:rsidP="00045056">
      <w:pPr>
        <w:pStyle w:val="Heading2"/>
        <w:rPr>
          <w:rtl/>
        </w:rPr>
      </w:pPr>
      <w:bookmarkStart w:id="5" w:name="_Toc54271226"/>
      <w:r>
        <w:rPr>
          <w:rFonts w:hint="cs"/>
          <w:rtl/>
        </w:rPr>
        <w:t>روایت سوم</w:t>
      </w:r>
      <w:bookmarkEnd w:id="5"/>
    </w:p>
    <w:p w:rsidR="007025DD" w:rsidRPr="007025DD" w:rsidRDefault="007025DD" w:rsidP="007025DD">
      <w:pPr>
        <w:jc w:val="both"/>
        <w:rPr>
          <w:color w:val="008000"/>
        </w:rPr>
      </w:pPr>
      <w:r w:rsidRPr="007025DD">
        <w:rPr>
          <w:rFonts w:hint="cs"/>
          <w:rtl/>
        </w:rPr>
        <w:t xml:space="preserve">حُمَيْدٌ عَنِ ابْنِ سَمَاعَةَ عَنِ ابْنِ رِبَاطٍ عَنِ ابْنِ مُسْكَانَ عَنْ أَبِي الْعَبَّاسِ قَالَ: </w:t>
      </w:r>
      <w:r w:rsidRPr="007025DD">
        <w:rPr>
          <w:rFonts w:hint="cs"/>
          <w:color w:val="008000"/>
          <w:rtl/>
        </w:rPr>
        <w:t>قُلْتُ لِأَبِي عَبْدِ اللَّهِ ع الْمُتَوَفَّى عَنْهَا زَوْجُهَا قَالَ لَا تَكْتَحِلُ لِلزِّينَةِ وَ لَا تَطَيَّبُ وَ لَا تَلْبَسُ ثَوْباً مَصْبُوغاً وَ لَا تَخْرُجُ نَهَاراً وَ لَا تَبِيتُ عَنْ بَيْتِهَا قُلْتُ أَ رَأَيْتَ إِنْ أَرَادَتْ أَنْ تَخْرُجَ إِلَى حَقٍّ كَيْفَ تَصْنَعُ قَالَ تَخْرُجُ بَعْدَ نِصْفِ اللَّيْلِ وَ تَرْجِعُ عِشَاءً.</w:t>
      </w:r>
      <w:r>
        <w:rPr>
          <w:rStyle w:val="FootnoteReference"/>
          <w:color w:val="008000"/>
          <w:rtl/>
        </w:rPr>
        <w:footnoteReference w:id="5"/>
      </w:r>
    </w:p>
    <w:p w:rsidR="007025DD" w:rsidRDefault="00045056" w:rsidP="00374A8D">
      <w:pPr>
        <w:jc w:val="both"/>
        <w:rPr>
          <w:rtl/>
        </w:rPr>
      </w:pPr>
      <w:r>
        <w:rPr>
          <w:rFonts w:hint="cs"/>
          <w:rtl/>
        </w:rPr>
        <w:t xml:space="preserve">حمید بن زیاد و حسن بن محمد بن سماعه واقفی ثقه هستند و سایر روات در سند، امامی ثقه </w:t>
      </w:r>
      <w:r w:rsidR="007938A8">
        <w:rPr>
          <w:rFonts w:hint="cs"/>
          <w:rtl/>
        </w:rPr>
        <w:t>می باشند.</w:t>
      </w:r>
    </w:p>
    <w:p w:rsidR="007025DD" w:rsidRDefault="007938A8" w:rsidP="007938A8">
      <w:pPr>
        <w:pStyle w:val="Heading2"/>
        <w:rPr>
          <w:rtl/>
        </w:rPr>
      </w:pPr>
      <w:bookmarkStart w:id="6" w:name="_Toc54271227"/>
      <w:r>
        <w:rPr>
          <w:rFonts w:hint="cs"/>
          <w:rtl/>
        </w:rPr>
        <w:t>روایت چهارم</w:t>
      </w:r>
      <w:bookmarkEnd w:id="6"/>
    </w:p>
    <w:p w:rsidR="007025DD" w:rsidRPr="007938A8" w:rsidRDefault="007025DD" w:rsidP="007938A8">
      <w:pPr>
        <w:jc w:val="both"/>
        <w:rPr>
          <w:color w:val="008000"/>
          <w:rtl/>
        </w:rPr>
      </w:pPr>
      <w:r w:rsidRPr="007025DD">
        <w:rPr>
          <w:rFonts w:hint="cs"/>
          <w:rtl/>
        </w:rPr>
        <w:t xml:space="preserve">عَلِيُّ بْنُ إِبْرَاهِيمَ عَنْ أَبِيهِ عَنِ ابْنِ مَحْبُوبٍ عَنْ عَلِيِّ بْنِ رِئَابٍ عَنْ أَبِي بَصِيرٍ عَنْ أَبِي عَبْدِ اللَّهِ ع قَالَ: </w:t>
      </w:r>
      <w:r w:rsidRPr="00B9150D">
        <w:rPr>
          <w:rFonts w:hint="cs"/>
          <w:color w:val="008000"/>
          <w:rtl/>
        </w:rPr>
        <w:t xml:space="preserve">سَأَلْتُهُ عَنِ الْمَرْأَةِ يُتَوَفَّى عَنْهَا زَوْجُهَا وَ تَكُونُ فِي عِدَّتِهَا أَ تَخْرُجُ فِي حَقٍّ فَقَالَ إِنَّ بَعْضَ نِسَاءِ النَّبِيِّ ص سَأَلَتْهُ فَقَالَتْ إِنَّ فُلَانَةَ تُوُفِّيَ عَنْهَا زَوْجُهَا فَتَخْرُجُ فِي حَقٍّ يَنُوبُهَا فَقَالَ لَهَا رَسُولُ اللَّهِ ص أُفٍّ لَكُنَّ قَدْ كُنْتُنَّ مِنْ قَبْلِ أَنْ أُبْعَثَ فِيكُنَّ وَ أَنَّ الْمَرْأَةَ مِنْكُنَّ إِذَا تُوُفِّيَ عَنْهَا زَوْجُهَا أَخَذَتْ بَعْرَةً فَرَمَتْ بِهَا خَلْفَ ظَهْرِهَا ثُمَّ قَالَتْ لَا أَمْتَشِطُ وَ لَا أَكْتَحِلُ وَ لَا أَخْتَضِبُ حَوْلًا كَامِلًا وَ إِنَّمَا أَمَرْتُكُنَّ بِأَرْبَعَةِ أَشْهُرٍ وَ عَشْراً ثُمَّ لَا تَصْبِرْنَ </w:t>
      </w:r>
      <w:r w:rsidRPr="00B9150D">
        <w:rPr>
          <w:rFonts w:hint="cs"/>
          <w:color w:val="008000"/>
          <w:u w:val="single"/>
          <w:rtl/>
        </w:rPr>
        <w:t>لَا تَمْتَشِطُ وَ لَا تَكْتَحِلُ وَ لَا تَخْتَضِبُ</w:t>
      </w:r>
      <w:r w:rsidRPr="00B9150D">
        <w:rPr>
          <w:rFonts w:hint="cs"/>
          <w:color w:val="008000"/>
          <w:rtl/>
        </w:rPr>
        <w:t xml:space="preserve"> وَ لَا تَخْرُجُ مِنْ بَيْتِهَا نَهَاراً وَ لَا تَبِيتُ عَنْ بَيْتِهَا فَقَالَتْ يَا رَسُولَ اللَّهِ فَكَيْفَ تَصْنَعُ إِنْ عَرَضَ لَهَا حَقٌّ فَقَالَ تَخْرُجُ بَعْدَ زَوَالِ اللَّيْلِ وَ تَرْجِعُ عِنْدَ الْمَسَاءِ فَتَكُونُ لَمْ تَبِتْ عَنْ بَيْتِهَا قُلْتُ لَهُ فَتَحُجُّ قَالَ نَعَمْ.</w:t>
      </w:r>
      <w:r w:rsidR="00B9150D">
        <w:rPr>
          <w:rStyle w:val="FootnoteReference"/>
          <w:color w:val="008000"/>
          <w:rtl/>
        </w:rPr>
        <w:footnoteReference w:id="6"/>
      </w:r>
    </w:p>
    <w:p w:rsidR="007025DD" w:rsidRDefault="007938A8" w:rsidP="007938A8">
      <w:pPr>
        <w:pStyle w:val="Heading2"/>
        <w:rPr>
          <w:rtl/>
        </w:rPr>
      </w:pPr>
      <w:bookmarkStart w:id="7" w:name="_Toc54271228"/>
      <w:r>
        <w:rPr>
          <w:rFonts w:hint="cs"/>
          <w:rtl/>
        </w:rPr>
        <w:t>روایت پنجم</w:t>
      </w:r>
      <w:bookmarkEnd w:id="7"/>
    </w:p>
    <w:p w:rsidR="005D440C" w:rsidRPr="007938A8" w:rsidRDefault="0008601B" w:rsidP="007938A8">
      <w:pPr>
        <w:jc w:val="both"/>
        <w:rPr>
          <w:color w:val="008000"/>
        </w:rPr>
      </w:pPr>
      <w:r w:rsidRPr="0008601B">
        <w:rPr>
          <w:rFonts w:hint="cs"/>
          <w:rtl/>
        </w:rPr>
        <w:t xml:space="preserve">الْحُسَيْنُ بْنُ مُحَمَّدٍ عَنْ مُعَلَّى بْنِ مُحَمَّدٍ عَنِ الْحَسَنِ بْنِ عَلِيٍّ أَوْ غَيْرِهِ عَنْ أَبَانِ بْنِ عُثْمَانَ عَنْ عَبْدِ اللَّهِ بْنِ سُلَيْمَانَ قَالَ: </w:t>
      </w:r>
      <w:r w:rsidRPr="0008601B">
        <w:rPr>
          <w:rFonts w:hint="cs"/>
          <w:color w:val="008000"/>
          <w:rtl/>
        </w:rPr>
        <w:t>سَأَلْتُ أَبَا عَبْدِ اللَّهِ ع عَنِ الْمُتَوَفَّى عَنْهَا زَوْجُهَا أَ تَخْرُجُ إِلَى بَيْتِ أَبِيهَا وَ أُمِّهَا مِنْ بَيْتِهَا إِنْ شَاءَتْ فَتَعْتَدُّ فَقَالَ إِنْ شَاءَتْ أَنْ تَعْتَدَّ فِي بَيْتِ زَوْجِهَا اعْتَدَّتْ وَ إِنْ شَاءَتِ اعْتَدَّتْ فِي أَهْلِهَا وَ لَا تَكْتَحِلُ وَ لَا تَلْبَسُ حُلِيّاً.</w:t>
      </w:r>
      <w:r>
        <w:rPr>
          <w:rStyle w:val="FootnoteReference"/>
          <w:color w:val="008000"/>
          <w:rtl/>
        </w:rPr>
        <w:footnoteReference w:id="7"/>
      </w:r>
    </w:p>
    <w:p w:rsidR="00C97CBB" w:rsidRDefault="007938A8" w:rsidP="007938A8">
      <w:pPr>
        <w:pStyle w:val="Heading2"/>
      </w:pPr>
      <w:bookmarkStart w:id="8" w:name="_Toc54271229"/>
      <w:r>
        <w:rPr>
          <w:rFonts w:hint="cs"/>
          <w:rtl/>
        </w:rPr>
        <w:t>روایت ششم</w:t>
      </w:r>
      <w:bookmarkEnd w:id="8"/>
    </w:p>
    <w:p w:rsidR="00C97CBB" w:rsidRPr="00C97CBB" w:rsidRDefault="00C97CBB" w:rsidP="00C97CBB">
      <w:pPr>
        <w:jc w:val="both"/>
        <w:rPr>
          <w:color w:val="008000"/>
        </w:rPr>
      </w:pPr>
      <w:r w:rsidRPr="00C97CBB">
        <w:rPr>
          <w:rFonts w:hint="cs"/>
          <w:rtl/>
        </w:rPr>
        <w:t xml:space="preserve">سَعْدٌ عَنْ مُحَمَّدِ بْنِ أَبِي الصُّهْبَانِ عَنِ الْحَسَنِ بْنِ عَلِيِّ بْنِ فَضَّالٍ عَنْ عَبْدِ اللَّهِ بْنِ بُكَيْرٍ عَنْ مُحَمَّدِ بْنِ مُسْلِمٍ قَالَ: </w:t>
      </w:r>
      <w:r w:rsidRPr="00C97CBB">
        <w:rPr>
          <w:rFonts w:hint="cs"/>
          <w:color w:val="008000"/>
          <w:rtl/>
        </w:rPr>
        <w:t>لَيْسَ لِأَحَدٍ أَنْ‏ يُحِدَّ أَكْثَرَ مِنْ ثَلَاثٍ‏ إِلَّا الْمَرْأَةِ عَلَى زَوْجِهَا حَتَّى تَنْقَضِيَ عِدَّتُهَا.</w:t>
      </w:r>
      <w:r>
        <w:rPr>
          <w:rStyle w:val="FootnoteReference"/>
          <w:color w:val="008000"/>
          <w:rtl/>
        </w:rPr>
        <w:footnoteReference w:id="8"/>
      </w:r>
    </w:p>
    <w:p w:rsidR="00C97CBB" w:rsidRDefault="00C13C38" w:rsidP="00C13C38">
      <w:pPr>
        <w:jc w:val="both"/>
        <w:rPr>
          <w:rtl/>
        </w:rPr>
      </w:pPr>
      <w:r>
        <w:rPr>
          <w:rFonts w:hint="cs"/>
          <w:rtl/>
        </w:rPr>
        <w:t xml:space="preserve">صرف نظر از موقوفه بودن این روایت، </w:t>
      </w:r>
      <w:r w:rsidR="007938A8">
        <w:rPr>
          <w:rFonts w:hint="cs"/>
          <w:rtl/>
        </w:rPr>
        <w:t>وجوب حداد</w:t>
      </w:r>
      <w:r>
        <w:rPr>
          <w:rFonts w:hint="cs"/>
          <w:rtl/>
        </w:rPr>
        <w:t xml:space="preserve"> از آن</w:t>
      </w:r>
      <w:r w:rsidR="007938A8">
        <w:rPr>
          <w:rFonts w:hint="cs"/>
          <w:rtl/>
        </w:rPr>
        <w:t xml:space="preserve"> استفاده نمی شود؛ بلکه جواز حداد را بیان می کند.</w:t>
      </w:r>
      <w:r w:rsidR="007F2236">
        <w:rPr>
          <w:rFonts w:hint="cs"/>
          <w:rtl/>
        </w:rPr>
        <w:t xml:space="preserve"> ممکن است این روایت از روایت پیامبر که در عوالی اللئالی آمده است</w:t>
      </w:r>
      <w:r w:rsidR="00DA3952">
        <w:rPr>
          <w:rFonts w:hint="cs"/>
          <w:rtl/>
        </w:rPr>
        <w:t>، اخذ شده باشد:</w:t>
      </w:r>
    </w:p>
    <w:p w:rsidR="00004CBA" w:rsidRDefault="00004CBA" w:rsidP="00E170CD">
      <w:pPr>
        <w:jc w:val="both"/>
        <w:rPr>
          <w:rtl/>
        </w:rPr>
      </w:pPr>
      <w:r w:rsidRPr="00004CBA">
        <w:rPr>
          <w:rFonts w:hint="cs"/>
          <w:rtl/>
        </w:rPr>
        <w:t xml:space="preserve">قَالَ النَّبِيُّ ص‏ </w:t>
      </w:r>
      <w:r w:rsidRPr="00004CBA">
        <w:rPr>
          <w:rFonts w:hint="cs"/>
          <w:color w:val="008000"/>
          <w:rtl/>
        </w:rPr>
        <w:t>لَا يَحِلُّ لِامْرَأَةٍ تُؤْمِنُ بِاللَّهِ وَ الْيَوْمِ الْآخِرِ أَنْ تُحِدَّ لِمَيِّتٍ أَكْثَرَ مِنْ ثَلَاثَةِ أَيَّامٍ‏ إِلَّا عَلَى زَوْجٍ أَرْبَعَةَ أَشْهُرٍ وَ عَشَرَةَ أَيَّام</w:t>
      </w:r>
      <w:r w:rsidRPr="00004CBA">
        <w:rPr>
          <w:rFonts w:hint="cs"/>
          <w:rtl/>
        </w:rPr>
        <w:t>‏</w:t>
      </w:r>
      <w:r>
        <w:rPr>
          <w:rStyle w:val="FootnoteReference"/>
          <w:rtl/>
        </w:rPr>
        <w:footnoteReference w:id="9"/>
      </w:r>
    </w:p>
    <w:p w:rsidR="00004CBA" w:rsidRDefault="00E170CD" w:rsidP="00E170CD">
      <w:pPr>
        <w:pStyle w:val="Heading2"/>
        <w:rPr>
          <w:rtl/>
        </w:rPr>
      </w:pPr>
      <w:bookmarkStart w:id="9" w:name="_Toc54271230"/>
      <w:r>
        <w:rPr>
          <w:rFonts w:hint="cs"/>
          <w:rtl/>
        </w:rPr>
        <w:t>روایت هفتم</w:t>
      </w:r>
      <w:bookmarkEnd w:id="9"/>
    </w:p>
    <w:p w:rsidR="0068372A" w:rsidRPr="0068372A" w:rsidRDefault="0068372A" w:rsidP="0068372A">
      <w:pPr>
        <w:jc w:val="both"/>
        <w:rPr>
          <w:color w:val="008000"/>
        </w:rPr>
      </w:pPr>
      <w:r w:rsidRPr="0068372A">
        <w:rPr>
          <w:rFonts w:hint="cs"/>
          <w:rtl/>
        </w:rPr>
        <w:t xml:space="preserve">أَحْمَدُ بْنُ مُحَمَّدِ بْنِ عِيسَى عَنْ أَبِي يَحْيَى الْوَاسِطِيِّ عَنْ بَعْضِ أَصْحَابِنَا عَنْ أَبِي عَبْدِ اللَّهِ ع قَالَ: </w:t>
      </w:r>
      <w:r w:rsidRPr="0068372A">
        <w:rPr>
          <w:rFonts w:hint="cs"/>
          <w:color w:val="008000"/>
          <w:rtl/>
        </w:rPr>
        <w:t>يُحِدُّ الْحَمِيمُ عَلَى حَمِيمِهِ ثَلَاثاً وَ الْمَرْأَةُ عَلَى زَوْجِهَا أَرْبَعَةَ أَشْهُرٍ وَ عَشْراً.</w:t>
      </w:r>
      <w:r>
        <w:rPr>
          <w:rStyle w:val="FootnoteReference"/>
          <w:color w:val="008000"/>
          <w:rtl/>
        </w:rPr>
        <w:footnoteReference w:id="10"/>
      </w:r>
    </w:p>
    <w:p w:rsidR="00A71240" w:rsidRDefault="00A71240" w:rsidP="00374A8D">
      <w:pPr>
        <w:jc w:val="both"/>
        <w:rPr>
          <w:rtl/>
        </w:rPr>
      </w:pPr>
      <w:r>
        <w:rPr>
          <w:rFonts w:hint="cs"/>
          <w:rtl/>
        </w:rPr>
        <w:t>این روایت مرسل می باشد. ابی یحیی الواسطی نیز قابل توثیق نیست. احمد بن محمد بن عیسی روایاتی از او نقل کرده است که غالبا مرسل می باشند و ممکن است به عنوان موید</w:t>
      </w:r>
      <w:r w:rsidR="00051A6D">
        <w:rPr>
          <w:rFonts w:hint="cs"/>
          <w:rtl/>
        </w:rPr>
        <w:t xml:space="preserve"> ذکر کرده باشد و</w:t>
      </w:r>
      <w:r>
        <w:rPr>
          <w:rFonts w:hint="cs"/>
          <w:rtl/>
        </w:rPr>
        <w:t xml:space="preserve"> یا در </w:t>
      </w:r>
      <w:r w:rsidR="00051A6D">
        <w:rPr>
          <w:rFonts w:hint="cs"/>
          <w:rtl/>
        </w:rPr>
        <w:t xml:space="preserve">مقام بیان </w:t>
      </w:r>
      <w:r>
        <w:rPr>
          <w:rFonts w:hint="cs"/>
          <w:rtl/>
        </w:rPr>
        <w:t>مستحبات</w:t>
      </w:r>
      <w:r w:rsidR="00051A6D">
        <w:rPr>
          <w:rFonts w:hint="cs"/>
          <w:rtl/>
        </w:rPr>
        <w:t xml:space="preserve"> بوده باشد.</w:t>
      </w:r>
    </w:p>
    <w:p w:rsidR="00C97CBB" w:rsidRDefault="009520A9" w:rsidP="00E72787">
      <w:pPr>
        <w:jc w:val="both"/>
        <w:rPr>
          <w:rtl/>
        </w:rPr>
      </w:pPr>
      <w:r>
        <w:rPr>
          <w:rFonts w:hint="cs"/>
          <w:rtl/>
        </w:rPr>
        <w:t>در این روایت حداد برای نزدیکان را سه روز بیان کرده است و می دانیم حداد در این موارد واجب نیست؛ در نتیجه استفاده</w:t>
      </w:r>
      <w:r>
        <w:rPr>
          <w:rFonts w:hint="eastAsia"/>
          <w:rtl/>
        </w:rPr>
        <w:t>‌</w:t>
      </w:r>
      <w:r>
        <w:rPr>
          <w:rFonts w:hint="cs"/>
          <w:rtl/>
        </w:rPr>
        <w:t>ی</w:t>
      </w:r>
      <w:r w:rsidR="00A85417">
        <w:rPr>
          <w:rFonts w:hint="cs"/>
          <w:rtl/>
        </w:rPr>
        <w:t xml:space="preserve"> وجوب از این روایت مشکل است و مبتنی بر بعضی از مبانی می باشد که </w:t>
      </w:r>
      <w:r w:rsidR="00E263D8">
        <w:rPr>
          <w:rFonts w:hint="cs"/>
          <w:rtl/>
        </w:rPr>
        <w:t>باید در محل خود</w:t>
      </w:r>
      <w:r w:rsidR="00A85417">
        <w:rPr>
          <w:rFonts w:hint="cs"/>
          <w:rtl/>
        </w:rPr>
        <w:t xml:space="preserve"> بحث </w:t>
      </w:r>
      <w:r w:rsidR="002F33CF">
        <w:rPr>
          <w:rFonts w:hint="cs"/>
          <w:rtl/>
        </w:rPr>
        <w:t>شود</w:t>
      </w:r>
      <w:r w:rsidR="00A85417">
        <w:rPr>
          <w:rFonts w:hint="cs"/>
          <w:rtl/>
        </w:rPr>
        <w:t>.</w:t>
      </w:r>
    </w:p>
    <w:p w:rsidR="00C97CBB" w:rsidRDefault="00570183" w:rsidP="00570183">
      <w:pPr>
        <w:pStyle w:val="Heading2"/>
      </w:pPr>
      <w:bookmarkStart w:id="10" w:name="_Toc54271231"/>
      <w:r>
        <w:rPr>
          <w:rFonts w:hint="cs"/>
          <w:rtl/>
        </w:rPr>
        <w:t>روایت معارض</w:t>
      </w:r>
      <w:bookmarkEnd w:id="10"/>
    </w:p>
    <w:p w:rsidR="004059BF" w:rsidRPr="004059BF" w:rsidRDefault="004059BF" w:rsidP="004059BF">
      <w:pPr>
        <w:jc w:val="both"/>
        <w:rPr>
          <w:color w:val="008000"/>
        </w:rPr>
      </w:pPr>
      <w:r w:rsidRPr="004059BF">
        <w:rPr>
          <w:rFonts w:hint="cs"/>
          <w:rtl/>
        </w:rPr>
        <w:t xml:space="preserve">سَأَلَ عَمَّارٌ السَّابَاطِيُّ أَبَا عَبْدِ اللَّهِ ع‏ </w:t>
      </w:r>
      <w:r w:rsidRPr="004059BF">
        <w:rPr>
          <w:rFonts w:hint="cs"/>
          <w:color w:val="008000"/>
          <w:rtl/>
        </w:rPr>
        <w:t>عَنِ الْمَرْأَةِ يَمُوتُ‏ عَنْهَا زَوْجُهَا هَلْ‏ يَحِلُّ لَهَا أَنْ تَخْرُجَ مِنْ مَنْزِلِهَا فِي عِدَّتِهَا قَالَ نَعَمْ تَخْتَضِبُ وَ تَدَّهِنُ وَ تَكْتَحِلُ وَ تَمْتَشِطُ وَ تَصْبَغُ وَ تَلْبَسُ الْمُصَبَّغَ وَ تَصْنَعُ مَا شَاءَتْ بِغَيْرِ زِينَةٍ لِزَوْج‏</w:t>
      </w:r>
      <w:r>
        <w:rPr>
          <w:rStyle w:val="FootnoteReference"/>
          <w:color w:val="008000"/>
          <w:rtl/>
        </w:rPr>
        <w:footnoteReference w:id="11"/>
      </w:r>
    </w:p>
    <w:p w:rsidR="00374A8D" w:rsidRDefault="00131FC3" w:rsidP="00374A8D">
      <w:pPr>
        <w:jc w:val="both"/>
        <w:rPr>
          <w:rtl/>
        </w:rPr>
      </w:pPr>
      <w:r>
        <w:rPr>
          <w:rFonts w:hint="cs"/>
          <w:rtl/>
        </w:rPr>
        <w:t>این روایت در یک روایت مفصل در تهذیب نیز آمده است:</w:t>
      </w:r>
    </w:p>
    <w:p w:rsidR="004260DF" w:rsidRPr="00131FC3" w:rsidRDefault="004260DF" w:rsidP="001E5602">
      <w:pPr>
        <w:jc w:val="both"/>
        <w:rPr>
          <w:color w:val="00B050"/>
          <w:rtl/>
        </w:rPr>
      </w:pPr>
      <w:r w:rsidRPr="004260DF">
        <w:rPr>
          <w:rFonts w:hint="cs"/>
          <w:rtl/>
        </w:rPr>
        <w:t xml:space="preserve">عَنْهُ عَنْ أَحْمَدَ بْنِ الْحَسَنِ بْنِ عَلِيٍّ عَنْ عَمْرِو بْنِ سَعِيدٍ عَنْ مُصَدِّقِ بْنِ صَدَقَةَ عَنْ عَمَّارٍ عَنْ أَبِي عَبْدِ اللَّهِ ع‏ </w:t>
      </w:r>
      <w:r w:rsidRPr="001E5602">
        <w:rPr>
          <w:rFonts w:hint="cs"/>
          <w:color w:val="008000"/>
          <w:rtl/>
        </w:rPr>
        <w:t xml:space="preserve">أَنَّهُ سُئِلَ عَنْ رَجُلٍ طَلَّقَ امْرَأَتَهُ تَطْلِيقَتَيْنِ لِلْعِدَّةِ ثُمَّ تَرَكَهَا حَتَّى مَضَى قُرْؤُهَا قَالَ إِذَا كَانَ تَرَكَهَا عَلَى أَنْ لَا يُرَاجِعَهَا فَقَدْ بَانَتْ مِنْهُ وَ لَا تَحِلُّ لَهُ‏ حَتَّى تَنْكِحَ زَوْجاً غَيْرَهُ‏ وَ إِنْ كَانَ رَأْيُهُ أَنْ يُرَاجِعَهَا ثُمَّ تَرَكَهَا سِتَّةَ أَشْهُرٍ فَلَا بَأْسَ أَنْ يُرَاجِعَهَا وَ عَنْ رَجُلٍ جَمَعَ أَرْبَعَةَ نِسْوَةٍ فَطَلَّقَ وَاحِدَةً فَهَلْ يَحِلُّ لَهُ أَنْ يَتَزَوَّجَ أُخْرَى مَكَانَ الَّتِي طَلَّقَ قَالَ لَا يَحِلُّ لَهُ أَنْ يَتَزَوَّجَ أُخْرَى حَتَّى يَعْتَدَّ مِثْلَ عِدَّتِهَا وَ إِنْ كَانَ الَّتِي طَلَّقَهَا أَمَةً-عْتَدَّتْ نِصْفَ الْعِدَّةِ لِأَنَّ عِدَّةَ الْأَمَةِ نِصْفُ الْعِدَّةِ خَمْسَةٌ وَ أَرْبَعُونَ يَوْماً سُئِلَ عَنِ الْمَرْأَةِ إِذَا اعْتَدَّتْ هَلْ يَحِلُّ لَهَا أَنْ تَخْتَضِبَ فِي الْعِدَّةِ قَالَ لَهَا أَنْ تَدَّهِنَ وَ تَكْتَحِلَ وَ تَمْتَشِطَ وَ تَصْبَغَ وَ تَلْبَسَ الصِّبْغَ وَ تَخْتَضِبَ بِالْحِنَّاءِ وَ تَصْنَعَ مَا شَاءَتْ لِغَيْرِ زِينَةٍ مِنْ زَوْجٍ </w:t>
      </w:r>
      <w:r w:rsidRPr="00131FC3">
        <w:rPr>
          <w:rFonts w:hint="cs"/>
          <w:color w:val="00B050"/>
          <w:rtl/>
        </w:rPr>
        <w:t>وَ عَنِ الْمَرْأَةِ يَمُوتُ‏ عَنْهَا زَوْجُهَا هَلْ‏ يَحِلُّ لَهَا أَنْ تَخْرُجَ مِنْ مَنْزِلِهَا فِي عِدَّتِهَا قَالَ نَعَمْ وَ تَخْتَضِبَ وَ تَدَّهِنَ وَ تَكْتَحِلَ وَ تَمْتَشِطَ وَ تَصْبَغَ وَ تَلْبَسَ الصِّبْغَ وَ تَصْنَعَ مَا شَاءَتْ لِغَيْرِ زِينَةٍ مِنْ زَوْجٍ.</w:t>
      </w:r>
      <w:r w:rsidRPr="00131FC3">
        <w:rPr>
          <w:rStyle w:val="FootnoteReference"/>
          <w:color w:val="00B050"/>
          <w:rtl/>
        </w:rPr>
        <w:footnoteReference w:id="12"/>
      </w:r>
    </w:p>
    <w:p w:rsidR="00374A8D" w:rsidRDefault="00131FC3" w:rsidP="00374A8D">
      <w:pPr>
        <w:jc w:val="both"/>
        <w:rPr>
          <w:rtl/>
        </w:rPr>
      </w:pPr>
      <w:r>
        <w:rPr>
          <w:rFonts w:hint="cs"/>
          <w:rtl/>
        </w:rPr>
        <w:t>بعضی از فقها این روایت را بر ضرورت حمل کرده اند.</w:t>
      </w:r>
    </w:p>
    <w:p w:rsidR="00374A8D" w:rsidRDefault="003B6B4A" w:rsidP="003B6B4A">
      <w:pPr>
        <w:pStyle w:val="Heading3"/>
        <w:rPr>
          <w:rtl/>
        </w:rPr>
      </w:pPr>
      <w:bookmarkStart w:id="11" w:name="_Toc54271232"/>
      <w:r>
        <w:rPr>
          <w:rFonts w:hint="cs"/>
          <w:rtl/>
        </w:rPr>
        <w:t>کلام صاحب حدائق</w:t>
      </w:r>
      <w:bookmarkEnd w:id="11"/>
    </w:p>
    <w:p w:rsidR="00291F70" w:rsidRPr="00291F70" w:rsidRDefault="00291F70" w:rsidP="00291F70">
      <w:pPr>
        <w:jc w:val="both"/>
        <w:rPr>
          <w:color w:val="000080"/>
        </w:rPr>
      </w:pPr>
      <w:r w:rsidRPr="00291F70">
        <w:rPr>
          <w:rFonts w:hint="cs"/>
          <w:color w:val="000080"/>
          <w:rtl/>
        </w:rPr>
        <w:t>و أما الخضاب و الصبغ و أن تصنع ما تشاء فالظاهر حمله على الضرورة، و إليه يشير قوله «لغير زينة من زوج» أي يجوز فعل هذه الأشياء لا لقصد التزين للأزواج و ليس بعد ذلك إلا لغرض ألجأت إليه الضرورة.</w:t>
      </w:r>
      <w:r>
        <w:rPr>
          <w:rStyle w:val="FootnoteReference"/>
          <w:color w:val="000080"/>
          <w:rtl/>
        </w:rPr>
        <w:footnoteReference w:id="13"/>
      </w:r>
    </w:p>
    <w:p w:rsidR="00374A8D" w:rsidRDefault="003F7145" w:rsidP="00374A8D">
      <w:pPr>
        <w:jc w:val="both"/>
        <w:rPr>
          <w:rtl/>
        </w:rPr>
      </w:pPr>
      <w:r>
        <w:rPr>
          <w:rFonts w:hint="cs"/>
          <w:rtl/>
        </w:rPr>
        <w:t xml:space="preserve">گاهی آرایش زن ها برای خوشایند زوج یا دیگران نیست؛ </w:t>
      </w:r>
      <w:r w:rsidR="00C14A96">
        <w:rPr>
          <w:rFonts w:hint="cs"/>
          <w:rtl/>
        </w:rPr>
        <w:t>بلکه برای حضور در مجالس زنانه و ... آرایش می کنند.</w:t>
      </w:r>
    </w:p>
    <w:p w:rsidR="00C92A21" w:rsidRDefault="00C92A21" w:rsidP="00F6324B">
      <w:pPr>
        <w:pStyle w:val="Heading3"/>
        <w:rPr>
          <w:rtl/>
        </w:rPr>
      </w:pPr>
      <w:bookmarkStart w:id="12" w:name="_Toc54271233"/>
      <w:r>
        <w:rPr>
          <w:rFonts w:hint="cs"/>
          <w:rtl/>
        </w:rPr>
        <w:t>کلام مرحوم آقای خوانساری</w:t>
      </w:r>
      <w:bookmarkEnd w:id="12"/>
    </w:p>
    <w:p w:rsidR="00291F70" w:rsidRPr="00291F70" w:rsidRDefault="00291F70" w:rsidP="00291F70">
      <w:pPr>
        <w:jc w:val="both"/>
        <w:rPr>
          <w:color w:val="000080"/>
        </w:rPr>
      </w:pPr>
      <w:r w:rsidRPr="00291F70">
        <w:rPr>
          <w:rFonts w:hint="cs"/>
          <w:color w:val="000080"/>
          <w:rtl/>
        </w:rPr>
        <w:t>و قد يجمع بين الأخبار السابقة و بين هذه الأخبار بحمل الأخبار المجوّزة على صورة الضرورة و لا يخفى بعده، و يمكن أن يقال: قد قيّد في صحيح ابن أبي يعفور المذكور و ما روي عن أبي العبّاس الاكتحال بكونه للزينة و لعلّ وحدة السياق تقيّد غيره من المذكورات بهذا القيد أيضا؟ و لا أقلّ من عدم الإطلاق فلا يبعد اعتبار القصد لأنّ الاكتحال في نفسه زينة فذكر للزّينة يفيد اعتبار القصد فتعريف الحداد شرعا بمطلق الزّينة مشكل و على هذا يمكن الجمع بحمل الأخبار المجوّزة على صورة عدم قصد الزّينة لكن ظاهر كلماتهم لا يساعد على هذا الجمع</w:t>
      </w:r>
      <w:r>
        <w:rPr>
          <w:rStyle w:val="FootnoteReference"/>
          <w:color w:val="000080"/>
          <w:rtl/>
        </w:rPr>
        <w:footnoteReference w:id="14"/>
      </w:r>
    </w:p>
    <w:p w:rsidR="00374A8D" w:rsidRDefault="00EC5C08" w:rsidP="00374A8D">
      <w:pPr>
        <w:jc w:val="both"/>
        <w:rPr>
          <w:rtl/>
        </w:rPr>
      </w:pPr>
      <w:r w:rsidRPr="00EC5C08">
        <w:rPr>
          <w:rFonts w:hint="cs"/>
          <w:rtl/>
        </w:rPr>
        <w:t xml:space="preserve">مرحوم آقای خوانساری </w:t>
      </w:r>
      <w:r w:rsidR="00F6324B" w:rsidRPr="00291F70">
        <w:rPr>
          <w:rFonts w:hint="cs"/>
          <w:color w:val="000080"/>
          <w:rtl/>
        </w:rPr>
        <w:t>الأخبار المجوّزة</w:t>
      </w:r>
      <w:r w:rsidR="00F6324B">
        <w:rPr>
          <w:rFonts w:hint="cs"/>
          <w:rtl/>
        </w:rPr>
        <w:t xml:space="preserve"> بیان کرده است؛ در حالی که فقط یک خبر داریم که زینت را تجویز کرده است.</w:t>
      </w:r>
    </w:p>
    <w:p w:rsidR="00291F70" w:rsidRDefault="00C85CC8" w:rsidP="00374A8D">
      <w:pPr>
        <w:jc w:val="both"/>
        <w:rPr>
          <w:rtl/>
        </w:rPr>
      </w:pPr>
      <w:r>
        <w:rPr>
          <w:rFonts w:hint="cs"/>
          <w:rtl/>
        </w:rPr>
        <w:t>مرحوم آقای خوانساری می فرماید: در صحیحه</w:t>
      </w:r>
      <w:r>
        <w:rPr>
          <w:rFonts w:hint="eastAsia"/>
          <w:rtl/>
        </w:rPr>
        <w:t>‌</w:t>
      </w:r>
      <w:r>
        <w:rPr>
          <w:rFonts w:hint="cs"/>
          <w:rtl/>
        </w:rPr>
        <w:t>ی ابن ابی یعفور و ابی العباس قید «للزینة» برای سرمه کشیدن آمده است و وحدت سیاق باعث می شود سایر مذکورات نیز مقید به «للزینة» شوند و لا اقل اطلاقی نداشته باشند.</w:t>
      </w:r>
      <w:r w:rsidR="000028D0">
        <w:rPr>
          <w:rFonts w:hint="cs"/>
          <w:rtl/>
        </w:rPr>
        <w:t xml:space="preserve"> بنابراین اکتحال و سایر موارد به قصد زینت حرام است.</w:t>
      </w:r>
      <w:r w:rsidR="00090532">
        <w:rPr>
          <w:rFonts w:hint="cs"/>
          <w:rtl/>
        </w:rPr>
        <w:t xml:space="preserve"> در نتیجه روایت عمار ساباطی بر صورتی که قصد زینت نداشته باشد، حمل می شود.</w:t>
      </w:r>
    </w:p>
    <w:p w:rsidR="00291F70" w:rsidRDefault="00B5447A" w:rsidP="00374A8D">
      <w:pPr>
        <w:jc w:val="both"/>
        <w:rPr>
          <w:rtl/>
        </w:rPr>
      </w:pPr>
      <w:r w:rsidRPr="00B5447A">
        <w:rPr>
          <w:rFonts w:hint="cs"/>
          <w:highlight w:val="yellow"/>
          <w:rtl/>
        </w:rPr>
        <w:t xml:space="preserve">جمع </w:t>
      </w:r>
      <w:r>
        <w:rPr>
          <w:rFonts w:hint="cs"/>
          <w:rtl/>
        </w:rPr>
        <w:t>مذکور صحیح نمی باشد.</w:t>
      </w:r>
      <w:r w:rsidR="003844D0">
        <w:rPr>
          <w:rFonts w:hint="cs"/>
          <w:rtl/>
        </w:rPr>
        <w:t xml:space="preserve"> سرمه همیشه برای زینت استفاده نمی شود و گاهی برای درمان بیماری</w:t>
      </w:r>
      <w:r w:rsidR="00F81F65">
        <w:rPr>
          <w:rFonts w:hint="cs"/>
          <w:rtl/>
        </w:rPr>
        <w:t xml:space="preserve"> استعمال می شود، همچنین همه</w:t>
      </w:r>
      <w:r w:rsidR="00F81F65">
        <w:rPr>
          <w:rFonts w:hint="eastAsia"/>
          <w:rtl/>
        </w:rPr>
        <w:t>‌</w:t>
      </w:r>
      <w:r w:rsidR="00F81F65">
        <w:rPr>
          <w:rFonts w:hint="cs"/>
          <w:rtl/>
        </w:rPr>
        <w:t>ی سرمه ها باعث زیبایی نمی شوند و بعضی سرمه ها باعث زشت شدن شخص می شوند؛</w:t>
      </w:r>
      <w:r w:rsidR="003844D0">
        <w:rPr>
          <w:rFonts w:hint="cs"/>
          <w:rtl/>
        </w:rPr>
        <w:t xml:space="preserve"> به همین دلیل در روایت</w:t>
      </w:r>
      <w:r w:rsidR="006C5264">
        <w:rPr>
          <w:rFonts w:hint="cs"/>
          <w:rtl/>
        </w:rPr>
        <w:t xml:space="preserve"> فقط سرمه</w:t>
      </w:r>
      <w:r w:rsidR="003844D0">
        <w:rPr>
          <w:rFonts w:hint="cs"/>
          <w:rtl/>
        </w:rPr>
        <w:t xml:space="preserve"> مقید به «للزینة» شده است</w:t>
      </w:r>
      <w:r w:rsidR="00A234FB">
        <w:rPr>
          <w:rFonts w:hint="cs"/>
          <w:rtl/>
        </w:rPr>
        <w:t>.</w:t>
      </w:r>
    </w:p>
    <w:p w:rsidR="00374A8D" w:rsidRPr="006162A2" w:rsidRDefault="00374A8D" w:rsidP="00374A8D">
      <w:pPr>
        <w:jc w:val="both"/>
        <w:rPr>
          <w:rtl/>
        </w:rPr>
      </w:pPr>
    </w:p>
    <w:sectPr w:rsidR="00374A8D"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3EA" w:rsidRDefault="00DA63EA" w:rsidP="008B750B">
      <w:pPr>
        <w:spacing w:line="240" w:lineRule="auto"/>
      </w:pPr>
      <w:r>
        <w:separator/>
      </w:r>
    </w:p>
  </w:endnote>
  <w:endnote w:type="continuationSeparator" w:id="0">
    <w:p w:rsidR="00DA63EA" w:rsidRDefault="00DA63E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95C40" w:rsidRPr="00595C40">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BB736B" w:rsidP="001B6799">
          <w:pPr>
            <w:pStyle w:val="Footer"/>
            <w:bidi w:val="0"/>
            <w:rPr>
              <w:color w:val="808080" w:themeColor="background1" w:themeShade="80"/>
              <w:rtl/>
            </w:rPr>
          </w:pPr>
          <w:bookmarkStart w:id="20" w:name="BokAdres"/>
          <w:bookmarkEnd w:id="20"/>
          <w:r>
            <w:rPr>
              <w:color w:val="808080" w:themeColor="background1" w:themeShade="80"/>
            </w:rPr>
            <w:t>F1js1_13990730-022_mk3_mfeb.ir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3EA" w:rsidRDefault="00DA63EA" w:rsidP="008B750B">
      <w:pPr>
        <w:spacing w:line="240" w:lineRule="auto"/>
      </w:pPr>
      <w:r>
        <w:separator/>
      </w:r>
    </w:p>
  </w:footnote>
  <w:footnote w:type="continuationSeparator" w:id="0">
    <w:p w:rsidR="00DA63EA" w:rsidRDefault="00DA63EA" w:rsidP="008B750B">
      <w:pPr>
        <w:spacing w:line="240" w:lineRule="auto"/>
      </w:pPr>
      <w:r>
        <w:continuationSeparator/>
      </w:r>
    </w:p>
  </w:footnote>
  <w:footnote w:id="1">
    <w:p w:rsidR="00374A8D" w:rsidRPr="00374A8D" w:rsidRDefault="00374A8D" w:rsidP="00374A8D">
      <w:pPr>
        <w:pStyle w:val="FootnoteText"/>
      </w:pPr>
      <w:r w:rsidRPr="00374A8D">
        <w:footnoteRef/>
      </w:r>
      <w:r w:rsidRPr="00374A8D">
        <w:rPr>
          <w:rtl/>
        </w:rPr>
        <w:t xml:space="preserve"> </w:t>
      </w:r>
      <w:hyperlink r:id="rId1" w:history="1">
        <w:r w:rsidRPr="00374A8D">
          <w:rPr>
            <w:rStyle w:val="Hyperlink"/>
            <w:rtl/>
          </w:rPr>
          <w:t>تکملة العروة الوثق</w:t>
        </w:r>
        <w:r w:rsidRPr="00374A8D">
          <w:rPr>
            <w:rStyle w:val="Hyperlink"/>
            <w:rFonts w:hint="cs"/>
            <w:rtl/>
          </w:rPr>
          <w:t>ی</w:t>
        </w:r>
        <w:r w:rsidRPr="00374A8D">
          <w:rPr>
            <w:rStyle w:val="Hyperlink"/>
            <w:rFonts w:hint="eastAsia"/>
            <w:rtl/>
          </w:rPr>
          <w:t>،</w:t>
        </w:r>
        <w:r w:rsidRPr="00374A8D">
          <w:rPr>
            <w:rStyle w:val="Hyperlink"/>
            <w:rtl/>
          </w:rPr>
          <w:t xml:space="preserve"> الس</w:t>
        </w:r>
        <w:r w:rsidRPr="00374A8D">
          <w:rPr>
            <w:rStyle w:val="Hyperlink"/>
            <w:rFonts w:hint="cs"/>
            <w:rtl/>
          </w:rPr>
          <w:t>ی</w:t>
        </w:r>
        <w:r w:rsidRPr="00374A8D">
          <w:rPr>
            <w:rStyle w:val="Hyperlink"/>
            <w:rFonts w:hint="eastAsia"/>
            <w:rtl/>
          </w:rPr>
          <w:t>د</w:t>
        </w:r>
        <w:r w:rsidRPr="00374A8D">
          <w:rPr>
            <w:rStyle w:val="Hyperlink"/>
            <w:rtl/>
          </w:rPr>
          <w:t xml:space="preserve"> محمد کاظم الطباطبائ</w:t>
        </w:r>
        <w:r w:rsidRPr="00374A8D">
          <w:rPr>
            <w:rStyle w:val="Hyperlink"/>
            <w:rFonts w:hint="cs"/>
            <w:rtl/>
          </w:rPr>
          <w:t>ی</w:t>
        </w:r>
        <w:r w:rsidRPr="00374A8D">
          <w:rPr>
            <w:rStyle w:val="Hyperlink"/>
            <w:rtl/>
          </w:rPr>
          <w:t xml:space="preserve"> ال</w:t>
        </w:r>
        <w:r w:rsidRPr="00374A8D">
          <w:rPr>
            <w:rStyle w:val="Hyperlink"/>
            <w:rFonts w:hint="cs"/>
            <w:rtl/>
          </w:rPr>
          <w:t>ی</w:t>
        </w:r>
        <w:r w:rsidRPr="00374A8D">
          <w:rPr>
            <w:rStyle w:val="Hyperlink"/>
            <w:rFonts w:hint="eastAsia"/>
            <w:rtl/>
          </w:rPr>
          <w:t>زد</w:t>
        </w:r>
        <w:r w:rsidRPr="00374A8D">
          <w:rPr>
            <w:rStyle w:val="Hyperlink"/>
            <w:rFonts w:hint="cs"/>
            <w:rtl/>
          </w:rPr>
          <w:t>ی</w:t>
        </w:r>
        <w:r w:rsidRPr="00374A8D">
          <w:rPr>
            <w:rStyle w:val="Hyperlink"/>
            <w:rFonts w:hint="eastAsia"/>
            <w:rtl/>
          </w:rPr>
          <w:t>،</w:t>
        </w:r>
        <w:r w:rsidRPr="00374A8D">
          <w:rPr>
            <w:rStyle w:val="Hyperlink"/>
            <w:rtl/>
          </w:rPr>
          <w:t xml:space="preserve"> ج1، ص63</w:t>
        </w:r>
        <w:r w:rsidRPr="00374A8D">
          <w:rPr>
            <w:rStyle w:val="Hyperlink"/>
          </w:rPr>
          <w:t>.</w:t>
        </w:r>
      </w:hyperlink>
    </w:p>
  </w:footnote>
  <w:footnote w:id="2">
    <w:p w:rsidR="000E343C" w:rsidRDefault="000E343C">
      <w:pPr>
        <w:pStyle w:val="FootnoteText"/>
      </w:pPr>
      <w:r>
        <w:rPr>
          <w:rStyle w:val="FootnoteReference"/>
        </w:rPr>
        <w:footnoteRef/>
      </w:r>
      <w:r>
        <w:rPr>
          <w:rtl/>
        </w:rPr>
        <w:t xml:space="preserve"> </w:t>
      </w:r>
      <w:r>
        <w:rPr>
          <w:rFonts w:hint="cs"/>
          <w:rtl/>
        </w:rPr>
        <w:t>ج 27، ص 271</w:t>
      </w:r>
    </w:p>
  </w:footnote>
  <w:footnote w:id="3">
    <w:p w:rsidR="005D440C" w:rsidRPr="005D440C" w:rsidRDefault="005D440C" w:rsidP="005D440C">
      <w:pPr>
        <w:pStyle w:val="FootnoteText"/>
      </w:pPr>
      <w:r w:rsidRPr="005D440C">
        <w:footnoteRef/>
      </w:r>
      <w:r w:rsidRPr="005D440C">
        <w:rPr>
          <w:rtl/>
        </w:rPr>
        <w:t xml:space="preserve"> </w:t>
      </w:r>
      <w:hyperlink r:id="rId2" w:history="1">
        <w:r w:rsidRPr="005D440C">
          <w:rPr>
            <w:rStyle w:val="Hyperlink"/>
            <w:rtl/>
          </w:rPr>
          <w:t>الکاف</w:t>
        </w:r>
        <w:r w:rsidRPr="005D440C">
          <w:rPr>
            <w:rStyle w:val="Hyperlink"/>
            <w:rFonts w:hint="cs"/>
            <w:rtl/>
          </w:rPr>
          <w:t>ی</w:t>
        </w:r>
        <w:r w:rsidRPr="005D440C">
          <w:rPr>
            <w:rStyle w:val="Hyperlink"/>
            <w:rFonts w:hint="eastAsia"/>
            <w:rtl/>
          </w:rPr>
          <w:t>،</w:t>
        </w:r>
        <w:r w:rsidRPr="005D440C">
          <w:rPr>
            <w:rStyle w:val="Hyperlink"/>
            <w:rtl/>
          </w:rPr>
          <w:t xml:space="preserve"> محمد بن </w:t>
        </w:r>
        <w:r w:rsidRPr="005D440C">
          <w:rPr>
            <w:rStyle w:val="Hyperlink"/>
            <w:rFonts w:hint="cs"/>
            <w:rtl/>
          </w:rPr>
          <w:t>ی</w:t>
        </w:r>
        <w:r w:rsidRPr="005D440C">
          <w:rPr>
            <w:rStyle w:val="Hyperlink"/>
            <w:rFonts w:hint="eastAsia"/>
            <w:rtl/>
          </w:rPr>
          <w:t>عقوب</w:t>
        </w:r>
        <w:r w:rsidRPr="005D440C">
          <w:rPr>
            <w:rStyle w:val="Hyperlink"/>
            <w:rtl/>
          </w:rPr>
          <w:t xml:space="preserve"> کل</w:t>
        </w:r>
        <w:r w:rsidRPr="005D440C">
          <w:rPr>
            <w:rStyle w:val="Hyperlink"/>
            <w:rFonts w:hint="cs"/>
            <w:rtl/>
          </w:rPr>
          <w:t>ی</w:t>
        </w:r>
        <w:r w:rsidRPr="005D440C">
          <w:rPr>
            <w:rStyle w:val="Hyperlink"/>
            <w:rFonts w:hint="eastAsia"/>
            <w:rtl/>
          </w:rPr>
          <w:t>ن</w:t>
        </w:r>
        <w:r w:rsidRPr="005D440C">
          <w:rPr>
            <w:rStyle w:val="Hyperlink"/>
            <w:rFonts w:hint="cs"/>
            <w:rtl/>
          </w:rPr>
          <w:t>ی</w:t>
        </w:r>
        <w:r w:rsidRPr="005D440C">
          <w:rPr>
            <w:rStyle w:val="Hyperlink"/>
            <w:rFonts w:hint="eastAsia"/>
            <w:rtl/>
          </w:rPr>
          <w:t>،</w:t>
        </w:r>
        <w:r w:rsidRPr="005D440C">
          <w:rPr>
            <w:rStyle w:val="Hyperlink"/>
            <w:rtl/>
          </w:rPr>
          <w:t xml:space="preserve"> ج6، ص117.</w:t>
        </w:r>
      </w:hyperlink>
    </w:p>
  </w:footnote>
  <w:footnote w:id="4">
    <w:p w:rsidR="005D440C" w:rsidRPr="005D440C" w:rsidRDefault="005D440C" w:rsidP="005D440C">
      <w:pPr>
        <w:pStyle w:val="FootnoteText"/>
      </w:pPr>
      <w:r w:rsidRPr="005D440C">
        <w:footnoteRef/>
      </w:r>
      <w:r w:rsidRPr="005D440C">
        <w:rPr>
          <w:rtl/>
        </w:rPr>
        <w:t xml:space="preserve"> </w:t>
      </w:r>
      <w:hyperlink r:id="rId3" w:history="1">
        <w:r w:rsidRPr="005D440C">
          <w:rPr>
            <w:rStyle w:val="Hyperlink"/>
            <w:rtl/>
          </w:rPr>
          <w:t>الکاف</w:t>
        </w:r>
        <w:r w:rsidRPr="005D440C">
          <w:rPr>
            <w:rStyle w:val="Hyperlink"/>
            <w:rFonts w:hint="cs"/>
            <w:rtl/>
          </w:rPr>
          <w:t>ی</w:t>
        </w:r>
        <w:r w:rsidRPr="005D440C">
          <w:rPr>
            <w:rStyle w:val="Hyperlink"/>
            <w:rFonts w:hint="eastAsia"/>
            <w:rtl/>
          </w:rPr>
          <w:t>،</w:t>
        </w:r>
        <w:r w:rsidRPr="005D440C">
          <w:rPr>
            <w:rStyle w:val="Hyperlink"/>
            <w:rtl/>
          </w:rPr>
          <w:t xml:space="preserve"> محمد بن </w:t>
        </w:r>
        <w:r w:rsidRPr="005D440C">
          <w:rPr>
            <w:rStyle w:val="Hyperlink"/>
            <w:rFonts w:hint="cs"/>
            <w:rtl/>
          </w:rPr>
          <w:t>ی</w:t>
        </w:r>
        <w:r w:rsidRPr="005D440C">
          <w:rPr>
            <w:rStyle w:val="Hyperlink"/>
            <w:rFonts w:hint="eastAsia"/>
            <w:rtl/>
          </w:rPr>
          <w:t>عقوب</w:t>
        </w:r>
        <w:r w:rsidRPr="005D440C">
          <w:rPr>
            <w:rStyle w:val="Hyperlink"/>
            <w:rtl/>
          </w:rPr>
          <w:t xml:space="preserve"> کل</w:t>
        </w:r>
        <w:r w:rsidRPr="005D440C">
          <w:rPr>
            <w:rStyle w:val="Hyperlink"/>
            <w:rFonts w:hint="cs"/>
            <w:rtl/>
          </w:rPr>
          <w:t>ی</w:t>
        </w:r>
        <w:r w:rsidRPr="005D440C">
          <w:rPr>
            <w:rStyle w:val="Hyperlink"/>
            <w:rFonts w:hint="eastAsia"/>
            <w:rtl/>
          </w:rPr>
          <w:t>ن</w:t>
        </w:r>
        <w:r w:rsidRPr="005D440C">
          <w:rPr>
            <w:rStyle w:val="Hyperlink"/>
            <w:rFonts w:hint="cs"/>
            <w:rtl/>
          </w:rPr>
          <w:t>ی</w:t>
        </w:r>
        <w:r w:rsidRPr="005D440C">
          <w:rPr>
            <w:rStyle w:val="Hyperlink"/>
            <w:rFonts w:hint="eastAsia"/>
            <w:rtl/>
          </w:rPr>
          <w:t>،</w:t>
        </w:r>
        <w:r w:rsidRPr="005D440C">
          <w:rPr>
            <w:rStyle w:val="Hyperlink"/>
            <w:rtl/>
          </w:rPr>
          <w:t xml:space="preserve"> ج6، ص116.</w:t>
        </w:r>
      </w:hyperlink>
    </w:p>
  </w:footnote>
  <w:footnote w:id="5">
    <w:p w:rsidR="007025DD" w:rsidRPr="007025DD" w:rsidRDefault="007025DD" w:rsidP="007025DD">
      <w:pPr>
        <w:pStyle w:val="FootnoteText"/>
      </w:pPr>
      <w:r w:rsidRPr="007025DD">
        <w:footnoteRef/>
      </w:r>
      <w:r w:rsidRPr="007025DD">
        <w:rPr>
          <w:rtl/>
        </w:rPr>
        <w:t xml:space="preserve"> </w:t>
      </w:r>
      <w:hyperlink r:id="rId4" w:history="1">
        <w:r w:rsidRPr="007025DD">
          <w:rPr>
            <w:rStyle w:val="Hyperlink"/>
            <w:rtl/>
          </w:rPr>
          <w:t>الکاف</w:t>
        </w:r>
        <w:r w:rsidRPr="007025DD">
          <w:rPr>
            <w:rStyle w:val="Hyperlink"/>
            <w:rFonts w:hint="cs"/>
            <w:rtl/>
          </w:rPr>
          <w:t>ی</w:t>
        </w:r>
        <w:r w:rsidRPr="007025DD">
          <w:rPr>
            <w:rStyle w:val="Hyperlink"/>
            <w:rFonts w:hint="eastAsia"/>
            <w:rtl/>
          </w:rPr>
          <w:t>،</w:t>
        </w:r>
        <w:r w:rsidRPr="007025DD">
          <w:rPr>
            <w:rStyle w:val="Hyperlink"/>
            <w:rtl/>
          </w:rPr>
          <w:t xml:space="preserve"> محمد بن </w:t>
        </w:r>
        <w:r w:rsidRPr="007025DD">
          <w:rPr>
            <w:rStyle w:val="Hyperlink"/>
            <w:rFonts w:hint="cs"/>
            <w:rtl/>
          </w:rPr>
          <w:t>ی</w:t>
        </w:r>
        <w:r w:rsidRPr="007025DD">
          <w:rPr>
            <w:rStyle w:val="Hyperlink"/>
            <w:rFonts w:hint="eastAsia"/>
            <w:rtl/>
          </w:rPr>
          <w:t>عقوب</w:t>
        </w:r>
        <w:r w:rsidRPr="007025DD">
          <w:rPr>
            <w:rStyle w:val="Hyperlink"/>
            <w:rtl/>
          </w:rPr>
          <w:t xml:space="preserve"> کل</w:t>
        </w:r>
        <w:r w:rsidRPr="007025DD">
          <w:rPr>
            <w:rStyle w:val="Hyperlink"/>
            <w:rFonts w:hint="cs"/>
            <w:rtl/>
          </w:rPr>
          <w:t>ی</w:t>
        </w:r>
        <w:r w:rsidRPr="007025DD">
          <w:rPr>
            <w:rStyle w:val="Hyperlink"/>
            <w:rFonts w:hint="eastAsia"/>
            <w:rtl/>
          </w:rPr>
          <w:t>ن</w:t>
        </w:r>
        <w:r w:rsidRPr="007025DD">
          <w:rPr>
            <w:rStyle w:val="Hyperlink"/>
            <w:rFonts w:hint="cs"/>
            <w:rtl/>
          </w:rPr>
          <w:t>ی</w:t>
        </w:r>
        <w:r w:rsidRPr="007025DD">
          <w:rPr>
            <w:rStyle w:val="Hyperlink"/>
            <w:rFonts w:hint="eastAsia"/>
            <w:rtl/>
          </w:rPr>
          <w:t>،</w:t>
        </w:r>
        <w:r w:rsidRPr="007025DD">
          <w:rPr>
            <w:rStyle w:val="Hyperlink"/>
            <w:rtl/>
          </w:rPr>
          <w:t xml:space="preserve"> ج6، ص116.</w:t>
        </w:r>
      </w:hyperlink>
    </w:p>
  </w:footnote>
  <w:footnote w:id="6">
    <w:p w:rsidR="00B9150D" w:rsidRPr="00B9150D" w:rsidRDefault="00B9150D" w:rsidP="00B9150D">
      <w:pPr>
        <w:pStyle w:val="FootnoteText"/>
      </w:pPr>
      <w:r w:rsidRPr="00B9150D">
        <w:footnoteRef/>
      </w:r>
      <w:r w:rsidRPr="00B9150D">
        <w:rPr>
          <w:rtl/>
        </w:rPr>
        <w:t xml:space="preserve"> </w:t>
      </w:r>
      <w:hyperlink r:id="rId5" w:history="1">
        <w:r w:rsidRPr="00B9150D">
          <w:rPr>
            <w:rStyle w:val="Hyperlink"/>
            <w:rtl/>
          </w:rPr>
          <w:t>الکاف</w:t>
        </w:r>
        <w:r w:rsidRPr="00B9150D">
          <w:rPr>
            <w:rStyle w:val="Hyperlink"/>
            <w:rFonts w:hint="cs"/>
            <w:rtl/>
          </w:rPr>
          <w:t>ی</w:t>
        </w:r>
        <w:r w:rsidRPr="00B9150D">
          <w:rPr>
            <w:rStyle w:val="Hyperlink"/>
            <w:rFonts w:hint="eastAsia"/>
            <w:rtl/>
          </w:rPr>
          <w:t>،</w:t>
        </w:r>
        <w:r w:rsidRPr="00B9150D">
          <w:rPr>
            <w:rStyle w:val="Hyperlink"/>
            <w:rtl/>
          </w:rPr>
          <w:t xml:space="preserve"> محمد بن </w:t>
        </w:r>
        <w:r w:rsidRPr="00B9150D">
          <w:rPr>
            <w:rStyle w:val="Hyperlink"/>
            <w:rFonts w:hint="cs"/>
            <w:rtl/>
          </w:rPr>
          <w:t>ی</w:t>
        </w:r>
        <w:r w:rsidRPr="00B9150D">
          <w:rPr>
            <w:rStyle w:val="Hyperlink"/>
            <w:rFonts w:hint="eastAsia"/>
            <w:rtl/>
          </w:rPr>
          <w:t>عقوب</w:t>
        </w:r>
        <w:r w:rsidRPr="00B9150D">
          <w:rPr>
            <w:rStyle w:val="Hyperlink"/>
            <w:rtl/>
          </w:rPr>
          <w:t xml:space="preserve"> کل</w:t>
        </w:r>
        <w:r w:rsidRPr="00B9150D">
          <w:rPr>
            <w:rStyle w:val="Hyperlink"/>
            <w:rFonts w:hint="cs"/>
            <w:rtl/>
          </w:rPr>
          <w:t>ی</w:t>
        </w:r>
        <w:r w:rsidRPr="00B9150D">
          <w:rPr>
            <w:rStyle w:val="Hyperlink"/>
            <w:rFonts w:hint="eastAsia"/>
            <w:rtl/>
          </w:rPr>
          <w:t>ن</w:t>
        </w:r>
        <w:r w:rsidRPr="00B9150D">
          <w:rPr>
            <w:rStyle w:val="Hyperlink"/>
            <w:rFonts w:hint="cs"/>
            <w:rtl/>
          </w:rPr>
          <w:t>ی</w:t>
        </w:r>
        <w:r w:rsidRPr="00B9150D">
          <w:rPr>
            <w:rStyle w:val="Hyperlink"/>
            <w:rFonts w:hint="eastAsia"/>
            <w:rtl/>
          </w:rPr>
          <w:t>،</w:t>
        </w:r>
        <w:r w:rsidRPr="00B9150D">
          <w:rPr>
            <w:rStyle w:val="Hyperlink"/>
            <w:rtl/>
          </w:rPr>
          <w:t xml:space="preserve"> ج6، ص117.</w:t>
        </w:r>
      </w:hyperlink>
    </w:p>
  </w:footnote>
  <w:footnote w:id="7">
    <w:p w:rsidR="0008601B" w:rsidRPr="0008601B" w:rsidRDefault="0008601B" w:rsidP="0008601B">
      <w:pPr>
        <w:pStyle w:val="FootnoteText"/>
      </w:pPr>
      <w:r w:rsidRPr="0008601B">
        <w:footnoteRef/>
      </w:r>
      <w:r w:rsidRPr="0008601B">
        <w:rPr>
          <w:rtl/>
        </w:rPr>
        <w:t xml:space="preserve"> </w:t>
      </w:r>
      <w:hyperlink r:id="rId6" w:history="1">
        <w:r w:rsidRPr="0008601B">
          <w:rPr>
            <w:rStyle w:val="Hyperlink"/>
            <w:rFonts w:hint="eastAsia"/>
            <w:rtl/>
          </w:rPr>
          <w:t>الکاف</w:t>
        </w:r>
        <w:r w:rsidRPr="0008601B">
          <w:rPr>
            <w:rStyle w:val="Hyperlink"/>
            <w:rFonts w:hint="cs"/>
            <w:rtl/>
          </w:rPr>
          <w:t>ی</w:t>
        </w:r>
        <w:r w:rsidRPr="0008601B">
          <w:rPr>
            <w:rStyle w:val="Hyperlink"/>
            <w:rFonts w:hint="eastAsia"/>
            <w:rtl/>
          </w:rPr>
          <w:t>،</w:t>
        </w:r>
        <w:r w:rsidRPr="0008601B">
          <w:rPr>
            <w:rStyle w:val="Hyperlink"/>
            <w:rtl/>
          </w:rPr>
          <w:t xml:space="preserve"> محمد بن </w:t>
        </w:r>
        <w:r w:rsidRPr="0008601B">
          <w:rPr>
            <w:rStyle w:val="Hyperlink"/>
            <w:rFonts w:hint="cs"/>
            <w:rtl/>
          </w:rPr>
          <w:t>ی</w:t>
        </w:r>
        <w:r w:rsidRPr="0008601B">
          <w:rPr>
            <w:rStyle w:val="Hyperlink"/>
            <w:rFonts w:hint="eastAsia"/>
            <w:rtl/>
          </w:rPr>
          <w:t>عقوب</w:t>
        </w:r>
        <w:r w:rsidRPr="0008601B">
          <w:rPr>
            <w:rStyle w:val="Hyperlink"/>
            <w:rtl/>
          </w:rPr>
          <w:t xml:space="preserve"> کل</w:t>
        </w:r>
        <w:r w:rsidRPr="0008601B">
          <w:rPr>
            <w:rStyle w:val="Hyperlink"/>
            <w:rFonts w:hint="cs"/>
            <w:rtl/>
          </w:rPr>
          <w:t>ی</w:t>
        </w:r>
        <w:r w:rsidRPr="0008601B">
          <w:rPr>
            <w:rStyle w:val="Hyperlink"/>
            <w:rFonts w:hint="eastAsia"/>
            <w:rtl/>
          </w:rPr>
          <w:t>ن</w:t>
        </w:r>
        <w:r w:rsidRPr="0008601B">
          <w:rPr>
            <w:rStyle w:val="Hyperlink"/>
            <w:rFonts w:hint="cs"/>
            <w:rtl/>
          </w:rPr>
          <w:t>ی</w:t>
        </w:r>
        <w:r w:rsidRPr="0008601B">
          <w:rPr>
            <w:rStyle w:val="Hyperlink"/>
            <w:rFonts w:hint="eastAsia"/>
            <w:rtl/>
          </w:rPr>
          <w:t>،</w:t>
        </w:r>
        <w:r w:rsidRPr="0008601B">
          <w:rPr>
            <w:rStyle w:val="Hyperlink"/>
            <w:rtl/>
          </w:rPr>
          <w:t xml:space="preserve"> ج6، ص116.</w:t>
        </w:r>
      </w:hyperlink>
    </w:p>
  </w:footnote>
  <w:footnote w:id="8">
    <w:p w:rsidR="00C97CBB" w:rsidRPr="00C97CBB" w:rsidRDefault="00C97CBB" w:rsidP="00C97CBB">
      <w:pPr>
        <w:pStyle w:val="FootnoteText"/>
      </w:pPr>
      <w:r w:rsidRPr="00C97CBB">
        <w:footnoteRef/>
      </w:r>
      <w:r w:rsidRPr="00C97CBB">
        <w:rPr>
          <w:rtl/>
        </w:rPr>
        <w:t xml:space="preserve"> </w:t>
      </w:r>
      <w:hyperlink r:id="rId7" w:history="1">
        <w:r w:rsidRPr="00C97CBB">
          <w:rPr>
            <w:rStyle w:val="Hyperlink"/>
            <w:rtl/>
          </w:rPr>
          <w:t>تهذ</w:t>
        </w:r>
        <w:r w:rsidRPr="00C97CBB">
          <w:rPr>
            <w:rStyle w:val="Hyperlink"/>
            <w:rFonts w:hint="cs"/>
            <w:rtl/>
          </w:rPr>
          <w:t>ی</w:t>
        </w:r>
        <w:r w:rsidRPr="00C97CBB">
          <w:rPr>
            <w:rStyle w:val="Hyperlink"/>
            <w:rFonts w:hint="eastAsia"/>
            <w:rtl/>
          </w:rPr>
          <w:t>ب</w:t>
        </w:r>
        <w:r w:rsidRPr="00C97CBB">
          <w:rPr>
            <w:rStyle w:val="Hyperlink"/>
            <w:rtl/>
          </w:rPr>
          <w:t xml:space="preserve"> الاحکام، ش</w:t>
        </w:r>
        <w:r w:rsidRPr="00C97CBB">
          <w:rPr>
            <w:rStyle w:val="Hyperlink"/>
            <w:rFonts w:hint="cs"/>
            <w:rtl/>
          </w:rPr>
          <w:t>ی</w:t>
        </w:r>
        <w:r w:rsidRPr="00C97CBB">
          <w:rPr>
            <w:rStyle w:val="Hyperlink"/>
            <w:rFonts w:hint="eastAsia"/>
            <w:rtl/>
          </w:rPr>
          <w:t>خ</w:t>
        </w:r>
        <w:r w:rsidRPr="00C97CBB">
          <w:rPr>
            <w:rStyle w:val="Hyperlink"/>
            <w:rtl/>
          </w:rPr>
          <w:t xml:space="preserve"> طوس</w:t>
        </w:r>
        <w:r w:rsidRPr="00C97CBB">
          <w:rPr>
            <w:rStyle w:val="Hyperlink"/>
            <w:rFonts w:hint="cs"/>
            <w:rtl/>
          </w:rPr>
          <w:t>ی</w:t>
        </w:r>
        <w:r w:rsidRPr="00C97CBB">
          <w:rPr>
            <w:rStyle w:val="Hyperlink"/>
            <w:rFonts w:hint="eastAsia"/>
            <w:rtl/>
          </w:rPr>
          <w:t>،</w:t>
        </w:r>
        <w:r w:rsidRPr="00C97CBB">
          <w:rPr>
            <w:rStyle w:val="Hyperlink"/>
            <w:rtl/>
          </w:rPr>
          <w:t xml:space="preserve"> ج8، ص160.</w:t>
        </w:r>
      </w:hyperlink>
    </w:p>
  </w:footnote>
  <w:footnote w:id="9">
    <w:p w:rsidR="00004CBA" w:rsidRPr="00004CBA" w:rsidRDefault="00004CBA" w:rsidP="00004CBA">
      <w:pPr>
        <w:pStyle w:val="FootnoteText"/>
      </w:pPr>
      <w:r w:rsidRPr="00004CBA">
        <w:footnoteRef/>
      </w:r>
      <w:r w:rsidRPr="00004CBA">
        <w:rPr>
          <w:rtl/>
        </w:rPr>
        <w:t xml:space="preserve"> </w:t>
      </w:r>
      <w:hyperlink r:id="rId8" w:history="1">
        <w:r w:rsidRPr="00004CBA">
          <w:rPr>
            <w:rStyle w:val="Hyperlink"/>
            <w:rFonts w:hint="eastAsia"/>
            <w:rtl/>
          </w:rPr>
          <w:t>عوال</w:t>
        </w:r>
        <w:r w:rsidRPr="00004CBA">
          <w:rPr>
            <w:rStyle w:val="Hyperlink"/>
            <w:rFonts w:hint="cs"/>
            <w:rtl/>
          </w:rPr>
          <w:t>ی</w:t>
        </w:r>
        <w:r w:rsidRPr="00004CBA">
          <w:rPr>
            <w:rStyle w:val="Hyperlink"/>
            <w:rtl/>
          </w:rPr>
          <w:t xml:space="preserve"> اللئال</w:t>
        </w:r>
        <w:r w:rsidRPr="00004CBA">
          <w:rPr>
            <w:rStyle w:val="Hyperlink"/>
            <w:rFonts w:hint="cs"/>
            <w:rtl/>
          </w:rPr>
          <w:t>ی</w:t>
        </w:r>
        <w:r w:rsidRPr="00004CBA">
          <w:rPr>
            <w:rStyle w:val="Hyperlink"/>
            <w:rFonts w:hint="eastAsia"/>
            <w:rtl/>
          </w:rPr>
          <w:t>،</w:t>
        </w:r>
        <w:r w:rsidRPr="00004CBA">
          <w:rPr>
            <w:rStyle w:val="Hyperlink"/>
            <w:rtl/>
          </w:rPr>
          <w:t xml:space="preserve"> محمد بن اب</w:t>
        </w:r>
        <w:r w:rsidRPr="00004CBA">
          <w:rPr>
            <w:rStyle w:val="Hyperlink"/>
            <w:rFonts w:hint="cs"/>
            <w:rtl/>
          </w:rPr>
          <w:t>ی</w:t>
        </w:r>
        <w:r w:rsidRPr="00004CBA">
          <w:rPr>
            <w:rStyle w:val="Hyperlink"/>
            <w:rtl/>
          </w:rPr>
          <w:t xml:space="preserve"> جمهور احسائ</w:t>
        </w:r>
        <w:r w:rsidRPr="00004CBA">
          <w:rPr>
            <w:rStyle w:val="Hyperlink"/>
            <w:rFonts w:hint="cs"/>
            <w:rtl/>
          </w:rPr>
          <w:t>ی</w:t>
        </w:r>
        <w:r w:rsidRPr="00004CBA">
          <w:rPr>
            <w:rStyle w:val="Hyperlink"/>
            <w:rFonts w:hint="eastAsia"/>
            <w:rtl/>
          </w:rPr>
          <w:t>،</w:t>
        </w:r>
        <w:r w:rsidRPr="00004CBA">
          <w:rPr>
            <w:rStyle w:val="Hyperlink"/>
            <w:rtl/>
          </w:rPr>
          <w:t xml:space="preserve"> ج2، ص286.</w:t>
        </w:r>
      </w:hyperlink>
    </w:p>
  </w:footnote>
  <w:footnote w:id="10">
    <w:p w:rsidR="0068372A" w:rsidRPr="0068372A" w:rsidRDefault="0068372A" w:rsidP="0068372A">
      <w:pPr>
        <w:pStyle w:val="FootnoteText"/>
      </w:pPr>
      <w:r w:rsidRPr="0068372A">
        <w:footnoteRef/>
      </w:r>
      <w:r w:rsidRPr="0068372A">
        <w:rPr>
          <w:rtl/>
        </w:rPr>
        <w:t xml:space="preserve"> </w:t>
      </w:r>
      <w:hyperlink r:id="rId9" w:history="1">
        <w:r w:rsidRPr="0068372A">
          <w:rPr>
            <w:rStyle w:val="Hyperlink"/>
            <w:rFonts w:hint="eastAsia"/>
            <w:rtl/>
          </w:rPr>
          <w:t>تهذ</w:t>
        </w:r>
        <w:r w:rsidRPr="0068372A">
          <w:rPr>
            <w:rStyle w:val="Hyperlink"/>
            <w:rFonts w:hint="cs"/>
            <w:rtl/>
          </w:rPr>
          <w:t>ی</w:t>
        </w:r>
        <w:r w:rsidRPr="0068372A">
          <w:rPr>
            <w:rStyle w:val="Hyperlink"/>
            <w:rFonts w:hint="eastAsia"/>
            <w:rtl/>
          </w:rPr>
          <w:t>ب</w:t>
        </w:r>
        <w:r w:rsidRPr="0068372A">
          <w:rPr>
            <w:rStyle w:val="Hyperlink"/>
            <w:rtl/>
          </w:rPr>
          <w:t xml:space="preserve"> الاحکام، ش</w:t>
        </w:r>
        <w:r w:rsidRPr="0068372A">
          <w:rPr>
            <w:rStyle w:val="Hyperlink"/>
            <w:rFonts w:hint="cs"/>
            <w:rtl/>
          </w:rPr>
          <w:t>ی</w:t>
        </w:r>
        <w:r w:rsidRPr="0068372A">
          <w:rPr>
            <w:rStyle w:val="Hyperlink"/>
            <w:rFonts w:hint="eastAsia"/>
            <w:rtl/>
          </w:rPr>
          <w:t>خ</w:t>
        </w:r>
        <w:r w:rsidRPr="0068372A">
          <w:rPr>
            <w:rStyle w:val="Hyperlink"/>
            <w:rtl/>
          </w:rPr>
          <w:t xml:space="preserve"> طوس</w:t>
        </w:r>
        <w:r w:rsidRPr="0068372A">
          <w:rPr>
            <w:rStyle w:val="Hyperlink"/>
            <w:rFonts w:hint="cs"/>
            <w:rtl/>
          </w:rPr>
          <w:t>ی</w:t>
        </w:r>
        <w:r w:rsidRPr="0068372A">
          <w:rPr>
            <w:rStyle w:val="Hyperlink"/>
            <w:rFonts w:hint="eastAsia"/>
            <w:rtl/>
          </w:rPr>
          <w:t>،</w:t>
        </w:r>
        <w:r w:rsidRPr="0068372A">
          <w:rPr>
            <w:rStyle w:val="Hyperlink"/>
            <w:rtl/>
          </w:rPr>
          <w:t xml:space="preserve"> ج8، ص161.</w:t>
        </w:r>
      </w:hyperlink>
    </w:p>
  </w:footnote>
  <w:footnote w:id="11">
    <w:p w:rsidR="004059BF" w:rsidRPr="004059BF" w:rsidRDefault="004059BF" w:rsidP="004059BF">
      <w:pPr>
        <w:pStyle w:val="FootnoteText"/>
      </w:pPr>
      <w:r w:rsidRPr="004059BF">
        <w:footnoteRef/>
      </w:r>
      <w:r w:rsidRPr="004059BF">
        <w:rPr>
          <w:rtl/>
        </w:rPr>
        <w:t xml:space="preserve"> </w:t>
      </w:r>
      <w:hyperlink r:id="rId10" w:history="1">
        <w:r w:rsidRPr="004059BF">
          <w:rPr>
            <w:rStyle w:val="Hyperlink"/>
            <w:rFonts w:hint="eastAsia"/>
            <w:rtl/>
          </w:rPr>
          <w:t>من</w:t>
        </w:r>
        <w:r w:rsidRPr="004059BF">
          <w:rPr>
            <w:rStyle w:val="Hyperlink"/>
            <w:rtl/>
          </w:rPr>
          <w:t xml:space="preserve"> لا </w:t>
        </w:r>
        <w:r w:rsidRPr="004059BF">
          <w:rPr>
            <w:rStyle w:val="Hyperlink"/>
            <w:rFonts w:hint="cs"/>
            <w:rtl/>
          </w:rPr>
          <w:t>ی</w:t>
        </w:r>
        <w:r w:rsidRPr="004059BF">
          <w:rPr>
            <w:rStyle w:val="Hyperlink"/>
            <w:rFonts w:hint="eastAsia"/>
            <w:rtl/>
          </w:rPr>
          <w:t>حضره</w:t>
        </w:r>
        <w:r w:rsidRPr="004059BF">
          <w:rPr>
            <w:rStyle w:val="Hyperlink"/>
            <w:rtl/>
          </w:rPr>
          <w:t xml:space="preserve"> الفق</w:t>
        </w:r>
        <w:r w:rsidRPr="004059BF">
          <w:rPr>
            <w:rStyle w:val="Hyperlink"/>
            <w:rFonts w:hint="cs"/>
            <w:rtl/>
          </w:rPr>
          <w:t>ی</w:t>
        </w:r>
        <w:r w:rsidRPr="004059BF">
          <w:rPr>
            <w:rStyle w:val="Hyperlink"/>
            <w:rFonts w:hint="eastAsia"/>
            <w:rtl/>
          </w:rPr>
          <w:t>ه،</w:t>
        </w:r>
        <w:r w:rsidRPr="004059BF">
          <w:rPr>
            <w:rStyle w:val="Hyperlink"/>
            <w:rtl/>
          </w:rPr>
          <w:t xml:space="preserve"> ش</w:t>
        </w:r>
        <w:r w:rsidRPr="004059BF">
          <w:rPr>
            <w:rStyle w:val="Hyperlink"/>
            <w:rFonts w:hint="cs"/>
            <w:rtl/>
          </w:rPr>
          <w:t>ی</w:t>
        </w:r>
        <w:r w:rsidRPr="004059BF">
          <w:rPr>
            <w:rStyle w:val="Hyperlink"/>
            <w:rFonts w:hint="eastAsia"/>
            <w:rtl/>
          </w:rPr>
          <w:t>خ</w:t>
        </w:r>
        <w:r w:rsidRPr="004059BF">
          <w:rPr>
            <w:rStyle w:val="Hyperlink"/>
            <w:rtl/>
          </w:rPr>
          <w:t xml:space="preserve"> صدوق، ج3، ص508.</w:t>
        </w:r>
      </w:hyperlink>
    </w:p>
  </w:footnote>
  <w:footnote w:id="12">
    <w:p w:rsidR="004260DF" w:rsidRPr="004260DF" w:rsidRDefault="004260DF" w:rsidP="004260DF">
      <w:pPr>
        <w:pStyle w:val="FootnoteText"/>
      </w:pPr>
      <w:r w:rsidRPr="004260DF">
        <w:footnoteRef/>
      </w:r>
      <w:r w:rsidRPr="004260DF">
        <w:rPr>
          <w:rtl/>
        </w:rPr>
        <w:t xml:space="preserve"> </w:t>
      </w:r>
      <w:hyperlink r:id="rId11" w:history="1">
        <w:r w:rsidRPr="004260DF">
          <w:rPr>
            <w:rStyle w:val="Hyperlink"/>
            <w:rtl/>
          </w:rPr>
          <w:t>تهذ</w:t>
        </w:r>
        <w:r w:rsidRPr="004260DF">
          <w:rPr>
            <w:rStyle w:val="Hyperlink"/>
            <w:rFonts w:hint="cs"/>
            <w:rtl/>
          </w:rPr>
          <w:t>ی</w:t>
        </w:r>
        <w:r w:rsidRPr="004260DF">
          <w:rPr>
            <w:rStyle w:val="Hyperlink"/>
            <w:rFonts w:hint="eastAsia"/>
            <w:rtl/>
          </w:rPr>
          <w:t>ب</w:t>
        </w:r>
        <w:r w:rsidRPr="004260DF">
          <w:rPr>
            <w:rStyle w:val="Hyperlink"/>
            <w:rtl/>
          </w:rPr>
          <w:t xml:space="preserve"> الاحکام، ش</w:t>
        </w:r>
        <w:r w:rsidRPr="004260DF">
          <w:rPr>
            <w:rStyle w:val="Hyperlink"/>
            <w:rFonts w:hint="cs"/>
            <w:rtl/>
          </w:rPr>
          <w:t>ی</w:t>
        </w:r>
        <w:r w:rsidRPr="004260DF">
          <w:rPr>
            <w:rStyle w:val="Hyperlink"/>
            <w:rFonts w:hint="eastAsia"/>
            <w:rtl/>
          </w:rPr>
          <w:t>خ</w:t>
        </w:r>
        <w:r w:rsidRPr="004260DF">
          <w:rPr>
            <w:rStyle w:val="Hyperlink"/>
            <w:rtl/>
          </w:rPr>
          <w:t xml:space="preserve"> طوس</w:t>
        </w:r>
        <w:r w:rsidRPr="004260DF">
          <w:rPr>
            <w:rStyle w:val="Hyperlink"/>
            <w:rFonts w:hint="cs"/>
            <w:rtl/>
          </w:rPr>
          <w:t>ی</w:t>
        </w:r>
        <w:r w:rsidRPr="004260DF">
          <w:rPr>
            <w:rStyle w:val="Hyperlink"/>
            <w:rFonts w:hint="eastAsia"/>
            <w:rtl/>
          </w:rPr>
          <w:t>،</w:t>
        </w:r>
        <w:r w:rsidRPr="004260DF">
          <w:rPr>
            <w:rStyle w:val="Hyperlink"/>
            <w:rtl/>
          </w:rPr>
          <w:t xml:space="preserve"> ج8، ص83.</w:t>
        </w:r>
      </w:hyperlink>
    </w:p>
  </w:footnote>
  <w:footnote w:id="13">
    <w:p w:rsidR="00291F70" w:rsidRPr="00291F70" w:rsidRDefault="00291F70" w:rsidP="00291F70">
      <w:pPr>
        <w:pStyle w:val="FootnoteText"/>
      </w:pPr>
      <w:r w:rsidRPr="00291F70">
        <w:footnoteRef/>
      </w:r>
      <w:r w:rsidRPr="00291F70">
        <w:rPr>
          <w:rtl/>
        </w:rPr>
        <w:t xml:space="preserve"> </w:t>
      </w:r>
      <w:hyperlink r:id="rId12" w:history="1">
        <w:r w:rsidRPr="00291F70">
          <w:rPr>
            <w:rStyle w:val="Hyperlink"/>
            <w:rtl/>
          </w:rPr>
          <w:t>الحدائق الناضرة ف</w:t>
        </w:r>
        <w:r w:rsidRPr="00291F70">
          <w:rPr>
            <w:rStyle w:val="Hyperlink"/>
            <w:rFonts w:hint="cs"/>
            <w:rtl/>
          </w:rPr>
          <w:t>ی</w:t>
        </w:r>
        <w:r w:rsidRPr="00291F70">
          <w:rPr>
            <w:rStyle w:val="Hyperlink"/>
            <w:rtl/>
          </w:rPr>
          <w:t xml:space="preserve"> أحکام العترة الطاهرة، </w:t>
        </w:r>
        <w:r w:rsidRPr="00291F70">
          <w:rPr>
            <w:rStyle w:val="Hyperlink"/>
            <w:rFonts w:hint="cs"/>
            <w:rtl/>
          </w:rPr>
          <w:t>ی</w:t>
        </w:r>
        <w:r w:rsidRPr="00291F70">
          <w:rPr>
            <w:rStyle w:val="Hyperlink"/>
            <w:rFonts w:hint="eastAsia"/>
            <w:rtl/>
          </w:rPr>
          <w:t>وسف</w:t>
        </w:r>
        <w:r w:rsidRPr="00291F70">
          <w:rPr>
            <w:rStyle w:val="Hyperlink"/>
            <w:rtl/>
          </w:rPr>
          <w:t xml:space="preserve"> بن أحمد البحران</w:t>
        </w:r>
        <w:r w:rsidRPr="00291F70">
          <w:rPr>
            <w:rStyle w:val="Hyperlink"/>
            <w:rFonts w:hint="cs"/>
            <w:rtl/>
          </w:rPr>
          <w:t>ی</w:t>
        </w:r>
        <w:r w:rsidRPr="00291F70">
          <w:rPr>
            <w:rStyle w:val="Hyperlink"/>
            <w:rtl/>
          </w:rPr>
          <w:t xml:space="preserve"> (صاحب الحدائق)، ج25، ص471.</w:t>
        </w:r>
      </w:hyperlink>
    </w:p>
  </w:footnote>
  <w:footnote w:id="14">
    <w:p w:rsidR="00291F70" w:rsidRDefault="00291F70" w:rsidP="00291F70">
      <w:pPr>
        <w:pStyle w:val="FootnoteText"/>
      </w:pPr>
      <w:r>
        <w:rPr>
          <w:rStyle w:val="FootnoteReference"/>
        </w:rPr>
        <w:footnoteRef/>
      </w:r>
      <w:r>
        <w:rPr>
          <w:rtl/>
        </w:rPr>
        <w:t xml:space="preserve"> </w:t>
      </w:r>
      <w:r w:rsidRPr="00291F70">
        <w:rPr>
          <w:rFonts w:hint="cs"/>
          <w:rtl/>
        </w:rPr>
        <w:t>جامع المد</w:t>
      </w:r>
      <w:r>
        <w:rPr>
          <w:rFonts w:hint="cs"/>
          <w:rtl/>
        </w:rPr>
        <w:t>ارك في شرح مختصر النافع، ج‌4، ص</w:t>
      </w:r>
      <w:r w:rsidRPr="00291F70">
        <w:rPr>
          <w:rFonts w:hint="cs"/>
          <w:rtl/>
        </w:rPr>
        <w:t xml:space="preserve"> 561‌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BB736B">
      <w:rPr>
        <w:b/>
        <w:bCs/>
        <w:sz w:val="20"/>
        <w:szCs w:val="24"/>
        <w:rtl/>
      </w:rPr>
      <w:t>022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BB736B">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BB736B">
      <w:rPr>
        <w:b/>
        <w:bCs/>
        <w:color w:val="632423" w:themeColor="accent2" w:themeShade="80"/>
        <w:sz w:val="20"/>
        <w:szCs w:val="24"/>
        <w:rtl/>
      </w:rPr>
      <w:t>س</w:t>
    </w:r>
    <w:r w:rsidR="00BB736B">
      <w:rPr>
        <w:rFonts w:hint="cs"/>
        <w:b/>
        <w:bCs/>
        <w:color w:val="632423" w:themeColor="accent2" w:themeShade="80"/>
        <w:sz w:val="20"/>
        <w:szCs w:val="24"/>
        <w:rtl/>
      </w:rPr>
      <w:t>ی</w:t>
    </w:r>
    <w:r w:rsidR="00BB736B">
      <w:rPr>
        <w:rFonts w:hint="eastAsia"/>
        <w:b/>
        <w:bCs/>
        <w:color w:val="632423" w:themeColor="accent2" w:themeShade="80"/>
        <w:sz w:val="20"/>
        <w:szCs w:val="24"/>
        <w:rtl/>
      </w:rPr>
      <w:t>د</w:t>
    </w:r>
    <w:r w:rsidR="00BB736B">
      <w:rPr>
        <w:b/>
        <w:bCs/>
        <w:color w:val="632423" w:themeColor="accent2" w:themeShade="80"/>
        <w:sz w:val="20"/>
        <w:szCs w:val="24"/>
        <w:rtl/>
      </w:rPr>
      <w:t xml:space="preserve"> محمد جواد شب</w:t>
    </w:r>
    <w:r w:rsidR="00BB736B">
      <w:rPr>
        <w:rFonts w:hint="cs"/>
        <w:b/>
        <w:bCs/>
        <w:color w:val="632423" w:themeColor="accent2" w:themeShade="80"/>
        <w:sz w:val="20"/>
        <w:szCs w:val="24"/>
        <w:rtl/>
      </w:rPr>
      <w:t>ی</w:t>
    </w:r>
    <w:r w:rsidR="00BB736B">
      <w:rPr>
        <w:rFonts w:hint="eastAsia"/>
        <w:b/>
        <w:bCs/>
        <w:color w:val="632423" w:themeColor="accent2" w:themeShade="80"/>
        <w:sz w:val="20"/>
        <w:szCs w:val="24"/>
        <w:rtl/>
      </w:rPr>
      <w:t>ر</w:t>
    </w:r>
    <w:r w:rsidR="00BB736B">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BB736B">
      <w:rPr>
        <w:sz w:val="24"/>
        <w:szCs w:val="24"/>
        <w:rtl/>
      </w:rPr>
      <w:t>30 /7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BB736B">
      <w:rPr>
        <w:color w:val="000000" w:themeColor="text1"/>
        <w:sz w:val="24"/>
        <w:szCs w:val="24"/>
        <w:rtl/>
      </w:rPr>
      <w:t>تکمله‌</w:t>
    </w:r>
    <w:r w:rsidR="00BB736B">
      <w:rPr>
        <w:rFonts w:hint="cs"/>
        <w:color w:val="000000" w:themeColor="text1"/>
        <w:sz w:val="24"/>
        <w:szCs w:val="24"/>
        <w:rtl/>
      </w:rPr>
      <w:t>ی</w:t>
    </w:r>
    <w:r w:rsidR="00BB736B">
      <w:rPr>
        <w:color w:val="000000" w:themeColor="text1"/>
        <w:sz w:val="24"/>
        <w:szCs w:val="24"/>
        <w:rtl/>
      </w:rPr>
      <w:t xml:space="preserve"> عروه ( عده وفات)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BB736B">
      <w:rPr>
        <w:sz w:val="24"/>
        <w:szCs w:val="24"/>
        <w:rtl/>
      </w:rPr>
      <w:t>مهد</w:t>
    </w:r>
    <w:r w:rsidR="00BB736B">
      <w:rPr>
        <w:rFonts w:hint="cs"/>
        <w:sz w:val="24"/>
        <w:szCs w:val="24"/>
        <w:rtl/>
      </w:rPr>
      <w:t>ی</w:t>
    </w:r>
    <w:r w:rsidR="00BB736B">
      <w:rPr>
        <w:sz w:val="24"/>
        <w:szCs w:val="24"/>
        <w:rtl/>
      </w:rPr>
      <w:t xml:space="preserve"> کاظم</w:t>
    </w:r>
    <w:r w:rsidR="00BB736B">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BB736B">
      <w:rPr>
        <w:sz w:val="24"/>
        <w:szCs w:val="24"/>
        <w:rtl/>
      </w:rPr>
      <w:t>مساله دوم ( حداد)</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1EA"/>
    <w:rsid w:val="00000F4E"/>
    <w:rsid w:val="000028D0"/>
    <w:rsid w:val="00004CBA"/>
    <w:rsid w:val="000072A3"/>
    <w:rsid w:val="000201AD"/>
    <w:rsid w:val="00023388"/>
    <w:rsid w:val="00025777"/>
    <w:rsid w:val="00025B70"/>
    <w:rsid w:val="000353D7"/>
    <w:rsid w:val="00045056"/>
    <w:rsid w:val="00051A6D"/>
    <w:rsid w:val="00055496"/>
    <w:rsid w:val="00064905"/>
    <w:rsid w:val="00080A41"/>
    <w:rsid w:val="0008299B"/>
    <w:rsid w:val="0008601B"/>
    <w:rsid w:val="00090532"/>
    <w:rsid w:val="000913AA"/>
    <w:rsid w:val="00094847"/>
    <w:rsid w:val="00096C63"/>
    <w:rsid w:val="000B5DB5"/>
    <w:rsid w:val="000C3947"/>
    <w:rsid w:val="000D2A37"/>
    <w:rsid w:val="000D30E9"/>
    <w:rsid w:val="000D6818"/>
    <w:rsid w:val="000E335E"/>
    <w:rsid w:val="000E343C"/>
    <w:rsid w:val="000F16CF"/>
    <w:rsid w:val="000F2CD2"/>
    <w:rsid w:val="000F5BAC"/>
    <w:rsid w:val="00102585"/>
    <w:rsid w:val="00114AB7"/>
    <w:rsid w:val="00116B2B"/>
    <w:rsid w:val="00124E3D"/>
    <w:rsid w:val="00127E95"/>
    <w:rsid w:val="00130659"/>
    <w:rsid w:val="00131FC3"/>
    <w:rsid w:val="001347C7"/>
    <w:rsid w:val="001356B0"/>
    <w:rsid w:val="00151937"/>
    <w:rsid w:val="0015237E"/>
    <w:rsid w:val="00181844"/>
    <w:rsid w:val="0018186A"/>
    <w:rsid w:val="001837E9"/>
    <w:rsid w:val="00187DFA"/>
    <w:rsid w:val="001A1BC1"/>
    <w:rsid w:val="001A1EA5"/>
    <w:rsid w:val="001A2574"/>
    <w:rsid w:val="001A27D7"/>
    <w:rsid w:val="001A294E"/>
    <w:rsid w:val="001A4ED8"/>
    <w:rsid w:val="001B2488"/>
    <w:rsid w:val="001B6799"/>
    <w:rsid w:val="001C1362"/>
    <w:rsid w:val="001C47AD"/>
    <w:rsid w:val="001D2E9A"/>
    <w:rsid w:val="001D597F"/>
    <w:rsid w:val="001E3FD4"/>
    <w:rsid w:val="001E5602"/>
    <w:rsid w:val="0020241A"/>
    <w:rsid w:val="00203821"/>
    <w:rsid w:val="00211632"/>
    <w:rsid w:val="0021630D"/>
    <w:rsid w:val="0024121B"/>
    <w:rsid w:val="00247D2F"/>
    <w:rsid w:val="00256560"/>
    <w:rsid w:val="0027605E"/>
    <w:rsid w:val="00281E00"/>
    <w:rsid w:val="00291841"/>
    <w:rsid w:val="00291F70"/>
    <w:rsid w:val="00294A52"/>
    <w:rsid w:val="002B575F"/>
    <w:rsid w:val="002B729B"/>
    <w:rsid w:val="002C23B5"/>
    <w:rsid w:val="002C53A2"/>
    <w:rsid w:val="002D0040"/>
    <w:rsid w:val="002D2FA8"/>
    <w:rsid w:val="002E220F"/>
    <w:rsid w:val="002F33CF"/>
    <w:rsid w:val="00307311"/>
    <w:rsid w:val="0032100F"/>
    <w:rsid w:val="0033402C"/>
    <w:rsid w:val="00340521"/>
    <w:rsid w:val="00342AE1"/>
    <w:rsid w:val="00345C73"/>
    <w:rsid w:val="00354A99"/>
    <w:rsid w:val="00354D83"/>
    <w:rsid w:val="00360311"/>
    <w:rsid w:val="00361922"/>
    <w:rsid w:val="0037339B"/>
    <w:rsid w:val="00374A8D"/>
    <w:rsid w:val="003844D0"/>
    <w:rsid w:val="00386C11"/>
    <w:rsid w:val="00391993"/>
    <w:rsid w:val="00397466"/>
    <w:rsid w:val="003A6148"/>
    <w:rsid w:val="003B0A88"/>
    <w:rsid w:val="003B6B4A"/>
    <w:rsid w:val="003C33F6"/>
    <w:rsid w:val="003C3D2E"/>
    <w:rsid w:val="003C43A5"/>
    <w:rsid w:val="003E1C5C"/>
    <w:rsid w:val="003E6650"/>
    <w:rsid w:val="003F247B"/>
    <w:rsid w:val="003F5B46"/>
    <w:rsid w:val="003F7145"/>
    <w:rsid w:val="00401363"/>
    <w:rsid w:val="00402E47"/>
    <w:rsid w:val="004059BF"/>
    <w:rsid w:val="00425015"/>
    <w:rsid w:val="004260DF"/>
    <w:rsid w:val="00430994"/>
    <w:rsid w:val="00441B6D"/>
    <w:rsid w:val="00442013"/>
    <w:rsid w:val="004556EF"/>
    <w:rsid w:val="00462B07"/>
    <w:rsid w:val="00465BD2"/>
    <w:rsid w:val="004715C8"/>
    <w:rsid w:val="00481C31"/>
    <w:rsid w:val="00482FC1"/>
    <w:rsid w:val="00483027"/>
    <w:rsid w:val="004871AA"/>
    <w:rsid w:val="004918D7"/>
    <w:rsid w:val="004926E1"/>
    <w:rsid w:val="004A2FEA"/>
    <w:rsid w:val="004D2DD7"/>
    <w:rsid w:val="004D75C5"/>
    <w:rsid w:val="004E0A99"/>
    <w:rsid w:val="004E2186"/>
    <w:rsid w:val="004E66FB"/>
    <w:rsid w:val="004F470A"/>
    <w:rsid w:val="004F4C59"/>
    <w:rsid w:val="00500C8F"/>
    <w:rsid w:val="00501909"/>
    <w:rsid w:val="00507BBB"/>
    <w:rsid w:val="005128DF"/>
    <w:rsid w:val="0051592A"/>
    <w:rsid w:val="005206FE"/>
    <w:rsid w:val="005257ED"/>
    <w:rsid w:val="005306F8"/>
    <w:rsid w:val="00537C81"/>
    <w:rsid w:val="0054023D"/>
    <w:rsid w:val="005426BF"/>
    <w:rsid w:val="0056213C"/>
    <w:rsid w:val="00570183"/>
    <w:rsid w:val="00580C24"/>
    <w:rsid w:val="005842C6"/>
    <w:rsid w:val="00595C40"/>
    <w:rsid w:val="00595F4C"/>
    <w:rsid w:val="005968EF"/>
    <w:rsid w:val="00596C1E"/>
    <w:rsid w:val="005A2E26"/>
    <w:rsid w:val="005B7BCA"/>
    <w:rsid w:val="005C0DAE"/>
    <w:rsid w:val="005C188E"/>
    <w:rsid w:val="005D2349"/>
    <w:rsid w:val="005D440C"/>
    <w:rsid w:val="005E1B60"/>
    <w:rsid w:val="005E5507"/>
    <w:rsid w:val="005E607B"/>
    <w:rsid w:val="005F0A8D"/>
    <w:rsid w:val="00601229"/>
    <w:rsid w:val="00603B67"/>
    <w:rsid w:val="00614A8B"/>
    <w:rsid w:val="006162A2"/>
    <w:rsid w:val="006240C9"/>
    <w:rsid w:val="006240DA"/>
    <w:rsid w:val="0063256E"/>
    <w:rsid w:val="00633F04"/>
    <w:rsid w:val="00635219"/>
    <w:rsid w:val="00635EC0"/>
    <w:rsid w:val="00640B58"/>
    <w:rsid w:val="00651B02"/>
    <w:rsid w:val="00651B19"/>
    <w:rsid w:val="00660A29"/>
    <w:rsid w:val="0068372A"/>
    <w:rsid w:val="00695519"/>
    <w:rsid w:val="006A4134"/>
    <w:rsid w:val="006A444A"/>
    <w:rsid w:val="006A5DDA"/>
    <w:rsid w:val="006A6701"/>
    <w:rsid w:val="006B21F4"/>
    <w:rsid w:val="006B3753"/>
    <w:rsid w:val="006B7AD6"/>
    <w:rsid w:val="006C50FD"/>
    <w:rsid w:val="006C5264"/>
    <w:rsid w:val="006D1DD4"/>
    <w:rsid w:val="006D4014"/>
    <w:rsid w:val="006D44C1"/>
    <w:rsid w:val="006E5651"/>
    <w:rsid w:val="006E5B85"/>
    <w:rsid w:val="006F026A"/>
    <w:rsid w:val="007025DD"/>
    <w:rsid w:val="0070265B"/>
    <w:rsid w:val="00704813"/>
    <w:rsid w:val="0072290D"/>
    <w:rsid w:val="00723D6D"/>
    <w:rsid w:val="00724537"/>
    <w:rsid w:val="00731724"/>
    <w:rsid w:val="00731740"/>
    <w:rsid w:val="0073474B"/>
    <w:rsid w:val="00735511"/>
    <w:rsid w:val="00737208"/>
    <w:rsid w:val="00744DE6"/>
    <w:rsid w:val="00762452"/>
    <w:rsid w:val="007639E0"/>
    <w:rsid w:val="00766643"/>
    <w:rsid w:val="0077332C"/>
    <w:rsid w:val="00775507"/>
    <w:rsid w:val="00783473"/>
    <w:rsid w:val="0078594B"/>
    <w:rsid w:val="007938A8"/>
    <w:rsid w:val="00794A46"/>
    <w:rsid w:val="00795E02"/>
    <w:rsid w:val="007979D0"/>
    <w:rsid w:val="007A4E18"/>
    <w:rsid w:val="007A4E6C"/>
    <w:rsid w:val="007A7B8C"/>
    <w:rsid w:val="007C6D9E"/>
    <w:rsid w:val="007D1C43"/>
    <w:rsid w:val="007D6C53"/>
    <w:rsid w:val="007E1564"/>
    <w:rsid w:val="007E1E87"/>
    <w:rsid w:val="007E5B3F"/>
    <w:rsid w:val="007F2236"/>
    <w:rsid w:val="007F2257"/>
    <w:rsid w:val="0080091D"/>
    <w:rsid w:val="00804108"/>
    <w:rsid w:val="00804FC4"/>
    <w:rsid w:val="00816367"/>
    <w:rsid w:val="00816A0B"/>
    <w:rsid w:val="00824B22"/>
    <w:rsid w:val="00830C53"/>
    <w:rsid w:val="00837FAA"/>
    <w:rsid w:val="00841F77"/>
    <w:rsid w:val="0085276D"/>
    <w:rsid w:val="00863390"/>
    <w:rsid w:val="0086385C"/>
    <w:rsid w:val="00870C1C"/>
    <w:rsid w:val="00871916"/>
    <w:rsid w:val="008956DD"/>
    <w:rsid w:val="008A510E"/>
    <w:rsid w:val="008A522A"/>
    <w:rsid w:val="008B4464"/>
    <w:rsid w:val="008B750B"/>
    <w:rsid w:val="008C3162"/>
    <w:rsid w:val="008D1F14"/>
    <w:rsid w:val="008E3924"/>
    <w:rsid w:val="008F13F7"/>
    <w:rsid w:val="008F1638"/>
    <w:rsid w:val="008F5B4D"/>
    <w:rsid w:val="00907425"/>
    <w:rsid w:val="009227AF"/>
    <w:rsid w:val="00923C34"/>
    <w:rsid w:val="00924152"/>
    <w:rsid w:val="0092513D"/>
    <w:rsid w:val="00927A9F"/>
    <w:rsid w:val="009335CC"/>
    <w:rsid w:val="00935A55"/>
    <w:rsid w:val="00941CEB"/>
    <w:rsid w:val="0094720F"/>
    <w:rsid w:val="009520A9"/>
    <w:rsid w:val="00953B28"/>
    <w:rsid w:val="00954322"/>
    <w:rsid w:val="00957CAA"/>
    <w:rsid w:val="0096778A"/>
    <w:rsid w:val="00977656"/>
    <w:rsid w:val="009846A7"/>
    <w:rsid w:val="0098794D"/>
    <w:rsid w:val="0099497B"/>
    <w:rsid w:val="009A43BA"/>
    <w:rsid w:val="009B0D05"/>
    <w:rsid w:val="009B4CA6"/>
    <w:rsid w:val="009B79F8"/>
    <w:rsid w:val="009C2D49"/>
    <w:rsid w:val="009C66D5"/>
    <w:rsid w:val="009D13FD"/>
    <w:rsid w:val="009D266A"/>
    <w:rsid w:val="009D7A0A"/>
    <w:rsid w:val="009F7E07"/>
    <w:rsid w:val="00A00079"/>
    <w:rsid w:val="00A01522"/>
    <w:rsid w:val="00A01973"/>
    <w:rsid w:val="00A050C1"/>
    <w:rsid w:val="00A10A11"/>
    <w:rsid w:val="00A11AEC"/>
    <w:rsid w:val="00A13C6A"/>
    <w:rsid w:val="00A17B09"/>
    <w:rsid w:val="00A234FB"/>
    <w:rsid w:val="00A3105C"/>
    <w:rsid w:val="00A457C6"/>
    <w:rsid w:val="00A46AD0"/>
    <w:rsid w:val="00A47063"/>
    <w:rsid w:val="00A473A8"/>
    <w:rsid w:val="00A513F0"/>
    <w:rsid w:val="00A6025E"/>
    <w:rsid w:val="00A61AC8"/>
    <w:rsid w:val="00A6366F"/>
    <w:rsid w:val="00A65D4C"/>
    <w:rsid w:val="00A70512"/>
    <w:rsid w:val="00A71240"/>
    <w:rsid w:val="00A85417"/>
    <w:rsid w:val="00A856AA"/>
    <w:rsid w:val="00AA1F60"/>
    <w:rsid w:val="00AA40D7"/>
    <w:rsid w:val="00AB5F7D"/>
    <w:rsid w:val="00AB6BB8"/>
    <w:rsid w:val="00AC0C50"/>
    <w:rsid w:val="00AC6FE2"/>
    <w:rsid w:val="00AE06DE"/>
    <w:rsid w:val="00AE5501"/>
    <w:rsid w:val="00AF3925"/>
    <w:rsid w:val="00B1296B"/>
    <w:rsid w:val="00B2292F"/>
    <w:rsid w:val="00B43169"/>
    <w:rsid w:val="00B501A8"/>
    <w:rsid w:val="00B5447A"/>
    <w:rsid w:val="00B55AE4"/>
    <w:rsid w:val="00B70B46"/>
    <w:rsid w:val="00B739B0"/>
    <w:rsid w:val="00B814A3"/>
    <w:rsid w:val="00B9150D"/>
    <w:rsid w:val="00B91E6E"/>
    <w:rsid w:val="00B96F38"/>
    <w:rsid w:val="00BB736B"/>
    <w:rsid w:val="00BC716B"/>
    <w:rsid w:val="00BD0E74"/>
    <w:rsid w:val="00BD5F8C"/>
    <w:rsid w:val="00BE29DD"/>
    <w:rsid w:val="00BF0001"/>
    <w:rsid w:val="00C066AF"/>
    <w:rsid w:val="00C10E06"/>
    <w:rsid w:val="00C13C38"/>
    <w:rsid w:val="00C145B8"/>
    <w:rsid w:val="00C14A96"/>
    <w:rsid w:val="00C2438F"/>
    <w:rsid w:val="00C31AF0"/>
    <w:rsid w:val="00C32A7E"/>
    <w:rsid w:val="00C34F28"/>
    <w:rsid w:val="00C368DF"/>
    <w:rsid w:val="00C442C5"/>
    <w:rsid w:val="00C57B5C"/>
    <w:rsid w:val="00C57C7C"/>
    <w:rsid w:val="00C61049"/>
    <w:rsid w:val="00C627EB"/>
    <w:rsid w:val="00C63FFE"/>
    <w:rsid w:val="00C85CC8"/>
    <w:rsid w:val="00C91EB6"/>
    <w:rsid w:val="00C92A21"/>
    <w:rsid w:val="00C97CBB"/>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168D9"/>
    <w:rsid w:val="00D221CB"/>
    <w:rsid w:val="00D23391"/>
    <w:rsid w:val="00D31805"/>
    <w:rsid w:val="00D50EDA"/>
    <w:rsid w:val="00D552B9"/>
    <w:rsid w:val="00D735B2"/>
    <w:rsid w:val="00D74021"/>
    <w:rsid w:val="00D751E2"/>
    <w:rsid w:val="00D76D01"/>
    <w:rsid w:val="00D922A9"/>
    <w:rsid w:val="00D9394A"/>
    <w:rsid w:val="00D95314"/>
    <w:rsid w:val="00DA3952"/>
    <w:rsid w:val="00DA63EA"/>
    <w:rsid w:val="00DB0CBB"/>
    <w:rsid w:val="00DB67CC"/>
    <w:rsid w:val="00DC3783"/>
    <w:rsid w:val="00DE1070"/>
    <w:rsid w:val="00DE3191"/>
    <w:rsid w:val="00E00219"/>
    <w:rsid w:val="00E0316B"/>
    <w:rsid w:val="00E170CD"/>
    <w:rsid w:val="00E20192"/>
    <w:rsid w:val="00E25E10"/>
    <w:rsid w:val="00E263D8"/>
    <w:rsid w:val="00E50B41"/>
    <w:rsid w:val="00E5219B"/>
    <w:rsid w:val="00E52D07"/>
    <w:rsid w:val="00E5518B"/>
    <w:rsid w:val="00E55C47"/>
    <w:rsid w:val="00E609FE"/>
    <w:rsid w:val="00E630BE"/>
    <w:rsid w:val="00E72787"/>
    <w:rsid w:val="00E75920"/>
    <w:rsid w:val="00E80D96"/>
    <w:rsid w:val="00E871FA"/>
    <w:rsid w:val="00E936A4"/>
    <w:rsid w:val="00E954BB"/>
    <w:rsid w:val="00EA45E7"/>
    <w:rsid w:val="00EB78E3"/>
    <w:rsid w:val="00EB7BE3"/>
    <w:rsid w:val="00EC1C4B"/>
    <w:rsid w:val="00EC5C08"/>
    <w:rsid w:val="00EC735A"/>
    <w:rsid w:val="00ED5F38"/>
    <w:rsid w:val="00EF27FE"/>
    <w:rsid w:val="00F07FB6"/>
    <w:rsid w:val="00F149D0"/>
    <w:rsid w:val="00F16B53"/>
    <w:rsid w:val="00F17FD5"/>
    <w:rsid w:val="00F25ECD"/>
    <w:rsid w:val="00F318BE"/>
    <w:rsid w:val="00F33297"/>
    <w:rsid w:val="00F343FB"/>
    <w:rsid w:val="00F359FE"/>
    <w:rsid w:val="00F374F3"/>
    <w:rsid w:val="00F42159"/>
    <w:rsid w:val="00F4256E"/>
    <w:rsid w:val="00F42EE1"/>
    <w:rsid w:val="00F44FB4"/>
    <w:rsid w:val="00F60F1F"/>
    <w:rsid w:val="00F6324B"/>
    <w:rsid w:val="00F64141"/>
    <w:rsid w:val="00F67508"/>
    <w:rsid w:val="00F71FC9"/>
    <w:rsid w:val="00F73B48"/>
    <w:rsid w:val="00F74F51"/>
    <w:rsid w:val="00F81F65"/>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5D44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7382547">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260232">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6019744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8826930">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68123357">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2902264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9041664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1116376">
      <w:bodyDiv w:val="1"/>
      <w:marLeft w:val="0"/>
      <w:marRight w:val="0"/>
      <w:marTop w:val="0"/>
      <w:marBottom w:val="0"/>
      <w:divBdr>
        <w:top w:val="none" w:sz="0" w:space="0" w:color="auto"/>
        <w:left w:val="none" w:sz="0" w:space="0" w:color="auto"/>
        <w:bottom w:val="none" w:sz="0" w:space="0" w:color="auto"/>
        <w:right w:val="none" w:sz="0" w:space="0" w:color="auto"/>
      </w:divBdr>
    </w:div>
    <w:div w:id="56271878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63051309">
      <w:bodyDiv w:val="1"/>
      <w:marLeft w:val="0"/>
      <w:marRight w:val="0"/>
      <w:marTop w:val="0"/>
      <w:marBottom w:val="0"/>
      <w:divBdr>
        <w:top w:val="none" w:sz="0" w:space="0" w:color="auto"/>
        <w:left w:val="none" w:sz="0" w:space="0" w:color="auto"/>
        <w:bottom w:val="none" w:sz="0" w:space="0" w:color="auto"/>
        <w:right w:val="none" w:sz="0" w:space="0" w:color="auto"/>
      </w:divBdr>
    </w:div>
    <w:div w:id="901872415">
      <w:bodyDiv w:val="1"/>
      <w:marLeft w:val="0"/>
      <w:marRight w:val="0"/>
      <w:marTop w:val="0"/>
      <w:marBottom w:val="0"/>
      <w:divBdr>
        <w:top w:val="none" w:sz="0" w:space="0" w:color="auto"/>
        <w:left w:val="none" w:sz="0" w:space="0" w:color="auto"/>
        <w:bottom w:val="none" w:sz="0" w:space="0" w:color="auto"/>
        <w:right w:val="none" w:sz="0" w:space="0" w:color="auto"/>
      </w:divBdr>
    </w:div>
    <w:div w:id="934706012">
      <w:bodyDiv w:val="1"/>
      <w:marLeft w:val="0"/>
      <w:marRight w:val="0"/>
      <w:marTop w:val="0"/>
      <w:marBottom w:val="0"/>
      <w:divBdr>
        <w:top w:val="none" w:sz="0" w:space="0" w:color="auto"/>
        <w:left w:val="none" w:sz="0" w:space="0" w:color="auto"/>
        <w:bottom w:val="none" w:sz="0" w:space="0" w:color="auto"/>
        <w:right w:val="none" w:sz="0" w:space="0" w:color="auto"/>
      </w:divBdr>
    </w:div>
    <w:div w:id="1033458335">
      <w:bodyDiv w:val="1"/>
      <w:marLeft w:val="0"/>
      <w:marRight w:val="0"/>
      <w:marTop w:val="0"/>
      <w:marBottom w:val="0"/>
      <w:divBdr>
        <w:top w:val="none" w:sz="0" w:space="0" w:color="auto"/>
        <w:left w:val="none" w:sz="0" w:space="0" w:color="auto"/>
        <w:bottom w:val="none" w:sz="0" w:space="0" w:color="auto"/>
        <w:right w:val="none" w:sz="0" w:space="0" w:color="auto"/>
      </w:divBdr>
    </w:div>
    <w:div w:id="114505047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310485">
      <w:bodyDiv w:val="1"/>
      <w:marLeft w:val="0"/>
      <w:marRight w:val="0"/>
      <w:marTop w:val="0"/>
      <w:marBottom w:val="0"/>
      <w:divBdr>
        <w:top w:val="none" w:sz="0" w:space="0" w:color="auto"/>
        <w:left w:val="none" w:sz="0" w:space="0" w:color="auto"/>
        <w:bottom w:val="none" w:sz="0" w:space="0" w:color="auto"/>
        <w:right w:val="none" w:sz="0" w:space="0" w:color="auto"/>
      </w:divBdr>
    </w:div>
    <w:div w:id="1214776358">
      <w:bodyDiv w:val="1"/>
      <w:marLeft w:val="0"/>
      <w:marRight w:val="0"/>
      <w:marTop w:val="0"/>
      <w:marBottom w:val="0"/>
      <w:divBdr>
        <w:top w:val="none" w:sz="0" w:space="0" w:color="auto"/>
        <w:left w:val="none" w:sz="0" w:space="0" w:color="auto"/>
        <w:bottom w:val="none" w:sz="0" w:space="0" w:color="auto"/>
        <w:right w:val="none" w:sz="0" w:space="0" w:color="auto"/>
      </w:divBdr>
    </w:div>
    <w:div w:id="123990526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06607104">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93246735">
      <w:bodyDiv w:val="1"/>
      <w:marLeft w:val="0"/>
      <w:marRight w:val="0"/>
      <w:marTop w:val="0"/>
      <w:marBottom w:val="0"/>
      <w:divBdr>
        <w:top w:val="none" w:sz="0" w:space="0" w:color="auto"/>
        <w:left w:val="none" w:sz="0" w:space="0" w:color="auto"/>
        <w:bottom w:val="none" w:sz="0" w:space="0" w:color="auto"/>
        <w:right w:val="none" w:sz="0" w:space="0" w:color="auto"/>
      </w:divBdr>
    </w:div>
    <w:div w:id="1621643200">
      <w:bodyDiv w:val="1"/>
      <w:marLeft w:val="0"/>
      <w:marRight w:val="0"/>
      <w:marTop w:val="0"/>
      <w:marBottom w:val="0"/>
      <w:divBdr>
        <w:top w:val="none" w:sz="0" w:space="0" w:color="auto"/>
        <w:left w:val="none" w:sz="0" w:space="0" w:color="auto"/>
        <w:bottom w:val="none" w:sz="0" w:space="0" w:color="auto"/>
        <w:right w:val="none" w:sz="0" w:space="0" w:color="auto"/>
      </w:divBdr>
    </w:div>
    <w:div w:id="1677462894">
      <w:bodyDiv w:val="1"/>
      <w:marLeft w:val="0"/>
      <w:marRight w:val="0"/>
      <w:marTop w:val="0"/>
      <w:marBottom w:val="0"/>
      <w:divBdr>
        <w:top w:val="none" w:sz="0" w:space="0" w:color="auto"/>
        <w:left w:val="none" w:sz="0" w:space="0" w:color="auto"/>
        <w:bottom w:val="none" w:sz="0" w:space="0" w:color="auto"/>
        <w:right w:val="none" w:sz="0" w:space="0" w:color="auto"/>
      </w:divBdr>
    </w:div>
    <w:div w:id="1760523759">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3308117">
      <w:bodyDiv w:val="1"/>
      <w:marLeft w:val="0"/>
      <w:marRight w:val="0"/>
      <w:marTop w:val="0"/>
      <w:marBottom w:val="0"/>
      <w:divBdr>
        <w:top w:val="none" w:sz="0" w:space="0" w:color="auto"/>
        <w:left w:val="none" w:sz="0" w:space="0" w:color="auto"/>
        <w:bottom w:val="none" w:sz="0" w:space="0" w:color="auto"/>
        <w:right w:val="none" w:sz="0" w:space="0" w:color="auto"/>
      </w:divBdr>
    </w:div>
    <w:div w:id="1861427006">
      <w:bodyDiv w:val="1"/>
      <w:marLeft w:val="0"/>
      <w:marRight w:val="0"/>
      <w:marTop w:val="0"/>
      <w:marBottom w:val="0"/>
      <w:divBdr>
        <w:top w:val="none" w:sz="0" w:space="0" w:color="auto"/>
        <w:left w:val="none" w:sz="0" w:space="0" w:color="auto"/>
        <w:bottom w:val="none" w:sz="0" w:space="0" w:color="auto"/>
        <w:right w:val="none" w:sz="0" w:space="0" w:color="auto"/>
      </w:divBdr>
    </w:div>
    <w:div w:id="1861892295">
      <w:bodyDiv w:val="1"/>
      <w:marLeft w:val="0"/>
      <w:marRight w:val="0"/>
      <w:marTop w:val="0"/>
      <w:marBottom w:val="0"/>
      <w:divBdr>
        <w:top w:val="none" w:sz="0" w:space="0" w:color="auto"/>
        <w:left w:val="none" w:sz="0" w:space="0" w:color="auto"/>
        <w:bottom w:val="none" w:sz="0" w:space="0" w:color="auto"/>
        <w:right w:val="none" w:sz="0" w:space="0" w:color="auto"/>
      </w:divBdr>
    </w:div>
    <w:div w:id="1900096506">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86471244">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4501345">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13/2/286/&#1740;&#1581;&#1604;" TargetMode="External"/><Relationship Id="rId3" Type="http://schemas.openxmlformats.org/officeDocument/2006/relationships/hyperlink" Target="http://lib.eshia.ir/11005/6/116/&#1608;&#1578;&#1605;&#1578;&#1588;&#1591;" TargetMode="External"/><Relationship Id="rId7" Type="http://schemas.openxmlformats.org/officeDocument/2006/relationships/hyperlink" Target="http://lib.eshia.ir/10083/8/160/&#1579;&#1604;&#1575;&#1579;" TargetMode="External"/><Relationship Id="rId12" Type="http://schemas.openxmlformats.org/officeDocument/2006/relationships/hyperlink" Target="http://lib.eshia.ir/10013/25/471/&#1575;&#1604;&#1582;&#1590;&#1575;&#1576;" TargetMode="External"/><Relationship Id="rId2" Type="http://schemas.openxmlformats.org/officeDocument/2006/relationships/hyperlink" Target="http://lib.eshia.ir/11005/6/117/&#1578;&#1586;&#1610;&#1606;" TargetMode="External"/><Relationship Id="rId1" Type="http://schemas.openxmlformats.org/officeDocument/2006/relationships/hyperlink" Target="http://lib.eshia.ir/10081/1/63/2" TargetMode="External"/><Relationship Id="rId6" Type="http://schemas.openxmlformats.org/officeDocument/2006/relationships/hyperlink" Target="http://lib.eshia.ir/11005/6/116/&#1581;&#1604;&#1740;&#1575;" TargetMode="External"/><Relationship Id="rId11" Type="http://schemas.openxmlformats.org/officeDocument/2006/relationships/hyperlink" Target="http://lib.eshia.ir/10083/8/83/&#1608;&#1578;&#1589;&#1576;&#1594;" TargetMode="External"/><Relationship Id="rId5" Type="http://schemas.openxmlformats.org/officeDocument/2006/relationships/hyperlink" Target="http://lib.eshia.ir/11005/6/117/&#1578;&#1605;&#1578;&#1588;&#1591;" TargetMode="External"/><Relationship Id="rId10" Type="http://schemas.openxmlformats.org/officeDocument/2006/relationships/hyperlink" Target="http://lib.eshia.ir/11021/3/508/&#1575;&#1604;&#1587;&#1575;&#1576;&#1575;&#1591;&#1740;" TargetMode="External"/><Relationship Id="rId4" Type="http://schemas.openxmlformats.org/officeDocument/2006/relationships/hyperlink" Target="http://lib.eshia.ir/11005/6/116/&#1585;&#1576;&#1575;&#1591;" TargetMode="External"/><Relationship Id="rId9" Type="http://schemas.openxmlformats.org/officeDocument/2006/relationships/hyperlink" Target="http://lib.eshia.ir/10083/8/161/&#1581;&#1605;&#1740;&#1605;&#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B335B-5DA3-49A7-916D-8389225E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359</TotalTime>
  <Pages>6</Pages>
  <Words>1668</Words>
  <Characters>9513</Characters>
  <Application>Microsoft Office Word</Application>
  <DocSecurity>0</DocSecurity>
  <Lines>79</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11159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88</cp:revision>
  <cp:lastPrinted>2020-10-22T11:51:00Z</cp:lastPrinted>
  <dcterms:created xsi:type="dcterms:W3CDTF">2020-10-21T14:47:00Z</dcterms:created>
  <dcterms:modified xsi:type="dcterms:W3CDTF">2020-12-09T04:11:00Z</dcterms:modified>
  <cp:contentStatus>ویرایش 2.5</cp:contentStatus>
  <cp:version>2.7</cp:version>
</cp:coreProperties>
</file>