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2D" w:rsidRDefault="00B5422D" w:rsidP="00B5422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B5422D" w:rsidRDefault="00B5422D" w:rsidP="00B5422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DA3ABB" w:rsidP="001D320E">
      <w:pPr>
        <w:pBdr>
          <w:bottom w:val="double" w:sz="6" w:space="1" w:color="auto"/>
        </w:pBdr>
        <w:jc w:val="both"/>
      </w:pPr>
      <w:r>
        <w:rPr>
          <w:rFonts w:hint="cs"/>
          <w:rtl/>
        </w:rPr>
        <w:t>بحث در عده</w:t>
      </w:r>
      <w:r>
        <w:rPr>
          <w:rFonts w:hint="eastAsia"/>
          <w:rtl/>
        </w:rPr>
        <w:t>‌</w:t>
      </w:r>
      <w:r>
        <w:rPr>
          <w:rFonts w:hint="cs"/>
          <w:rtl/>
        </w:rPr>
        <w:t>ی وفات متمتع بها بود.</w:t>
      </w:r>
      <w:r w:rsidR="00FA71EE">
        <w:rPr>
          <w:rFonts w:hint="cs"/>
          <w:rtl/>
        </w:rPr>
        <w:t xml:space="preserve"> </w:t>
      </w:r>
      <w:r w:rsidR="00094A35">
        <w:rPr>
          <w:rFonts w:hint="cs"/>
          <w:rtl/>
        </w:rPr>
        <w:t>طبق صحیحه</w:t>
      </w:r>
      <w:r w:rsidR="00094A35">
        <w:rPr>
          <w:rFonts w:hint="eastAsia"/>
          <w:rtl/>
        </w:rPr>
        <w:t>‌</w:t>
      </w:r>
      <w:r w:rsidR="00094A35">
        <w:rPr>
          <w:rFonts w:hint="cs"/>
          <w:rtl/>
        </w:rPr>
        <w:t>ی عبدالرحمن بن الحجاج</w:t>
      </w:r>
      <w:r w:rsidR="001D320E">
        <w:rPr>
          <w:rFonts w:hint="cs"/>
          <w:rtl/>
        </w:rPr>
        <w:t xml:space="preserve"> که در جلسات قبل مطرح شد،</w:t>
      </w:r>
      <w:r w:rsidR="00094A35">
        <w:rPr>
          <w:rFonts w:hint="cs"/>
          <w:rtl/>
        </w:rPr>
        <w:t xml:space="preserve"> عده</w:t>
      </w:r>
      <w:r w:rsidR="00094A35">
        <w:rPr>
          <w:rFonts w:hint="eastAsia"/>
          <w:rtl/>
        </w:rPr>
        <w:t>‌</w:t>
      </w:r>
      <w:r w:rsidR="00094A35">
        <w:rPr>
          <w:rFonts w:hint="cs"/>
          <w:rtl/>
        </w:rPr>
        <w:t>ی وفات متمتع بها، چهار ماه و ده روز می باشد.</w:t>
      </w:r>
      <w:r w:rsidR="001D320E">
        <w:rPr>
          <w:rFonts w:hint="cs"/>
          <w:rtl/>
        </w:rPr>
        <w:t xml:space="preserve"> در این جلسه روایات دیگر این باب را بیان می کنیم.</w:t>
      </w:r>
    </w:p>
    <w:p w:rsidR="00247D2F" w:rsidRPr="003A6148" w:rsidRDefault="00247D2F" w:rsidP="001D320E">
      <w:pPr>
        <w:pBdr>
          <w:bottom w:val="double" w:sz="6" w:space="1" w:color="auto"/>
        </w:pBdr>
        <w:jc w:val="both"/>
      </w:pPr>
    </w:p>
    <w:p w:rsidR="008F5B4D" w:rsidRDefault="008F5B4D" w:rsidP="001D320E">
      <w:pPr>
        <w:jc w:val="both"/>
      </w:pPr>
    </w:p>
    <w:p w:rsidR="003E6650" w:rsidRPr="001A27D7" w:rsidRDefault="00707EA4" w:rsidP="00707EA4">
      <w:pPr>
        <w:pStyle w:val="Heading1"/>
        <w:rPr>
          <w:rtl/>
        </w:rPr>
      </w:pPr>
      <w:bookmarkStart w:id="1" w:name="_Toc52638531"/>
      <w:bookmarkStart w:id="2" w:name="_Toc52639531"/>
      <w:r>
        <w:rPr>
          <w:rFonts w:hint="cs"/>
          <w:rtl/>
        </w:rPr>
        <w:t>روایات عده</w:t>
      </w:r>
      <w:r>
        <w:rPr>
          <w:rFonts w:hint="eastAsia"/>
          <w:rtl/>
        </w:rPr>
        <w:t>‌</w:t>
      </w:r>
      <w:r>
        <w:rPr>
          <w:rFonts w:hint="cs"/>
          <w:rtl/>
        </w:rPr>
        <w:t>ی وفات متمتع بها</w:t>
      </w:r>
      <w:bookmarkEnd w:id="1"/>
      <w:bookmarkEnd w:id="2"/>
    </w:p>
    <w:p w:rsidR="001A1EA5" w:rsidRDefault="00707EA4" w:rsidP="00707EA4">
      <w:pPr>
        <w:pStyle w:val="Heading2"/>
        <w:rPr>
          <w:rtl/>
        </w:rPr>
      </w:pPr>
      <w:bookmarkStart w:id="3" w:name="_Toc52638532"/>
      <w:bookmarkStart w:id="4" w:name="_Toc52639532"/>
      <w:r>
        <w:rPr>
          <w:rFonts w:hint="cs"/>
          <w:rtl/>
        </w:rPr>
        <w:t>روایت دوم</w:t>
      </w:r>
      <w:bookmarkEnd w:id="3"/>
      <w:bookmarkEnd w:id="4"/>
    </w:p>
    <w:p w:rsidR="00707EA4" w:rsidRPr="00707EA4" w:rsidRDefault="00E93A5B" w:rsidP="00707EA4">
      <w:pPr>
        <w:jc w:val="both"/>
        <w:rPr>
          <w:color w:val="008000"/>
        </w:rPr>
      </w:pPr>
      <w:r>
        <w:rPr>
          <w:rFonts w:hint="cs"/>
          <w:rtl/>
        </w:rPr>
        <w:t xml:space="preserve">نقل تهذیب: </w:t>
      </w:r>
      <w:r w:rsidR="00707EA4" w:rsidRPr="00707EA4">
        <w:rPr>
          <w:rFonts w:hint="cs"/>
          <w:rtl/>
        </w:rPr>
        <w:t xml:space="preserve">عَنْهُ عَنْ مُحَمَّدِ بْنِ الْحُسَيْنِ عَنِ ابْنِ أَبِي عُمَيْرٍ عَنْ عُمَرَ بْنِ أُذَيْنَةَ عَنْ زُرَارَةَ قَالَ: </w:t>
      </w:r>
      <w:r w:rsidR="00707EA4" w:rsidRPr="00707EA4">
        <w:rPr>
          <w:rFonts w:hint="cs"/>
          <w:color w:val="008000"/>
          <w:rtl/>
        </w:rPr>
        <w:t>سَأَلْتُ أَبَا جَعْفَرٍ ع مَا عِدَّةُ الْمُتْعَةِ إِذَا مَاتَ عَنْهَا الَّذِي تَمَتَّعَ بِهَا قَالَ أَرْبَعَةُ أَشْهُرٍ وَ عَشْراً قَالَ ثُمَّ قَالَ يَا زُرَارَةُ كُلُّ النِّكَاحِ إِذَا مَاتَ الزَّوْجُ فَعَلَى الْمَرْأَةِ حُرَّةً كَانَتْ أَوْ أَمَةً أَوْ عَلَى أَيِّ وَجْهٍ كَانَ النِّكَاحُ مِنْهُ مُتْعَةً أَوْ تَزْوِيجاً أَوْ مِلْكَ يَمِينٍ فَالْعِدَّةُ أَرْبَعَةُ أَشْهُرٍ وَ عَشْراً وَ عِدَّةُ الْمُطَلَّقَةِ ثَلَاثَةُ أَشْهُرٍ وَ الْأَمَةُ الْمُطَلَّقَةُ عَلَيْهَا نِصْفُ مَا عَلَى الْحُرَّةِ وَ كَذَلِكَ‏ الْمُتْعَةُ عَلَيْهَا مِثْلُ‏ مَا عَلَى‏ الْأَمَةِ.</w:t>
      </w:r>
      <w:r w:rsidR="00707EA4">
        <w:rPr>
          <w:rStyle w:val="FootnoteReference"/>
          <w:color w:val="008000"/>
          <w:rtl/>
        </w:rPr>
        <w:footnoteReference w:id="1"/>
      </w:r>
    </w:p>
    <w:p w:rsidR="00707EA4" w:rsidRDefault="00707EA4" w:rsidP="001D320E">
      <w:pPr>
        <w:jc w:val="both"/>
        <w:rPr>
          <w:rtl/>
        </w:rPr>
      </w:pPr>
      <w:r>
        <w:rPr>
          <w:rFonts w:hint="cs"/>
          <w:rtl/>
        </w:rPr>
        <w:t xml:space="preserve">ضمیر در «عنه» به </w:t>
      </w:r>
      <w:r w:rsidR="009E3CF7">
        <w:rPr>
          <w:rFonts w:hint="cs"/>
          <w:rtl/>
        </w:rPr>
        <w:t>محمد بن احمد بن یحیی بر می گردد و در نتیجه نقل تهذیب صحیحه است.</w:t>
      </w:r>
    </w:p>
    <w:p w:rsidR="009E3CF7" w:rsidRPr="009E3CF7" w:rsidRDefault="009E3CF7" w:rsidP="009E3CF7">
      <w:pPr>
        <w:jc w:val="both"/>
        <w:rPr>
          <w:color w:val="008000"/>
        </w:rPr>
      </w:pPr>
      <w:r w:rsidRPr="009E3CF7">
        <w:rPr>
          <w:rFonts w:hint="cs"/>
          <w:rtl/>
        </w:rPr>
        <w:lastRenderedPageBreak/>
        <w:t xml:space="preserve">رَوَى عُمَرُ بْنُ أُذَيْنَةَ عَنْ زُرَارَةَ قَالَ: </w:t>
      </w:r>
      <w:r w:rsidRPr="009E3CF7">
        <w:rPr>
          <w:rFonts w:hint="cs"/>
          <w:color w:val="008000"/>
          <w:rtl/>
        </w:rPr>
        <w:t>سَأَلْتُ أَبَا جَعْفَرٍ ع مَا عِدَّةُ الْمُتْعَةِ إِذَا مَاتَ عَنْهَا الَّذِي تَمَتَّعَ بِهَا قَالَ أَرْبَعَةُ أَشْهُرٍ وَ عَشْراً قَالَ ثُمَّ قَالَ يَا زُرَارَةُ كُلُّ نِكَاحٍ إِذَا مَاتَ عَنْهَا الزَّوْجُ فَعَلَى الْمَرْأَةِ حُرَّةً كَانَتْ أَوْ أَمَةً أَوْ عَلَى أَيِّ وَجْهٍ كَانَ النِّكَاحُ مِنْهُ مُتْعَةً أَوْ تَزْوِيجاً أَوْ مِلْكَ يَمِينٍ فَالْعِدَّةُ أَرْبَعَةُ أَشْهُرٍ وَ عَشْراً وَ عِدَّةُ الْمُطَلَّقَةِ ثَلَاثَةُ أَشْهُرٍ وَ الْأَمَةُ الْمُطَلَّقَةُ عَلَيْهَا نِصْفُ مَا عَلَى الْحُرَّةِ وَ كَذَلِكَ‏ الْمُتْعَةُ عَلَيْهَا مِثْلُ‏ مَا عَلَى‏ الْأَمَةِ.</w:t>
      </w:r>
      <w:r w:rsidR="008F7E91">
        <w:rPr>
          <w:rStyle w:val="FootnoteReference"/>
          <w:color w:val="008000"/>
          <w:rtl/>
        </w:rPr>
        <w:footnoteReference w:id="2"/>
      </w:r>
    </w:p>
    <w:p w:rsidR="009E3CF7" w:rsidRDefault="008F7E91" w:rsidP="001D320E">
      <w:pPr>
        <w:jc w:val="both"/>
      </w:pPr>
      <w:r>
        <w:rPr>
          <w:rFonts w:hint="cs"/>
          <w:rtl/>
        </w:rPr>
        <w:t>طریق مرحوم صدوق به عمر بن اذینه طریق معتبری است و در نتیجه نقل فقیه نیز صحیحه است.</w:t>
      </w:r>
    </w:p>
    <w:p w:rsidR="00707EA4" w:rsidRDefault="00AB74A3" w:rsidP="00644C03">
      <w:pPr>
        <w:jc w:val="both"/>
        <w:rPr>
          <w:rtl/>
        </w:rPr>
      </w:pPr>
      <w:r>
        <w:rPr>
          <w:rFonts w:hint="cs"/>
          <w:rtl/>
        </w:rPr>
        <w:t xml:space="preserve">نکاح </w:t>
      </w:r>
      <w:r w:rsidR="002A62F8">
        <w:rPr>
          <w:rFonts w:hint="cs"/>
          <w:rtl/>
        </w:rPr>
        <w:t xml:space="preserve">در </w:t>
      </w:r>
      <w:r w:rsidR="00644C03">
        <w:rPr>
          <w:rFonts w:hint="cs"/>
          <w:rtl/>
        </w:rPr>
        <w:t>عبارت</w:t>
      </w:r>
      <w:r w:rsidR="002A62F8">
        <w:rPr>
          <w:rFonts w:hint="cs"/>
          <w:rtl/>
        </w:rPr>
        <w:t xml:space="preserve"> </w:t>
      </w:r>
      <w:r w:rsidR="00644C03" w:rsidRPr="00707EA4">
        <w:rPr>
          <w:rFonts w:hint="cs"/>
          <w:color w:val="008000"/>
          <w:rtl/>
        </w:rPr>
        <w:t>كُلُّ النِّكَاحِ</w:t>
      </w:r>
      <w:r w:rsidR="00644C03">
        <w:rPr>
          <w:rFonts w:hint="cs"/>
          <w:rtl/>
        </w:rPr>
        <w:t xml:space="preserve"> </w:t>
      </w:r>
      <w:r w:rsidR="002A62F8">
        <w:rPr>
          <w:rFonts w:hint="cs"/>
          <w:rtl/>
        </w:rPr>
        <w:t>به معنای وسیعی به کار رفته است؛ زیرا نکاح قطعا شامل ملک یمین نمی شود.</w:t>
      </w:r>
      <w:r w:rsidR="00D33EFA">
        <w:rPr>
          <w:rFonts w:hint="cs"/>
          <w:rtl/>
        </w:rPr>
        <w:t xml:space="preserve"> در نتیجه</w:t>
      </w:r>
      <w:r w:rsidR="00347E21">
        <w:rPr>
          <w:rFonts w:hint="cs"/>
          <w:rtl/>
        </w:rPr>
        <w:t xml:space="preserve"> در این روایت</w:t>
      </w:r>
      <w:r w:rsidR="00D33EFA">
        <w:rPr>
          <w:rFonts w:hint="cs"/>
          <w:rtl/>
        </w:rPr>
        <w:t xml:space="preserve"> نکاح را باید به معنای علقه</w:t>
      </w:r>
      <w:r w:rsidR="00D33EFA">
        <w:rPr>
          <w:rFonts w:hint="eastAsia"/>
          <w:rtl/>
        </w:rPr>
        <w:t>‌</w:t>
      </w:r>
      <w:r w:rsidR="00D33EFA">
        <w:rPr>
          <w:rFonts w:hint="cs"/>
          <w:rtl/>
        </w:rPr>
        <w:t>ی مصححه</w:t>
      </w:r>
      <w:r w:rsidR="00D33EFA">
        <w:rPr>
          <w:rFonts w:hint="eastAsia"/>
          <w:rtl/>
        </w:rPr>
        <w:t>‌</w:t>
      </w:r>
      <w:r w:rsidR="00D33EFA">
        <w:rPr>
          <w:rFonts w:hint="cs"/>
          <w:rtl/>
        </w:rPr>
        <w:t>ی مباشرت دانست.</w:t>
      </w:r>
    </w:p>
    <w:p w:rsidR="00707EA4" w:rsidRDefault="00E35454" w:rsidP="00E35454">
      <w:pPr>
        <w:jc w:val="both"/>
        <w:rPr>
          <w:rtl/>
        </w:rPr>
      </w:pPr>
      <w:r>
        <w:rPr>
          <w:rFonts w:hint="cs"/>
          <w:rtl/>
        </w:rPr>
        <w:t xml:space="preserve">در عبارت </w:t>
      </w:r>
      <w:r w:rsidR="003C7772" w:rsidRPr="00707EA4">
        <w:rPr>
          <w:rFonts w:hint="cs"/>
          <w:color w:val="008000"/>
          <w:rtl/>
        </w:rPr>
        <w:t>مُتْعَةً أَوْ تَزْوِيجاً</w:t>
      </w:r>
      <w:r w:rsidR="003C7772">
        <w:rPr>
          <w:rFonts w:hint="cs"/>
          <w:rtl/>
        </w:rPr>
        <w:t xml:space="preserve"> </w:t>
      </w:r>
      <w:r w:rsidR="00C64B68">
        <w:rPr>
          <w:rFonts w:hint="cs"/>
          <w:rtl/>
        </w:rPr>
        <w:t>تزویج در معنای اصلی خود در مقابل نکاح به کار رفته است.</w:t>
      </w:r>
    </w:p>
    <w:p w:rsidR="00CA5D79" w:rsidRPr="00CA5D79" w:rsidRDefault="00CA5D79" w:rsidP="00CA5D79">
      <w:pPr>
        <w:jc w:val="both"/>
        <w:rPr>
          <w:rtl/>
        </w:rPr>
      </w:pPr>
      <w:r>
        <w:rPr>
          <w:rFonts w:hint="cs"/>
          <w:rtl/>
        </w:rPr>
        <w:t>در مورد آیه</w:t>
      </w:r>
      <w:r>
        <w:rPr>
          <w:rFonts w:hint="eastAsia"/>
          <w:rtl/>
        </w:rPr>
        <w:t>‌</w:t>
      </w:r>
      <w:r>
        <w:rPr>
          <w:rFonts w:hint="cs"/>
          <w:rtl/>
        </w:rPr>
        <w:t>ی 234 بقره بحثی مطرح است که آیا شامل متعه می شود؟</w:t>
      </w:r>
    </w:p>
    <w:p w:rsidR="00CA5D79" w:rsidRPr="00CA5D79" w:rsidRDefault="00CA5D79" w:rsidP="00CA5D79">
      <w:pPr>
        <w:jc w:val="both"/>
        <w:rPr>
          <w:rtl/>
        </w:rPr>
      </w:pPr>
      <w:r>
        <w:rPr>
          <w:rFonts w:cs="Calibri"/>
          <w:rtl/>
        </w:rPr>
        <w:t>﴿</w:t>
      </w:r>
      <w:r w:rsidRPr="00CA5D79">
        <w:rPr>
          <w:rFonts w:hint="cs"/>
          <w:color w:val="008000"/>
          <w:rtl/>
        </w:rPr>
        <w:t>وَالَّذِينَ يُتَوَفَّوْنَ مِنْكُمْ وَ</w:t>
      </w:r>
      <w:r w:rsidR="007B0077">
        <w:rPr>
          <w:rFonts w:hint="cs"/>
          <w:color w:val="008000"/>
          <w:rtl/>
        </w:rPr>
        <w:t xml:space="preserve"> </w:t>
      </w:r>
      <w:r w:rsidRPr="00CA5D79">
        <w:rPr>
          <w:rFonts w:hint="cs"/>
          <w:color w:val="008000"/>
          <w:rtl/>
        </w:rPr>
        <w:t>يَذَرُونَ أَزْوَاجًا يَتَرَبَّصْنَ بِأَنْفُسِهِنَّ أَرْبَعَةَ أَشْهُرٍ وَعَشْرًا</w:t>
      </w:r>
      <w:r w:rsidRPr="00CA5D79">
        <w:rPr>
          <w:rFonts w:cs="Calibri"/>
          <w:color w:val="008000"/>
          <w:rtl/>
        </w:rPr>
        <w:t>﴾</w:t>
      </w:r>
      <w:r>
        <w:rPr>
          <w:rStyle w:val="FootnoteReference"/>
          <w:rFonts w:cs="Calibri"/>
          <w:color w:val="008000"/>
          <w:rtl/>
        </w:rPr>
        <w:footnoteReference w:id="3"/>
      </w:r>
    </w:p>
    <w:p w:rsidR="00CA5D79" w:rsidRPr="00CF0A79" w:rsidRDefault="00CA5D79" w:rsidP="007B0077">
      <w:pPr>
        <w:jc w:val="both"/>
        <w:rPr>
          <w:rtl/>
        </w:rPr>
      </w:pPr>
      <w:r>
        <w:rPr>
          <w:rFonts w:hint="cs"/>
          <w:rtl/>
        </w:rPr>
        <w:t>اگر اطلاقات زوجیت شامل متعه شود، آیه نیز شامل متعه می شود؛ گر چه گاهی زوج در آیات قرآن به معنای عام به کار رفته است، مانن</w:t>
      </w:r>
      <w:r w:rsidR="00FB32AF">
        <w:rPr>
          <w:rFonts w:hint="cs"/>
          <w:rtl/>
        </w:rPr>
        <w:t xml:space="preserve">د </w:t>
      </w:r>
      <w:r>
        <w:rPr>
          <w:rFonts w:cs="Calibri"/>
          <w:rtl/>
        </w:rPr>
        <w:t>﴿</w:t>
      </w:r>
      <w:r>
        <w:rPr>
          <w:rFonts w:hint="cs"/>
          <w:rtl/>
        </w:rPr>
        <w:t xml:space="preserve"> </w:t>
      </w:r>
      <w:r w:rsidRPr="00CA5D79">
        <w:rPr>
          <w:rFonts w:hint="cs"/>
          <w:color w:val="008000"/>
          <w:rtl/>
        </w:rPr>
        <w:t>إِلَّا عَلَى أَزْوَاجِهِمْ أَوْ مَا مَلَكَتْ أَيْمَانُهُمْ</w:t>
      </w:r>
      <w:r w:rsidRPr="00CA5D79">
        <w:rPr>
          <w:rFonts w:cs="Calibri"/>
          <w:color w:val="008000"/>
          <w:rtl/>
        </w:rPr>
        <w:t>﴾</w:t>
      </w:r>
      <w:r>
        <w:rPr>
          <w:rStyle w:val="FootnoteReference"/>
          <w:rFonts w:cs="Calibri"/>
          <w:color w:val="008000"/>
          <w:rtl/>
        </w:rPr>
        <w:footnoteReference w:id="4"/>
      </w:r>
      <w:r w:rsidR="00CF0A79">
        <w:rPr>
          <w:rFonts w:cs="Calibri" w:hint="cs"/>
          <w:color w:val="008000"/>
          <w:rtl/>
        </w:rPr>
        <w:t xml:space="preserve"> </w:t>
      </w:r>
      <w:r w:rsidR="00CF0A79" w:rsidRPr="00CF0A79">
        <w:rPr>
          <w:rFonts w:hint="cs"/>
          <w:rtl/>
        </w:rPr>
        <w:t>اما اگر قرینه</w:t>
      </w:r>
      <w:r w:rsidR="00CF0A79" w:rsidRPr="00CF0A79">
        <w:rPr>
          <w:rFonts w:hint="eastAsia"/>
          <w:rtl/>
        </w:rPr>
        <w:t>‌</w:t>
      </w:r>
      <w:r w:rsidR="00CF0A79" w:rsidRPr="00CF0A79">
        <w:rPr>
          <w:rFonts w:hint="cs"/>
          <w:rtl/>
        </w:rPr>
        <w:t xml:space="preserve">ی خارجی نباشد، نمی توان </w:t>
      </w:r>
      <w:r w:rsidR="00CF0A79">
        <w:rPr>
          <w:rFonts w:hint="cs"/>
          <w:rtl/>
        </w:rPr>
        <w:t>زوجیت را به معنای عام گرفت.</w:t>
      </w:r>
    </w:p>
    <w:p w:rsidR="00CA5D79" w:rsidRDefault="007B0077" w:rsidP="007B0077">
      <w:pPr>
        <w:jc w:val="both"/>
        <w:rPr>
          <w:rtl/>
        </w:rPr>
      </w:pPr>
      <w:r>
        <w:rPr>
          <w:rFonts w:hint="cs"/>
          <w:rtl/>
        </w:rPr>
        <w:t xml:space="preserve">در </w:t>
      </w:r>
      <w:r w:rsidRPr="00CA5D79">
        <w:rPr>
          <w:rFonts w:hint="cs"/>
          <w:color w:val="008000"/>
          <w:rtl/>
        </w:rPr>
        <w:t>يَذَرُونَ أَزْوَاجًا</w:t>
      </w:r>
      <w:r>
        <w:rPr>
          <w:rFonts w:hint="cs"/>
          <w:rtl/>
        </w:rPr>
        <w:t xml:space="preserve"> نیز به تنهایی و بدون قرینه</w:t>
      </w:r>
      <w:r>
        <w:rPr>
          <w:rFonts w:hint="eastAsia"/>
          <w:rtl/>
        </w:rPr>
        <w:t>‌</w:t>
      </w:r>
      <w:r>
        <w:rPr>
          <w:rFonts w:hint="cs"/>
          <w:rtl/>
        </w:rPr>
        <w:t>ی روایات، عام دانستن ازواج مشکل است؛ اما روایاتی که عده</w:t>
      </w:r>
      <w:r>
        <w:rPr>
          <w:rFonts w:hint="eastAsia"/>
          <w:rtl/>
        </w:rPr>
        <w:t>‌</w:t>
      </w:r>
      <w:r>
        <w:rPr>
          <w:rFonts w:hint="cs"/>
          <w:rtl/>
        </w:rPr>
        <w:t>ی وفات متمتع بها را نیز چهار ماه و ده روز ذکر کرده اند، ممکن است قرینه شوند که در آیه معنای عامی از «ازواج» اراده شده باشد.</w:t>
      </w:r>
    </w:p>
    <w:p w:rsidR="00FA21F8" w:rsidRDefault="00FA21F8" w:rsidP="007B0077">
      <w:pPr>
        <w:jc w:val="both"/>
        <w:rPr>
          <w:rtl/>
        </w:rPr>
      </w:pPr>
      <w:r>
        <w:rPr>
          <w:rFonts w:hint="cs"/>
          <w:rtl/>
        </w:rPr>
        <w:t>بعضی از روایات</w:t>
      </w:r>
      <w:r w:rsidR="004C2523">
        <w:rPr>
          <w:rFonts w:hint="cs"/>
          <w:rtl/>
        </w:rPr>
        <w:t>،</w:t>
      </w:r>
      <w:r>
        <w:rPr>
          <w:rFonts w:hint="cs"/>
          <w:rtl/>
        </w:rPr>
        <w:t xml:space="preserve"> عده</w:t>
      </w:r>
      <w:r>
        <w:rPr>
          <w:rFonts w:hint="eastAsia"/>
          <w:rtl/>
        </w:rPr>
        <w:t>‌</w:t>
      </w:r>
      <w:r>
        <w:rPr>
          <w:rFonts w:hint="cs"/>
          <w:rtl/>
        </w:rPr>
        <w:t>ی متمتع بها را چهل و پنج روز دانسته اند که ناظر به عده</w:t>
      </w:r>
      <w:r>
        <w:rPr>
          <w:rFonts w:hint="eastAsia"/>
          <w:rtl/>
        </w:rPr>
        <w:t>‌</w:t>
      </w:r>
      <w:r>
        <w:rPr>
          <w:rFonts w:hint="cs"/>
          <w:rtl/>
        </w:rPr>
        <w:t>ی وفات نیستند.</w:t>
      </w:r>
    </w:p>
    <w:p w:rsidR="00FA21F8" w:rsidRDefault="00FA21F8" w:rsidP="007B0077">
      <w:pPr>
        <w:jc w:val="both"/>
        <w:rPr>
          <w:rtl/>
        </w:rPr>
      </w:pPr>
      <w:r>
        <w:rPr>
          <w:rFonts w:hint="cs"/>
          <w:rtl/>
        </w:rPr>
        <w:t>دو روایت ممکن است به عنوان معارض روایاتِ چهار ماه و ده روز</w:t>
      </w:r>
      <w:r w:rsidR="004F6A89">
        <w:rPr>
          <w:rFonts w:hint="cs"/>
          <w:rtl/>
        </w:rPr>
        <w:t xml:space="preserve"> مطرح شود:</w:t>
      </w:r>
    </w:p>
    <w:p w:rsidR="00B67859" w:rsidRDefault="00FA21F8" w:rsidP="00FA21F8">
      <w:pPr>
        <w:pStyle w:val="Heading2"/>
        <w:rPr>
          <w:rtl/>
        </w:rPr>
      </w:pPr>
      <w:bookmarkStart w:id="5" w:name="_Toc52638533"/>
      <w:bookmarkStart w:id="6" w:name="_Toc52639533"/>
      <w:r>
        <w:rPr>
          <w:rFonts w:hint="cs"/>
          <w:rtl/>
        </w:rPr>
        <w:t>روایت سوم</w:t>
      </w:r>
      <w:bookmarkEnd w:id="5"/>
      <w:bookmarkEnd w:id="6"/>
    </w:p>
    <w:p w:rsidR="00A64FC6" w:rsidRPr="00A64FC6" w:rsidRDefault="00A64FC6" w:rsidP="00A64FC6">
      <w:pPr>
        <w:jc w:val="both"/>
        <w:rPr>
          <w:color w:val="008000"/>
        </w:rPr>
      </w:pPr>
      <w:r w:rsidRPr="00A64FC6">
        <w:rPr>
          <w:rFonts w:hint="cs"/>
          <w:rtl/>
        </w:rPr>
        <w:t xml:space="preserve">الصَّفَّارُ عَنِ الْحَسَنِ بْنِ عَلِيٍّ عَنْ أَحْمَدَ بْنِ هِلَالٍ عَنِ الْحَسَنِ بْنِ عَلِيِّ بْنِ يَقْطِينٍ‏ عَنْ أَخِيهِ الْحُسَيْنِ عَنْ عَلِيِّ بْنِ يَقْطِينٍ عَنْ أَبِي الْحَسَنِ ع قَالَ: </w:t>
      </w:r>
      <w:r w:rsidRPr="00A64FC6">
        <w:rPr>
          <w:rFonts w:hint="cs"/>
          <w:color w:val="008000"/>
          <w:rtl/>
        </w:rPr>
        <w:t>عِدَّةُ الْمَرْأَةِ إِذَا تُمُتِّعَ بِهَا ثُمَّ مَاتَ عَنْهَا زَوْجُهَا خَمْسَةٌ وَ أَرْبَعُونَ‏ يَوْماً.</w:t>
      </w:r>
      <w:r>
        <w:rPr>
          <w:rStyle w:val="FootnoteReference"/>
          <w:color w:val="008000"/>
          <w:rtl/>
        </w:rPr>
        <w:footnoteReference w:id="5"/>
      </w:r>
    </w:p>
    <w:p w:rsidR="00B67859" w:rsidRDefault="00A64FC6" w:rsidP="007B0077">
      <w:pPr>
        <w:jc w:val="both"/>
        <w:rPr>
          <w:rtl/>
        </w:rPr>
      </w:pPr>
      <w:r>
        <w:rPr>
          <w:rFonts w:hint="cs"/>
          <w:rtl/>
        </w:rPr>
        <w:lastRenderedPageBreak/>
        <w:t>شیخ طوسی ذیل این روایت می فرماید:</w:t>
      </w:r>
    </w:p>
    <w:p w:rsidR="00A64FC6" w:rsidRPr="00A64FC6" w:rsidRDefault="00A64FC6" w:rsidP="00A64FC6">
      <w:pPr>
        <w:jc w:val="both"/>
      </w:pPr>
      <w:r w:rsidRPr="00A64FC6">
        <w:rPr>
          <w:rFonts w:hint="cs"/>
          <w:rtl/>
        </w:rPr>
        <w:t>فَهَذَا الْخَبَرُ ضَعِيفٌ جِدّاً لِأَنَّ رَاوِيَهُ أَحْمَدُ بْنُ هِلَالٍ وَ هُوَ ضَعِيفٌ جِدّاً عَلَى مَا تَقَدَّمَ الْقَوْلُ فِيهِ وَ يَحْتَمِلُ مَعَ ذَلِكَ أَنْ يَكُونَ وَهْماً إِذَا أَحْسَنَّا الظَّنَّ بِهِ فَكَأَنَّهُ سَمِعَ ذَلِكَ فِي الْمُتَمَتَّعِ بِهَا إِذَا انْقَضَتْ أَيَّامُهَا فَرَوَاهُ إِذَا تُوُفِّيَ عَنْهَا زَوْجُهَا.</w:t>
      </w:r>
      <w:r>
        <w:rPr>
          <w:rStyle w:val="FootnoteReference"/>
          <w:rtl/>
        </w:rPr>
        <w:footnoteReference w:id="6"/>
      </w:r>
    </w:p>
    <w:p w:rsidR="00A64FC6" w:rsidRDefault="00477C46" w:rsidP="00477C46">
      <w:pPr>
        <w:pStyle w:val="Heading3"/>
        <w:rPr>
          <w:rtl/>
        </w:rPr>
      </w:pPr>
      <w:bookmarkStart w:id="7" w:name="_Toc52638534"/>
      <w:bookmarkStart w:id="8" w:name="_Toc52639534"/>
      <w:r>
        <w:rPr>
          <w:rFonts w:hint="cs"/>
          <w:rtl/>
        </w:rPr>
        <w:t>بررسی سندی</w:t>
      </w:r>
      <w:bookmarkEnd w:id="7"/>
      <w:bookmarkEnd w:id="8"/>
    </w:p>
    <w:p w:rsidR="00C3652F" w:rsidRDefault="00C3652F" w:rsidP="00C3652F">
      <w:pPr>
        <w:pStyle w:val="Heading4"/>
        <w:rPr>
          <w:rtl/>
        </w:rPr>
      </w:pPr>
      <w:bookmarkStart w:id="9" w:name="_Toc52638535"/>
      <w:bookmarkStart w:id="10" w:name="_Toc52639535"/>
      <w:r>
        <w:rPr>
          <w:rFonts w:hint="cs"/>
          <w:rtl/>
        </w:rPr>
        <w:t>احمد بن هلال</w:t>
      </w:r>
      <w:bookmarkEnd w:id="9"/>
      <w:bookmarkEnd w:id="10"/>
    </w:p>
    <w:p w:rsidR="00B67859" w:rsidRDefault="00BC4EDD" w:rsidP="004C1F46">
      <w:pPr>
        <w:jc w:val="both"/>
      </w:pPr>
      <w:r>
        <w:rPr>
          <w:rFonts w:hint="cs"/>
          <w:rtl/>
        </w:rPr>
        <w:t>احمد بن هلال بحث مفصلی دارد که به آن نمی پردازیم. آیت الله والد در مورد احمد بن هلال می فرماید:</w:t>
      </w:r>
      <w:r w:rsidR="00C3652F">
        <w:rPr>
          <w:rFonts w:hint="cs"/>
          <w:rtl/>
        </w:rPr>
        <w:t xml:space="preserve"> احمد بن هلال گر چه ادعای وکالت می ک</w:t>
      </w:r>
      <w:r w:rsidR="00196E72">
        <w:rPr>
          <w:rFonts w:hint="cs"/>
          <w:rtl/>
        </w:rPr>
        <w:t>رده است؛ اما به قدری وجاهت داشت</w:t>
      </w:r>
      <w:r w:rsidR="00C3652F">
        <w:rPr>
          <w:rFonts w:hint="cs"/>
          <w:rtl/>
        </w:rPr>
        <w:t xml:space="preserve"> </w:t>
      </w:r>
      <w:r w:rsidR="00171F54">
        <w:rPr>
          <w:rFonts w:hint="cs"/>
          <w:rtl/>
        </w:rPr>
        <w:t>و مورد قبول افراد بود</w:t>
      </w:r>
      <w:r w:rsidR="00C3652F">
        <w:rPr>
          <w:rFonts w:hint="cs"/>
          <w:rtl/>
        </w:rPr>
        <w:t xml:space="preserve"> که با توجه به توقیعاتی که در مذمت او وارد می شد، افراد آن مذمت ها</w:t>
      </w:r>
      <w:r w:rsidR="004C2523">
        <w:rPr>
          <w:rFonts w:hint="cs"/>
          <w:rtl/>
        </w:rPr>
        <w:t xml:space="preserve"> و توقیعات</w:t>
      </w:r>
      <w:r w:rsidR="00C3652F">
        <w:rPr>
          <w:rFonts w:hint="cs"/>
          <w:rtl/>
        </w:rPr>
        <w:t xml:space="preserve"> را نمی پذیرفتند.</w:t>
      </w:r>
      <w:r w:rsidR="00157F08">
        <w:rPr>
          <w:rFonts w:hint="cs"/>
          <w:rtl/>
        </w:rPr>
        <w:t xml:space="preserve"> شخصی که به دروغ گویی معروف باشد، نمی تواند چنین جایگاهی در طائفه داشته باشد. تعبیر «صالح الروایة» که نجاشی در مورد او گفته است</w:t>
      </w:r>
      <w:r w:rsidR="0018493C">
        <w:rPr>
          <w:rFonts w:hint="cs"/>
          <w:rtl/>
        </w:rPr>
        <w:t xml:space="preserve">، نشان می دهد، ثقه است </w:t>
      </w:r>
      <w:r w:rsidR="004C1F46">
        <w:rPr>
          <w:rFonts w:hint="cs"/>
          <w:rtl/>
        </w:rPr>
        <w:t>گر چه</w:t>
      </w:r>
      <w:r w:rsidR="0018493C">
        <w:rPr>
          <w:rFonts w:hint="cs"/>
          <w:rtl/>
        </w:rPr>
        <w:t xml:space="preserve"> بعضی روایات او مقبول نیست.</w:t>
      </w:r>
    </w:p>
    <w:p w:rsidR="00575DB6" w:rsidRDefault="00575DB6" w:rsidP="008D46E8">
      <w:pPr>
        <w:jc w:val="both"/>
        <w:rPr>
          <w:rtl/>
        </w:rPr>
      </w:pPr>
      <w:r>
        <w:rPr>
          <w:rFonts w:hint="cs"/>
          <w:rtl/>
        </w:rPr>
        <w:t xml:space="preserve">ابن غضائری در مورد احمد بن هلال </w:t>
      </w:r>
      <w:r w:rsidR="00487388">
        <w:rPr>
          <w:rFonts w:hint="cs"/>
          <w:rtl/>
        </w:rPr>
        <w:t>می فرماید:</w:t>
      </w:r>
    </w:p>
    <w:p w:rsidR="00487388" w:rsidRPr="00487388" w:rsidRDefault="00487388" w:rsidP="00487388">
      <w:pPr>
        <w:jc w:val="both"/>
        <w:rPr>
          <w:color w:val="000080"/>
        </w:rPr>
      </w:pPr>
      <w:r w:rsidRPr="00487388">
        <w:rPr>
          <w:rFonts w:hint="cs"/>
          <w:color w:val="000080"/>
          <w:rtl/>
        </w:rPr>
        <w:t>[غض‏] أرى التوقف في حديثه إلا فيما رواه عن الحسن بن محبوب من كتاب المشيخة و محمد بن أبي عمير من نوادره و قد سمع هذين الكتابين منه جلة أصحابنا و اعتمدوه فيهما</w:t>
      </w:r>
      <w:r>
        <w:rPr>
          <w:rStyle w:val="FootnoteReference"/>
          <w:color w:val="000080"/>
          <w:rtl/>
        </w:rPr>
        <w:footnoteReference w:id="7"/>
      </w:r>
    </w:p>
    <w:p w:rsidR="00487388" w:rsidRDefault="00567385" w:rsidP="00457BD8">
      <w:pPr>
        <w:jc w:val="both"/>
        <w:rPr>
          <w:rtl/>
        </w:rPr>
      </w:pPr>
      <w:r>
        <w:rPr>
          <w:rFonts w:hint="cs"/>
          <w:rtl/>
        </w:rPr>
        <w:t xml:space="preserve">اگر روایات احمد بن هلال را فقط در مواردی که ابن غضائری گفته است، معتبر بدانیم، روایت </w:t>
      </w:r>
      <w:r w:rsidR="00EB44BF">
        <w:rPr>
          <w:rFonts w:hint="cs"/>
          <w:rtl/>
        </w:rPr>
        <w:t xml:space="preserve">مورد بحث تصحیح نمی شود؛ اما به نظر می رسد بتوان احمد بن هلال را به طور مطلق توثیق کرد؛ گر چه از جهت مذهب و عدالت، مورد </w:t>
      </w:r>
      <w:r w:rsidR="00457BD8">
        <w:rPr>
          <w:rFonts w:hint="cs"/>
          <w:rtl/>
        </w:rPr>
        <w:t>تایید</w:t>
      </w:r>
      <w:r w:rsidR="00EB44BF">
        <w:rPr>
          <w:rFonts w:hint="cs"/>
          <w:rtl/>
        </w:rPr>
        <w:t xml:space="preserve"> نمی باشد.</w:t>
      </w:r>
    </w:p>
    <w:p w:rsidR="00B67859" w:rsidRDefault="00EB44BF" w:rsidP="00EB44BF">
      <w:pPr>
        <w:pStyle w:val="Heading4"/>
        <w:rPr>
          <w:rtl/>
        </w:rPr>
      </w:pPr>
      <w:bookmarkStart w:id="11" w:name="_Toc52638536"/>
      <w:bookmarkStart w:id="12" w:name="_Toc52639536"/>
      <w:r>
        <w:rPr>
          <w:rFonts w:hint="cs"/>
          <w:rtl/>
        </w:rPr>
        <w:t>الحسن بن علی</w:t>
      </w:r>
      <w:bookmarkEnd w:id="11"/>
      <w:bookmarkEnd w:id="12"/>
    </w:p>
    <w:p w:rsidR="00B67859" w:rsidRDefault="00EB44BF" w:rsidP="007B0077">
      <w:pPr>
        <w:jc w:val="both"/>
        <w:rPr>
          <w:rtl/>
        </w:rPr>
      </w:pPr>
      <w:r>
        <w:rPr>
          <w:rFonts w:hint="cs"/>
          <w:rtl/>
        </w:rPr>
        <w:t>مراد از حسن بن علی، حسن بن علی زیتونی است.</w:t>
      </w:r>
      <w:r w:rsidR="008A4112">
        <w:rPr>
          <w:rFonts w:hint="cs"/>
          <w:rtl/>
        </w:rPr>
        <w:t xml:space="preserve"> در نرم افزار اسناد صدوق برای توثیق حسن بن علی به اکثار روایت سعد بن عبدالله از حسن بن علی استدلال شده است.</w:t>
      </w:r>
    </w:p>
    <w:p w:rsidR="00EB1FEC" w:rsidRDefault="00EB1FEC" w:rsidP="007B0077">
      <w:pPr>
        <w:jc w:val="both"/>
        <w:rPr>
          <w:rtl/>
        </w:rPr>
      </w:pPr>
      <w:r>
        <w:rPr>
          <w:rFonts w:hint="cs"/>
          <w:rtl/>
        </w:rPr>
        <w:t xml:space="preserve">سعد بن عبد الله 22 مورد از حسن بن علی روایت دارد که در اکثر این موارد حسن بن علی به شخص دیگری </w:t>
      </w:r>
      <w:r w:rsidR="0091462B">
        <w:rPr>
          <w:rFonts w:hint="cs"/>
          <w:rtl/>
        </w:rPr>
        <w:t xml:space="preserve">مانند موسی بن حسن و محمد بن احمد بن ابی قتاده عطف شده است و فقط در نه </w:t>
      </w:r>
      <w:r w:rsidR="00237CE5">
        <w:rPr>
          <w:rFonts w:hint="cs"/>
          <w:rtl/>
        </w:rPr>
        <w:t>مورد</w:t>
      </w:r>
      <w:r w:rsidR="00D44BAF">
        <w:rPr>
          <w:rStyle w:val="FootnoteReference"/>
          <w:rtl/>
        </w:rPr>
        <w:footnoteReference w:id="8"/>
      </w:r>
      <w:r w:rsidR="00237CE5">
        <w:rPr>
          <w:rFonts w:hint="cs"/>
          <w:rtl/>
        </w:rPr>
        <w:t xml:space="preserve"> منفردا و بدون عطف آمده است که این مقدار برای اثبات وثاقت</w:t>
      </w:r>
      <w:r w:rsidR="00D934E4">
        <w:rPr>
          <w:rFonts w:hint="cs"/>
          <w:rtl/>
        </w:rPr>
        <w:t xml:space="preserve"> حسن بن علی</w:t>
      </w:r>
      <w:r w:rsidR="00237CE5">
        <w:rPr>
          <w:rFonts w:hint="cs"/>
          <w:rtl/>
        </w:rPr>
        <w:t xml:space="preserve"> کافی نیست.</w:t>
      </w:r>
      <w:r w:rsidR="00180966">
        <w:rPr>
          <w:rFonts w:hint="cs"/>
          <w:rtl/>
        </w:rPr>
        <w:t xml:space="preserve"> صفار نیز</w:t>
      </w:r>
      <w:r w:rsidR="00D00EDB">
        <w:rPr>
          <w:rFonts w:hint="cs"/>
          <w:rtl/>
        </w:rPr>
        <w:t xml:space="preserve"> فقط</w:t>
      </w:r>
      <w:r w:rsidR="00180966">
        <w:rPr>
          <w:rFonts w:hint="cs"/>
          <w:rtl/>
        </w:rPr>
        <w:t xml:space="preserve"> شش روایت از حسن بن علی زیتونی روایت دارد.</w:t>
      </w:r>
    </w:p>
    <w:p w:rsidR="00B67859" w:rsidRDefault="00354A2C" w:rsidP="001375C0">
      <w:pPr>
        <w:jc w:val="both"/>
        <w:rPr>
          <w:rtl/>
        </w:rPr>
      </w:pPr>
      <w:r>
        <w:rPr>
          <w:rFonts w:hint="cs"/>
          <w:rtl/>
        </w:rPr>
        <w:t xml:space="preserve">در رجال </w:t>
      </w:r>
      <w:r w:rsidR="00692D82">
        <w:rPr>
          <w:rFonts w:hint="cs"/>
          <w:rtl/>
        </w:rPr>
        <w:t xml:space="preserve">نجاشی </w:t>
      </w:r>
      <w:r>
        <w:rPr>
          <w:rFonts w:hint="cs"/>
          <w:rtl/>
        </w:rPr>
        <w:t xml:space="preserve">و فهرست شیخ </w:t>
      </w:r>
      <w:r w:rsidR="00597BD3">
        <w:rPr>
          <w:rFonts w:hint="cs"/>
          <w:rtl/>
        </w:rPr>
        <w:t>ابن بطه از حسن بن علی روایت می کند که با توجه به تضعیف ابن بطه نمی توان حسن بن علی را توثیق کرد</w:t>
      </w:r>
      <w:r>
        <w:rPr>
          <w:rFonts w:hint="cs"/>
          <w:rtl/>
        </w:rPr>
        <w:t>:</w:t>
      </w:r>
    </w:p>
    <w:p w:rsidR="00D71CB8" w:rsidRPr="00D71CB8" w:rsidRDefault="00D71CB8" w:rsidP="00D71CB8">
      <w:pPr>
        <w:jc w:val="both"/>
        <w:rPr>
          <w:color w:val="000080"/>
        </w:rPr>
      </w:pPr>
      <w:r w:rsidRPr="00D71CB8">
        <w:rPr>
          <w:rFonts w:hint="cs"/>
          <w:color w:val="000080"/>
          <w:rtl/>
        </w:rPr>
        <w:t>491 سهل بن الهرمزان‏</w:t>
      </w:r>
    </w:p>
    <w:p w:rsidR="00B67859" w:rsidRPr="00BD64DE" w:rsidRDefault="00D71CB8" w:rsidP="00BD64DE">
      <w:pPr>
        <w:jc w:val="both"/>
        <w:rPr>
          <w:color w:val="000080"/>
          <w:rtl/>
        </w:rPr>
      </w:pPr>
      <w:r w:rsidRPr="00D71CB8">
        <w:rPr>
          <w:rFonts w:hint="cs"/>
          <w:color w:val="000080"/>
          <w:rtl/>
        </w:rPr>
        <w:t xml:space="preserve">قمي، ثقة، قليل الحديث له كتاب نوادر. أخبرنا محمد بن محمد و غيره، عن الحسن بن حمزة قال: </w:t>
      </w:r>
      <w:r w:rsidRPr="00B56FBD">
        <w:rPr>
          <w:rFonts w:hint="cs"/>
          <w:color w:val="000080"/>
          <w:u w:val="single"/>
          <w:rtl/>
        </w:rPr>
        <w:t>حدثنا ابن بطة، عن الحسن بن علي الزيتوني</w:t>
      </w:r>
      <w:r w:rsidRPr="00D71CB8">
        <w:rPr>
          <w:rFonts w:hint="cs"/>
          <w:color w:val="000080"/>
          <w:rtl/>
        </w:rPr>
        <w:t>، عنه.</w:t>
      </w:r>
      <w:r>
        <w:rPr>
          <w:rStyle w:val="FootnoteReference"/>
          <w:color w:val="000080"/>
          <w:rtl/>
        </w:rPr>
        <w:footnoteReference w:id="9"/>
      </w:r>
    </w:p>
    <w:p w:rsidR="00D71CB8" w:rsidRPr="00D71CB8" w:rsidRDefault="00D71CB8" w:rsidP="00D71CB8">
      <w:pPr>
        <w:jc w:val="both"/>
        <w:rPr>
          <w:color w:val="000080"/>
        </w:rPr>
      </w:pPr>
      <w:r w:rsidRPr="00D71CB8">
        <w:rPr>
          <w:rFonts w:hint="cs"/>
          <w:color w:val="000080"/>
          <w:rtl/>
        </w:rPr>
        <w:t>[345] سهل [بن الهرمزان‏]</w:t>
      </w:r>
    </w:p>
    <w:p w:rsidR="00D71CB8" w:rsidRPr="00D71CB8" w:rsidRDefault="00D71CB8" w:rsidP="00D71CB8">
      <w:pPr>
        <w:jc w:val="both"/>
        <w:rPr>
          <w:color w:val="000080"/>
          <w:rtl/>
        </w:rPr>
      </w:pPr>
      <w:r w:rsidRPr="00D71CB8">
        <w:rPr>
          <w:rFonts w:hint="cs"/>
          <w:color w:val="000080"/>
          <w:rtl/>
        </w:rPr>
        <w:t xml:space="preserve">سهل بن الهرمزان، له كتاب. رويناه بالإسناد الأوّل‏، عن </w:t>
      </w:r>
      <w:r w:rsidRPr="00B56FBD">
        <w:rPr>
          <w:rFonts w:hint="cs"/>
          <w:color w:val="000080"/>
          <w:u w:val="single"/>
          <w:rtl/>
        </w:rPr>
        <w:t>ابن بطّة، عن الحسن بن علي الزيتوني</w:t>
      </w:r>
      <w:r w:rsidRPr="00D71CB8">
        <w:rPr>
          <w:rFonts w:hint="cs"/>
          <w:color w:val="000080"/>
          <w:rtl/>
        </w:rPr>
        <w:t>، عنه.</w:t>
      </w:r>
      <w:r>
        <w:rPr>
          <w:rStyle w:val="FootnoteReference"/>
          <w:color w:val="000080"/>
          <w:rtl/>
        </w:rPr>
        <w:footnoteReference w:id="10"/>
      </w:r>
    </w:p>
    <w:p w:rsidR="00B67859" w:rsidRDefault="00BD64DE" w:rsidP="00B56FBD">
      <w:pPr>
        <w:jc w:val="both"/>
      </w:pPr>
      <w:r>
        <w:rPr>
          <w:rFonts w:hint="cs"/>
          <w:rtl/>
        </w:rPr>
        <w:t xml:space="preserve">نجاشی کتاب حسن بن علی زیتونی را از </w:t>
      </w:r>
      <w:r w:rsidR="00B56FBD">
        <w:rPr>
          <w:rFonts w:hint="cs"/>
          <w:rtl/>
        </w:rPr>
        <w:t xml:space="preserve">این </w:t>
      </w:r>
      <w:r>
        <w:rPr>
          <w:rFonts w:hint="cs"/>
          <w:rtl/>
        </w:rPr>
        <w:t>طریق نقل کرده است:</w:t>
      </w:r>
    </w:p>
    <w:p w:rsidR="00BD64DE" w:rsidRPr="00BD64DE" w:rsidRDefault="00BD64DE" w:rsidP="00BD64DE">
      <w:pPr>
        <w:jc w:val="both"/>
        <w:rPr>
          <w:color w:val="000080"/>
        </w:rPr>
      </w:pPr>
      <w:r w:rsidRPr="00BD64DE">
        <w:rPr>
          <w:rFonts w:hint="cs"/>
          <w:color w:val="000080"/>
          <w:rtl/>
        </w:rPr>
        <w:t>143 الحسن بن علي الزيتوني‏</w:t>
      </w:r>
    </w:p>
    <w:p w:rsidR="00BD64DE" w:rsidRPr="00BD64DE" w:rsidRDefault="00BD64DE" w:rsidP="00BD64DE">
      <w:pPr>
        <w:jc w:val="both"/>
        <w:rPr>
          <w:color w:val="000080"/>
          <w:rtl/>
        </w:rPr>
      </w:pPr>
      <w:r w:rsidRPr="00BD64DE">
        <w:rPr>
          <w:rFonts w:hint="cs"/>
          <w:color w:val="000080"/>
          <w:rtl/>
        </w:rPr>
        <w:t>الأشعري أبو محمد له كتاب نوادر. أخبرنا محمد بن علي عن أحمد بن محمد بن يحيى، عن أبيه، عن الحسن بن علي بكتابه.</w:t>
      </w:r>
      <w:r>
        <w:rPr>
          <w:rStyle w:val="FootnoteReference"/>
          <w:color w:val="000080"/>
          <w:rtl/>
        </w:rPr>
        <w:footnoteReference w:id="11"/>
      </w:r>
    </w:p>
    <w:p w:rsidR="00597363" w:rsidRDefault="00BD64DE" w:rsidP="007B0077">
      <w:pPr>
        <w:jc w:val="both"/>
        <w:rPr>
          <w:rtl/>
        </w:rPr>
      </w:pPr>
      <w:r>
        <w:rPr>
          <w:rFonts w:hint="cs"/>
          <w:rtl/>
        </w:rPr>
        <w:t>با وجود این که کتاب نوادر حسن بن علی زیتونی را محمد بن یحیی العطار نقل کرده است، اما در اسناد کتب ما هیچ روایتی از «محمد بن یحیی العطار عن الحسن بن علی الزیتونی» وجود ندارد.</w:t>
      </w:r>
    </w:p>
    <w:p w:rsidR="00692D82" w:rsidRDefault="00376814" w:rsidP="007B0077">
      <w:pPr>
        <w:jc w:val="both"/>
        <w:rPr>
          <w:rtl/>
        </w:rPr>
      </w:pPr>
      <w:r>
        <w:rPr>
          <w:rFonts w:hint="cs"/>
          <w:rtl/>
        </w:rPr>
        <w:t>فقط یک روایت به این صورت وجود دارد:</w:t>
      </w:r>
    </w:p>
    <w:p w:rsidR="00376814" w:rsidRPr="00376814" w:rsidRDefault="00376814" w:rsidP="00376814">
      <w:pPr>
        <w:jc w:val="both"/>
      </w:pPr>
      <w:r w:rsidRPr="00376814">
        <w:rPr>
          <w:rFonts w:hint="cs"/>
          <w:rtl/>
        </w:rPr>
        <w:t>مُحَمَّدُ بْنُ يَحْيَى عَنِ الْحَسَنِ بْنِ عَلِيٍّ الدِّينَوَرِيِّ عَنْ مُحَمَّدِ بْنِ عِيسَى عَنْ صَالِحِ بْنِ عُقْبَة</w:t>
      </w:r>
      <w:r>
        <w:rPr>
          <w:rStyle w:val="FootnoteReference"/>
          <w:rtl/>
        </w:rPr>
        <w:footnoteReference w:id="12"/>
      </w:r>
    </w:p>
    <w:p w:rsidR="00376814" w:rsidRDefault="00376814" w:rsidP="00D3481E">
      <w:pPr>
        <w:jc w:val="both"/>
        <w:rPr>
          <w:rtl/>
        </w:rPr>
      </w:pPr>
      <w:r>
        <w:rPr>
          <w:rFonts w:hint="cs"/>
          <w:rtl/>
        </w:rPr>
        <w:t>احتمالا «الدینوری» مصحَّف</w:t>
      </w:r>
      <w:r w:rsidR="00D3481E">
        <w:rPr>
          <w:rFonts w:hint="cs"/>
          <w:rtl/>
        </w:rPr>
        <w:t xml:space="preserve"> الزیتونی است که در این صورت فقط یک روایت شامل «محمد بن یحیی العطار عن الحسن بن علی الزیتونی» می باشد.</w:t>
      </w:r>
    </w:p>
    <w:p w:rsidR="00D3481E" w:rsidRDefault="008D5CAE" w:rsidP="00E3699F">
      <w:pPr>
        <w:jc w:val="both"/>
        <w:rPr>
          <w:rtl/>
        </w:rPr>
      </w:pPr>
      <w:r>
        <w:rPr>
          <w:rFonts w:hint="cs"/>
          <w:rtl/>
        </w:rPr>
        <w:t xml:space="preserve">تصحیف زیتونی به دینوری در </w:t>
      </w:r>
      <w:r w:rsidR="00E3699F">
        <w:rPr>
          <w:rFonts w:hint="cs"/>
          <w:rtl/>
        </w:rPr>
        <w:t>علل الشرایع</w:t>
      </w:r>
      <w:r>
        <w:rPr>
          <w:rFonts w:hint="cs"/>
          <w:rtl/>
        </w:rPr>
        <w:t xml:space="preserve"> نیز دیده می شود:</w:t>
      </w:r>
    </w:p>
    <w:p w:rsidR="008D5CAE" w:rsidRPr="008D5CAE" w:rsidRDefault="008D5CAE" w:rsidP="008D5CAE">
      <w:pPr>
        <w:jc w:val="both"/>
        <w:rPr>
          <w:rtl/>
        </w:rPr>
      </w:pPr>
      <w:r w:rsidRPr="008D5CAE">
        <w:rPr>
          <w:rFonts w:hint="cs"/>
          <w:rtl/>
        </w:rPr>
        <w:t>21 أَبِي رَحِمَهُ اللَّهُ قَالَ حَدَّثَنَا سَعْدُ بْنُ عَبْدِ اللَّهِ عَنِ الْحَسَنِ بْنِ عَلِيٍ‏</w:t>
      </w:r>
      <w:r>
        <w:rPr>
          <w:rFonts w:hint="cs"/>
          <w:rtl/>
        </w:rPr>
        <w:t xml:space="preserve"> </w:t>
      </w:r>
      <w:r w:rsidRPr="008D5CAE">
        <w:rPr>
          <w:rFonts w:hint="cs"/>
          <w:rtl/>
        </w:rPr>
        <w:t>الدِّينَوَرِي‏</w:t>
      </w:r>
      <w:r>
        <w:rPr>
          <w:rStyle w:val="FootnoteReference"/>
          <w:rtl/>
        </w:rPr>
        <w:footnoteReference w:id="13"/>
      </w:r>
    </w:p>
    <w:p w:rsidR="008D5CAE" w:rsidRDefault="00463B85" w:rsidP="007B0077">
      <w:pPr>
        <w:jc w:val="both"/>
        <w:rPr>
          <w:rtl/>
        </w:rPr>
      </w:pPr>
      <w:r>
        <w:rPr>
          <w:rFonts w:hint="cs"/>
          <w:rtl/>
        </w:rPr>
        <w:t>بحار نیز از علل الشرا</w:t>
      </w:r>
      <w:r w:rsidR="00515FBC">
        <w:rPr>
          <w:rFonts w:hint="cs"/>
          <w:rtl/>
        </w:rPr>
        <w:t>یع و عیون الدینوری نقل کرده است؛ البته در عیون چاپی، الزیتونی آمده است.</w:t>
      </w:r>
    </w:p>
    <w:p w:rsidR="00692D82" w:rsidRDefault="000A0C2B" w:rsidP="007B0077">
      <w:pPr>
        <w:jc w:val="both"/>
        <w:rPr>
          <w:rtl/>
        </w:rPr>
      </w:pPr>
      <w:r>
        <w:rPr>
          <w:rFonts w:hint="cs"/>
          <w:rtl/>
        </w:rPr>
        <w:t>در مجموع پذیرش سند این روایت مشکل است.</w:t>
      </w:r>
    </w:p>
    <w:p w:rsidR="00D26FED" w:rsidRDefault="00D26FED" w:rsidP="00D26FED">
      <w:pPr>
        <w:pStyle w:val="Heading3"/>
        <w:rPr>
          <w:rtl/>
        </w:rPr>
      </w:pPr>
      <w:bookmarkStart w:id="13" w:name="_Toc52638537"/>
      <w:bookmarkStart w:id="14" w:name="_Toc52639537"/>
      <w:r>
        <w:rPr>
          <w:rFonts w:hint="cs"/>
          <w:rtl/>
        </w:rPr>
        <w:t>بررسی دلالت روایت</w:t>
      </w:r>
      <w:bookmarkEnd w:id="13"/>
      <w:bookmarkEnd w:id="14"/>
    </w:p>
    <w:p w:rsidR="00D26FED" w:rsidRDefault="00D26FED" w:rsidP="0012364F">
      <w:pPr>
        <w:jc w:val="both"/>
        <w:rPr>
          <w:rtl/>
        </w:rPr>
      </w:pPr>
      <w:r>
        <w:rPr>
          <w:rFonts w:hint="cs"/>
          <w:rtl/>
        </w:rPr>
        <w:t xml:space="preserve">ممکن است مراد از </w:t>
      </w:r>
      <w:r w:rsidRPr="00A64FC6">
        <w:rPr>
          <w:rFonts w:hint="cs"/>
          <w:color w:val="008000"/>
          <w:rtl/>
        </w:rPr>
        <w:t>تُمُتِّعَ بِهَا</w:t>
      </w:r>
      <w:r>
        <w:rPr>
          <w:rFonts w:hint="cs"/>
          <w:rtl/>
        </w:rPr>
        <w:t xml:space="preserve"> انقضاء مدت متعه باشد؛ یعنی موضوع بحث جایی است که مدت متعه به پایان رسیده است و سپس </w:t>
      </w:r>
      <w:r w:rsidR="00943A27">
        <w:rPr>
          <w:rFonts w:hint="cs"/>
          <w:rtl/>
        </w:rPr>
        <w:t xml:space="preserve">شوهر از دنیا </w:t>
      </w:r>
      <w:r w:rsidR="007B1FFD">
        <w:rPr>
          <w:rFonts w:hint="cs"/>
          <w:rtl/>
        </w:rPr>
        <w:t>رفته است</w:t>
      </w:r>
      <w:r w:rsidR="00943A27">
        <w:rPr>
          <w:rFonts w:hint="cs"/>
          <w:rtl/>
        </w:rPr>
        <w:t>؛ یعنی اگر شوهر در عده</w:t>
      </w:r>
      <w:r w:rsidR="00943A27">
        <w:rPr>
          <w:rFonts w:hint="eastAsia"/>
          <w:rtl/>
        </w:rPr>
        <w:t>‌</w:t>
      </w:r>
      <w:r w:rsidR="00943A27">
        <w:rPr>
          <w:rFonts w:hint="cs"/>
          <w:rtl/>
        </w:rPr>
        <w:t>ی انقضاء اجل متعه از دنیا برود، وفات تاثیری در عده ندارد و زن باید همان عده</w:t>
      </w:r>
      <w:r w:rsidR="00943A27">
        <w:rPr>
          <w:rFonts w:hint="eastAsia"/>
          <w:rtl/>
        </w:rPr>
        <w:t>‌</w:t>
      </w:r>
      <w:r w:rsidR="00943A27">
        <w:rPr>
          <w:rFonts w:hint="cs"/>
          <w:rtl/>
        </w:rPr>
        <w:t>ی</w:t>
      </w:r>
      <w:r w:rsidR="00F5070E">
        <w:rPr>
          <w:rFonts w:hint="cs"/>
          <w:rtl/>
        </w:rPr>
        <w:t xml:space="preserve"> انقضاء</w:t>
      </w:r>
      <w:r w:rsidR="00943A27">
        <w:rPr>
          <w:rFonts w:hint="cs"/>
          <w:rtl/>
        </w:rPr>
        <w:t xml:space="preserve"> اجل را سپری کند.</w:t>
      </w:r>
      <w:r w:rsidR="00E01457">
        <w:rPr>
          <w:rFonts w:hint="cs"/>
          <w:rtl/>
        </w:rPr>
        <w:t xml:space="preserve"> به عبارت دیگر عده</w:t>
      </w:r>
      <w:r w:rsidR="00E01457">
        <w:rPr>
          <w:rFonts w:hint="eastAsia"/>
          <w:rtl/>
        </w:rPr>
        <w:t>‌</w:t>
      </w:r>
      <w:r w:rsidR="00E01457">
        <w:rPr>
          <w:rFonts w:hint="cs"/>
          <w:rtl/>
        </w:rPr>
        <w:t xml:space="preserve">ی عقد انقطاعی </w:t>
      </w:r>
      <w:r w:rsidR="0012364F">
        <w:rPr>
          <w:rFonts w:hint="cs"/>
          <w:rtl/>
        </w:rPr>
        <w:t>پس از اتمام مدت عقد</w:t>
      </w:r>
      <w:r w:rsidR="00AC7B92">
        <w:rPr>
          <w:rFonts w:hint="cs"/>
          <w:rtl/>
        </w:rPr>
        <w:t>، عده</w:t>
      </w:r>
      <w:r w:rsidR="00AC7B92">
        <w:rPr>
          <w:rFonts w:hint="eastAsia"/>
          <w:rtl/>
        </w:rPr>
        <w:t>‌</w:t>
      </w:r>
      <w:r w:rsidR="00AC7B92">
        <w:rPr>
          <w:rFonts w:hint="cs"/>
          <w:rtl/>
        </w:rPr>
        <w:t>ی بائن است و در عده</w:t>
      </w:r>
      <w:r w:rsidR="00AC7B92">
        <w:rPr>
          <w:rFonts w:hint="eastAsia"/>
          <w:rtl/>
        </w:rPr>
        <w:t>‌</w:t>
      </w:r>
      <w:r w:rsidR="00AC7B92">
        <w:rPr>
          <w:rFonts w:hint="cs"/>
          <w:rtl/>
        </w:rPr>
        <w:t>ی بائن اگر شوهر از دنیا برود،</w:t>
      </w:r>
      <w:r w:rsidR="004D2051">
        <w:rPr>
          <w:rFonts w:hint="cs"/>
          <w:rtl/>
        </w:rPr>
        <w:t xml:space="preserve"> همان</w:t>
      </w:r>
      <w:r w:rsidR="00AC7B92">
        <w:rPr>
          <w:rFonts w:hint="cs"/>
          <w:rtl/>
        </w:rPr>
        <w:t xml:space="preserve"> عده</w:t>
      </w:r>
      <w:r w:rsidR="00AC7B92">
        <w:rPr>
          <w:rFonts w:hint="eastAsia"/>
          <w:rtl/>
        </w:rPr>
        <w:t>‌</w:t>
      </w:r>
      <w:r w:rsidR="00AC7B92">
        <w:rPr>
          <w:rFonts w:hint="cs"/>
          <w:rtl/>
        </w:rPr>
        <w:t>ی</w:t>
      </w:r>
      <w:r w:rsidR="00B86DF3">
        <w:rPr>
          <w:rFonts w:hint="cs"/>
          <w:rtl/>
        </w:rPr>
        <w:t xml:space="preserve"> بائن پابرجاست و تغییری نمی کند.</w:t>
      </w:r>
    </w:p>
    <w:p w:rsidR="00BB6EA0" w:rsidRDefault="00552F31" w:rsidP="00552F31">
      <w:pPr>
        <w:jc w:val="both"/>
        <w:rPr>
          <w:rtl/>
        </w:rPr>
      </w:pPr>
      <w:r>
        <w:rPr>
          <w:rFonts w:hint="cs"/>
          <w:rtl/>
        </w:rPr>
        <w:t>در بحث امه نیز روایاتی وجود دارد که امه ای مطلقه می شود و سپس در ایام عده، عتق حاصل می شود؛ در این صورت بین عده</w:t>
      </w:r>
      <w:r>
        <w:rPr>
          <w:rFonts w:hint="eastAsia"/>
          <w:rtl/>
        </w:rPr>
        <w:t>‌</w:t>
      </w:r>
      <w:r>
        <w:rPr>
          <w:rFonts w:hint="cs"/>
          <w:rtl/>
        </w:rPr>
        <w:t>ی طلاق رجعی و بائن تفصیل داده شده است</w:t>
      </w:r>
      <w:r w:rsidR="00CA33E7">
        <w:rPr>
          <w:rFonts w:hint="cs"/>
          <w:rtl/>
        </w:rPr>
        <w:t>.</w:t>
      </w:r>
    </w:p>
    <w:p w:rsidR="00BB6EA0" w:rsidRDefault="00CA33E7" w:rsidP="007B0077">
      <w:pPr>
        <w:jc w:val="both"/>
        <w:rPr>
          <w:rtl/>
        </w:rPr>
      </w:pPr>
      <w:r>
        <w:rPr>
          <w:rFonts w:hint="cs"/>
          <w:rtl/>
        </w:rPr>
        <w:t>در روایت داوود رقی امام صادق علیه السلام می فرماید:</w:t>
      </w:r>
    </w:p>
    <w:p w:rsidR="00BB6EA0" w:rsidRPr="00BB6EA0" w:rsidRDefault="00BB6EA0" w:rsidP="00BB6EA0">
      <w:pPr>
        <w:jc w:val="both"/>
        <w:rPr>
          <w:color w:val="008000"/>
        </w:rPr>
      </w:pPr>
      <w:r w:rsidRPr="00BB6EA0">
        <w:rPr>
          <w:rFonts w:hint="cs"/>
          <w:rtl/>
        </w:rPr>
        <w:t xml:space="preserve">مُحَمَّدٌ عَنْ أَحْمَدَ عَنِ ابْنِ مَحْبُوبٍ عَنْ دَاوُدَ الرَّقِّيِّ عَنْ أَبِي عَبْدِ اللَّهِ ع‏ </w:t>
      </w:r>
      <w:r w:rsidRPr="00BB6EA0">
        <w:rPr>
          <w:rFonts w:hint="cs"/>
          <w:color w:val="008000"/>
          <w:rtl/>
        </w:rPr>
        <w:t>فِي الْمُدَبَّرَةِ إِذَا مَاتَ مَوْلَاهَا أَنَّ عِدَّتَهَا أَرْبَعَةُ أَشْهُرٍ وَ عَشْرٌ مِنْ يَوْمِ يَمُوتُ سَيِّدُهَا إِذَا كَانَ سَيِّدُهَا يَطَؤُهَا قِيلَ لَهُ فَالرَّجُلُ يُعْتِقُ‏ مَمْلُوكَتَهُ‏ قَبْلَ‏ مَوْتِهِ‏ بِسَاعَةٍ أَوْ بِيَوْمٍ ثُمَّ يَمُوتُ قَالَ فَقَالَ هَذِهِ تَعْتَدُّ بِثَلَاثِ حِيَضٍ أَوْ ثَلَاثَةِ قُرُوءٍ مِنْ يَوْمَ أَعْتَقَهَا سَيِّدُهَا</w:t>
      </w:r>
      <w:r>
        <w:rPr>
          <w:rStyle w:val="FootnoteReference"/>
          <w:color w:val="008000"/>
          <w:rtl/>
        </w:rPr>
        <w:footnoteReference w:id="14"/>
      </w:r>
    </w:p>
    <w:p w:rsidR="00BB6EA0" w:rsidRDefault="00397B57" w:rsidP="007B0077">
      <w:pPr>
        <w:jc w:val="both"/>
      </w:pPr>
      <w:r>
        <w:rPr>
          <w:rFonts w:hint="cs"/>
          <w:rtl/>
        </w:rPr>
        <w:t>امه به سبب عتق باید عده نگه دارد و این عده، عده</w:t>
      </w:r>
      <w:r>
        <w:rPr>
          <w:rFonts w:hint="eastAsia"/>
          <w:rtl/>
        </w:rPr>
        <w:t>‌</w:t>
      </w:r>
      <w:r>
        <w:rPr>
          <w:rFonts w:hint="cs"/>
          <w:rtl/>
        </w:rPr>
        <w:t>ی بائن می باشد.</w:t>
      </w:r>
      <w:r w:rsidR="0041137D">
        <w:rPr>
          <w:rFonts w:hint="cs"/>
          <w:rtl/>
        </w:rPr>
        <w:t xml:space="preserve"> اگر در زمان عده، مرد از دنیا برود، </w:t>
      </w:r>
      <w:r w:rsidR="009D6B1C">
        <w:rPr>
          <w:rFonts w:hint="cs"/>
          <w:rtl/>
        </w:rPr>
        <w:t xml:space="preserve">زن </w:t>
      </w:r>
      <w:r w:rsidR="0041137D">
        <w:rPr>
          <w:rFonts w:hint="cs"/>
          <w:rtl/>
        </w:rPr>
        <w:t>باید همان عده</w:t>
      </w:r>
      <w:r w:rsidR="0041137D">
        <w:rPr>
          <w:rFonts w:hint="eastAsia"/>
          <w:rtl/>
        </w:rPr>
        <w:t>‌</w:t>
      </w:r>
      <w:r w:rsidR="0041137D">
        <w:rPr>
          <w:rFonts w:hint="cs"/>
          <w:rtl/>
        </w:rPr>
        <w:t>ی بائن را سپری کند و نیازی نیست عده</w:t>
      </w:r>
      <w:r w:rsidR="0041137D">
        <w:rPr>
          <w:rFonts w:hint="eastAsia"/>
          <w:rtl/>
        </w:rPr>
        <w:t>‌</w:t>
      </w:r>
      <w:r w:rsidR="0041137D">
        <w:rPr>
          <w:rFonts w:hint="cs"/>
          <w:rtl/>
        </w:rPr>
        <w:t>ی وفات نگه دارد.</w:t>
      </w:r>
    </w:p>
    <w:p w:rsidR="00D26FED" w:rsidRDefault="00013973" w:rsidP="00013973">
      <w:pPr>
        <w:pStyle w:val="Heading2"/>
        <w:rPr>
          <w:rtl/>
        </w:rPr>
      </w:pPr>
      <w:bookmarkStart w:id="15" w:name="_Toc52638538"/>
      <w:bookmarkStart w:id="16" w:name="_Toc52639538"/>
      <w:r>
        <w:rPr>
          <w:rFonts w:hint="cs"/>
          <w:rtl/>
        </w:rPr>
        <w:t>روایت چهارم</w:t>
      </w:r>
      <w:bookmarkEnd w:id="15"/>
      <w:bookmarkEnd w:id="16"/>
    </w:p>
    <w:p w:rsidR="00BB6EA0" w:rsidRPr="00520B7A" w:rsidRDefault="00BB6EA0" w:rsidP="00BB6EA0">
      <w:pPr>
        <w:jc w:val="both"/>
        <w:rPr>
          <w:color w:val="008000"/>
        </w:rPr>
      </w:pPr>
      <w:r w:rsidRPr="00BB6EA0">
        <w:rPr>
          <w:rFonts w:hint="cs"/>
          <w:rtl/>
        </w:rPr>
        <w:t xml:space="preserve">عَلِيُّ بْنُ الْحَسَنِ الطَّاطَرِيُّ قَالَ حَدَّثَنِي عُبَيْدُ اللَّهِ بْنُ عَلِيِّ بْنِ أَبِي شُعْبَةَ الْحَلَبِيُّ عَنْ أَبِيهِ عَنْ رَجُلٍ عَنْ أَبِي عَبْدِ اللَّهِ ع قَالَ: </w:t>
      </w:r>
      <w:r w:rsidRPr="00520B7A">
        <w:rPr>
          <w:rFonts w:hint="cs"/>
          <w:color w:val="008000"/>
          <w:rtl/>
        </w:rPr>
        <w:t>سَأَلْتُهُ عَنْ رَجُلٍ تَزَوَّجَ امْرَأَةً مُتْعَةً ثُمَ‏ مَاتَ‏ عَنْهَا مَا عِدَّتُهَا قَالَ خَمْسَةٌ وَ سِتُّونَ يَوْماً.</w:t>
      </w:r>
      <w:r w:rsidRPr="00520B7A">
        <w:rPr>
          <w:rStyle w:val="FootnoteReference"/>
          <w:color w:val="008000"/>
          <w:rtl/>
        </w:rPr>
        <w:footnoteReference w:id="15"/>
      </w:r>
    </w:p>
    <w:p w:rsidR="00D26FED" w:rsidRDefault="00D00678" w:rsidP="007B0077">
      <w:pPr>
        <w:jc w:val="both"/>
        <w:rPr>
          <w:rtl/>
        </w:rPr>
      </w:pPr>
      <w:r>
        <w:rPr>
          <w:rFonts w:hint="cs"/>
          <w:rtl/>
        </w:rPr>
        <w:t>این روایت مرسل است.</w:t>
      </w:r>
    </w:p>
    <w:p w:rsidR="00D26FED" w:rsidRDefault="00D00678" w:rsidP="00D00678">
      <w:pPr>
        <w:jc w:val="both"/>
        <w:rPr>
          <w:rtl/>
        </w:rPr>
      </w:pPr>
      <w:r>
        <w:rPr>
          <w:rFonts w:hint="cs"/>
          <w:rtl/>
        </w:rPr>
        <w:t>در استبصار به جای «</w:t>
      </w:r>
      <w:r w:rsidRPr="00BB6EA0">
        <w:rPr>
          <w:rFonts w:hint="cs"/>
          <w:rtl/>
        </w:rPr>
        <w:t>عُبَيْدُ اللَّهِ بْنُ عَلِيِّ بْنِ أَبِي شُعْبَةَ الْحَلَبِيُّ</w:t>
      </w:r>
      <w:r>
        <w:rPr>
          <w:rFonts w:hint="cs"/>
          <w:rtl/>
        </w:rPr>
        <w:t>»، «</w:t>
      </w:r>
      <w:r w:rsidRPr="00FD1257">
        <w:rPr>
          <w:rFonts w:hint="cs"/>
          <w:u w:val="single"/>
          <w:rtl/>
        </w:rPr>
        <w:t>علی</w:t>
      </w:r>
      <w:r>
        <w:rPr>
          <w:rFonts w:hint="cs"/>
          <w:rtl/>
        </w:rPr>
        <w:t xml:space="preserve"> بن</w:t>
      </w:r>
      <w:r w:rsidRPr="00D00678">
        <w:rPr>
          <w:rFonts w:hint="cs"/>
          <w:rtl/>
        </w:rPr>
        <w:t xml:space="preserve"> </w:t>
      </w:r>
      <w:r>
        <w:rPr>
          <w:rFonts w:hint="cs"/>
          <w:rtl/>
        </w:rPr>
        <w:t>عب</w:t>
      </w:r>
      <w:r w:rsidRPr="00BB6EA0">
        <w:rPr>
          <w:rFonts w:hint="cs"/>
          <w:rtl/>
        </w:rPr>
        <w:t xml:space="preserve">دُ اللَّهِ </w:t>
      </w:r>
      <w:r w:rsidR="00FD1257">
        <w:rPr>
          <w:rFonts w:hint="cs"/>
          <w:rtl/>
        </w:rPr>
        <w:t xml:space="preserve">( عبیدالله) </w:t>
      </w:r>
      <w:r w:rsidRPr="00BB6EA0">
        <w:rPr>
          <w:rFonts w:hint="cs"/>
          <w:rtl/>
        </w:rPr>
        <w:t>بْنُ عَلِيِّ بْنِ أَبِي شُعْبَةَ الْحَلَبِيُّ</w:t>
      </w:r>
      <w:r>
        <w:rPr>
          <w:rFonts w:hint="cs"/>
          <w:rtl/>
        </w:rPr>
        <w:t>» آمده است.</w:t>
      </w:r>
    </w:p>
    <w:p w:rsidR="00D00678" w:rsidRDefault="005C7145" w:rsidP="00D00678">
      <w:pPr>
        <w:jc w:val="both"/>
        <w:rPr>
          <w:rtl/>
        </w:rPr>
      </w:pPr>
      <w:r>
        <w:rPr>
          <w:rFonts w:hint="cs"/>
          <w:rtl/>
        </w:rPr>
        <w:t>علی بن عبیدالله از جهت طبقه با طاطری مناسب تر است. عبید الله در زمان امام صادق علیه السلام از دنیا رفته است</w:t>
      </w:r>
      <w:r w:rsidR="00CF2D83">
        <w:rPr>
          <w:rFonts w:hint="cs"/>
          <w:rtl/>
        </w:rPr>
        <w:t xml:space="preserve"> و بعید است طاطری مستقیم از او نقل کند.</w:t>
      </w:r>
      <w:r w:rsidR="00B0715C">
        <w:rPr>
          <w:rFonts w:hint="cs"/>
          <w:rtl/>
        </w:rPr>
        <w:t xml:space="preserve"> طاطری روایات زیادی از ابن ابی عمیر دارد و در طبقه</w:t>
      </w:r>
      <w:r w:rsidR="00B0715C">
        <w:rPr>
          <w:rFonts w:hint="eastAsia"/>
          <w:rtl/>
        </w:rPr>
        <w:t>‌</w:t>
      </w:r>
      <w:r w:rsidR="00B0715C">
        <w:rPr>
          <w:rFonts w:hint="cs"/>
          <w:rtl/>
        </w:rPr>
        <w:t>ی شاگردان ابن ابی عمیر می باشد.</w:t>
      </w:r>
    </w:p>
    <w:p w:rsidR="00FA71A3" w:rsidRDefault="00FA71A3" w:rsidP="00D00678">
      <w:pPr>
        <w:jc w:val="both"/>
        <w:rPr>
          <w:rtl/>
        </w:rPr>
      </w:pPr>
      <w:r>
        <w:rPr>
          <w:rFonts w:hint="cs"/>
          <w:rtl/>
        </w:rPr>
        <w:t xml:space="preserve">در </w:t>
      </w:r>
      <w:r w:rsidR="00A875C4">
        <w:rPr>
          <w:rFonts w:hint="cs"/>
          <w:rtl/>
        </w:rPr>
        <w:t>نتیجه نقل استبصار م</w:t>
      </w:r>
      <w:r>
        <w:rPr>
          <w:rFonts w:hint="cs"/>
          <w:rtl/>
        </w:rPr>
        <w:t>ناسب تر است.</w:t>
      </w:r>
    </w:p>
    <w:p w:rsidR="00E60C4F" w:rsidRDefault="00E60C4F" w:rsidP="00D00678">
      <w:pPr>
        <w:jc w:val="both"/>
        <w:rPr>
          <w:rtl/>
        </w:rPr>
      </w:pPr>
      <w:r>
        <w:rPr>
          <w:rFonts w:hint="cs"/>
          <w:rtl/>
        </w:rPr>
        <w:t>علی بن عبید الله بن علی بن ابی شعبة الحلبی در هیچ سند دیگری نامش وارد نشده است</w:t>
      </w:r>
      <w:r w:rsidR="00286BED">
        <w:rPr>
          <w:rFonts w:hint="cs"/>
          <w:rtl/>
        </w:rPr>
        <w:t xml:space="preserve"> و نمی توان او را توثیق کرد.</w:t>
      </w:r>
    </w:p>
    <w:p w:rsidR="00286BED" w:rsidRDefault="00286BED" w:rsidP="00D00678">
      <w:pPr>
        <w:jc w:val="both"/>
        <w:rPr>
          <w:rtl/>
        </w:rPr>
      </w:pPr>
      <w:r>
        <w:rPr>
          <w:rFonts w:hint="cs"/>
          <w:rtl/>
        </w:rPr>
        <w:t>در ترجمه</w:t>
      </w:r>
      <w:r>
        <w:rPr>
          <w:rFonts w:hint="eastAsia"/>
          <w:rtl/>
        </w:rPr>
        <w:t>‌</w:t>
      </w:r>
      <w:r>
        <w:rPr>
          <w:rFonts w:hint="cs"/>
          <w:rtl/>
        </w:rPr>
        <w:t>ی عبیدالله بن علی بن ابی شعبه عبارتی آمده است که توثیق همه</w:t>
      </w:r>
      <w:r>
        <w:rPr>
          <w:rFonts w:hint="eastAsia"/>
          <w:rtl/>
        </w:rPr>
        <w:t>‌</w:t>
      </w:r>
      <w:r>
        <w:rPr>
          <w:rFonts w:hint="cs"/>
          <w:rtl/>
        </w:rPr>
        <w:t>ی آل ابی شعبه می باشد:</w:t>
      </w:r>
    </w:p>
    <w:p w:rsidR="00BB6EA0" w:rsidRPr="006A2F2D" w:rsidRDefault="00BB6EA0" w:rsidP="00BB6EA0">
      <w:pPr>
        <w:jc w:val="both"/>
        <w:rPr>
          <w:color w:val="000080"/>
        </w:rPr>
      </w:pPr>
      <w:r w:rsidRPr="006A2F2D">
        <w:rPr>
          <w:rFonts w:hint="cs"/>
          <w:color w:val="000080"/>
          <w:rtl/>
        </w:rPr>
        <w:t>612 عبيد الله بن علي بن أبي شعبة الحلبي‏</w:t>
      </w:r>
    </w:p>
    <w:p w:rsidR="00BB6EA0" w:rsidRPr="00BB6EA0" w:rsidRDefault="00BB6EA0" w:rsidP="00BB6EA0">
      <w:pPr>
        <w:jc w:val="both"/>
        <w:rPr>
          <w:rtl/>
        </w:rPr>
      </w:pPr>
      <w:r w:rsidRPr="006A2F2D">
        <w:rPr>
          <w:rFonts w:hint="cs"/>
          <w:color w:val="000080"/>
          <w:rtl/>
        </w:rPr>
        <w:t>مولى بني تيم اللات بن ثعلبة أبو علي، كوفي، يتجر هو و أبوه و إخوته إلى حلب، فغلب عليهم النسبة إلى حلب. و آل أبي شعبة بالكوفة بيت مذكور من‏</w:t>
      </w:r>
      <w:r w:rsidRPr="006A2F2D">
        <w:rPr>
          <w:color w:val="000080"/>
        </w:rPr>
        <w:t xml:space="preserve"> </w:t>
      </w:r>
      <w:r w:rsidRPr="006A2F2D">
        <w:rPr>
          <w:rFonts w:hint="cs"/>
          <w:color w:val="000080"/>
          <w:rtl/>
        </w:rPr>
        <w:t xml:space="preserve">أصحابنا، و روى جدهم أبو شعبة عن الحسن و الحسين عليهما السلام، و </w:t>
      </w:r>
      <w:r w:rsidRPr="00E57D92">
        <w:rPr>
          <w:rFonts w:hint="cs"/>
          <w:color w:val="000080"/>
          <w:u w:val="single"/>
          <w:rtl/>
        </w:rPr>
        <w:t>كانوا جميعهم ثقات</w:t>
      </w:r>
      <w:r w:rsidRPr="006A2F2D">
        <w:rPr>
          <w:rFonts w:hint="cs"/>
          <w:color w:val="000080"/>
          <w:rtl/>
        </w:rPr>
        <w:t xml:space="preserve"> مرجوعا إلى ما يقولون. و كان‏ عبيد الله‏ كبيرهم‏ و وجههم</w:t>
      </w:r>
      <w:r w:rsidRPr="00BB6EA0">
        <w:rPr>
          <w:rFonts w:hint="cs"/>
          <w:rtl/>
        </w:rPr>
        <w:t>.</w:t>
      </w:r>
      <w:r>
        <w:rPr>
          <w:rStyle w:val="FootnoteReference"/>
          <w:rtl/>
        </w:rPr>
        <w:footnoteReference w:id="16"/>
      </w:r>
    </w:p>
    <w:p w:rsidR="00D26FED" w:rsidRDefault="00E57D92" w:rsidP="007B0077">
      <w:pPr>
        <w:jc w:val="both"/>
        <w:rPr>
          <w:rtl/>
        </w:rPr>
      </w:pPr>
      <w:r>
        <w:rPr>
          <w:rFonts w:hint="cs"/>
          <w:rtl/>
        </w:rPr>
        <w:t>ممکن است از این عبارت توثیق همه</w:t>
      </w:r>
      <w:r>
        <w:rPr>
          <w:rFonts w:hint="eastAsia"/>
          <w:rtl/>
        </w:rPr>
        <w:t>‌</w:t>
      </w:r>
      <w:r>
        <w:rPr>
          <w:rFonts w:hint="cs"/>
          <w:rtl/>
        </w:rPr>
        <w:t xml:space="preserve">ی آل ابی شعبه استفاده شود؛ اما آیا </w:t>
      </w:r>
      <w:r w:rsidRPr="00E57D92">
        <w:rPr>
          <w:rFonts w:hint="cs"/>
          <w:color w:val="000080"/>
          <w:u w:val="single"/>
          <w:rtl/>
        </w:rPr>
        <w:t>كانوا جميعهم ثقات</w:t>
      </w:r>
      <w:r>
        <w:rPr>
          <w:rFonts w:hint="cs"/>
          <w:rtl/>
        </w:rPr>
        <w:t xml:space="preserve"> شامل افرادی که در طبقات بعد از عبیدالله هستند، می شود؟</w:t>
      </w:r>
    </w:p>
    <w:p w:rsidR="00390EAE" w:rsidRDefault="00390EAE" w:rsidP="007B0077">
      <w:pPr>
        <w:jc w:val="both"/>
        <w:rPr>
          <w:rtl/>
        </w:rPr>
      </w:pPr>
      <w:r>
        <w:rPr>
          <w:rFonts w:hint="cs"/>
          <w:rtl/>
        </w:rPr>
        <w:t>در هر صورت علی بن عبید الله بن علی</w:t>
      </w:r>
      <w:r w:rsidR="00A74160">
        <w:rPr>
          <w:rFonts w:hint="cs"/>
          <w:rtl/>
        </w:rPr>
        <w:t xml:space="preserve"> را</w:t>
      </w:r>
      <w:r>
        <w:rPr>
          <w:rFonts w:hint="cs"/>
          <w:rtl/>
        </w:rPr>
        <w:t xml:space="preserve"> که فقط در این روایت وارد شده است، نمی توان با این عبارت توثیق کرد.</w:t>
      </w:r>
    </w:p>
    <w:p w:rsidR="00790AB3" w:rsidRDefault="00790AB3" w:rsidP="007B0077">
      <w:pPr>
        <w:jc w:val="both"/>
        <w:rPr>
          <w:rtl/>
        </w:rPr>
      </w:pPr>
      <w:r>
        <w:rPr>
          <w:rFonts w:hint="cs"/>
          <w:rtl/>
        </w:rPr>
        <w:t>در نتیجه این روایت از نظر سندی قابل اعتماد نمی باشد.</w:t>
      </w:r>
    </w:p>
    <w:p w:rsidR="00D26FED" w:rsidRDefault="00842FAE" w:rsidP="007B0077">
      <w:pPr>
        <w:jc w:val="both"/>
        <w:rPr>
          <w:rtl/>
        </w:rPr>
      </w:pPr>
      <w:r>
        <w:rPr>
          <w:rFonts w:hint="cs"/>
          <w:rtl/>
        </w:rPr>
        <w:t>شیخ طوسی ای</w:t>
      </w:r>
      <w:r w:rsidR="00584369">
        <w:rPr>
          <w:rFonts w:hint="cs"/>
          <w:rtl/>
        </w:rPr>
        <w:t>ن</w:t>
      </w:r>
      <w:r>
        <w:rPr>
          <w:rFonts w:hint="cs"/>
          <w:rtl/>
        </w:rPr>
        <w:t xml:space="preserve"> روایت را بر امه حمل کرده است که دشوار می باشد.</w:t>
      </w:r>
    </w:p>
    <w:p w:rsidR="00842FAE" w:rsidRDefault="00584369" w:rsidP="00584369">
      <w:pPr>
        <w:pStyle w:val="Heading1"/>
        <w:rPr>
          <w:rtl/>
        </w:rPr>
      </w:pPr>
      <w:bookmarkStart w:id="17" w:name="_Toc52638539"/>
      <w:bookmarkStart w:id="18" w:name="_Toc52639539"/>
      <w:r>
        <w:rPr>
          <w:rFonts w:hint="cs"/>
          <w:rtl/>
        </w:rPr>
        <w:t>نتیجه</w:t>
      </w:r>
      <w:bookmarkEnd w:id="17"/>
      <w:bookmarkEnd w:id="18"/>
    </w:p>
    <w:p w:rsidR="00584369" w:rsidRDefault="00636A33" w:rsidP="00636A33">
      <w:pPr>
        <w:jc w:val="both"/>
        <w:rPr>
          <w:rtl/>
        </w:rPr>
      </w:pPr>
      <w:r>
        <w:rPr>
          <w:rFonts w:hint="cs"/>
          <w:rtl/>
        </w:rPr>
        <w:t>عده</w:t>
      </w:r>
      <w:r>
        <w:rPr>
          <w:rFonts w:hint="eastAsia"/>
          <w:rtl/>
        </w:rPr>
        <w:t>‌</w:t>
      </w:r>
      <w:r>
        <w:rPr>
          <w:rFonts w:hint="cs"/>
          <w:rtl/>
        </w:rPr>
        <w:t>ی وفات متمتع بها بر اساس دو روایت اول که صحیحه هستند، چهار ماه و ده روز می باشد. روایت سوم و چهارم از نظر سندی ضعیف هستند و قابلیت استناد ندارند.</w:t>
      </w:r>
    </w:p>
    <w:p w:rsidR="00584369" w:rsidRPr="006162A2" w:rsidRDefault="00584369" w:rsidP="007B0077">
      <w:pPr>
        <w:jc w:val="both"/>
        <w:rPr>
          <w:rtl/>
        </w:rPr>
      </w:pPr>
    </w:p>
    <w:sectPr w:rsidR="00584369"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D5" w:rsidRDefault="001F77D5" w:rsidP="008B750B">
      <w:pPr>
        <w:spacing w:line="240" w:lineRule="auto"/>
      </w:pPr>
      <w:r>
        <w:separator/>
      </w:r>
    </w:p>
  </w:endnote>
  <w:endnote w:type="continuationSeparator" w:id="0">
    <w:p w:rsidR="001F77D5" w:rsidRDefault="001F77D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5422D" w:rsidRPr="00B5422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84C97" w:rsidP="001B6799">
          <w:pPr>
            <w:pStyle w:val="Footer"/>
            <w:bidi w:val="0"/>
            <w:rPr>
              <w:color w:val="808080" w:themeColor="background1" w:themeShade="80"/>
              <w:rtl/>
            </w:rPr>
          </w:pPr>
          <w:bookmarkStart w:id="26" w:name="BokAdres"/>
          <w:bookmarkEnd w:id="26"/>
          <w:r>
            <w:rPr>
              <w:color w:val="808080" w:themeColor="background1" w:themeShade="80"/>
            </w:rPr>
            <w:t>F1js1_13990712-019_mk3_mfeb.ir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D5" w:rsidRDefault="001F77D5" w:rsidP="008B750B">
      <w:pPr>
        <w:spacing w:line="240" w:lineRule="auto"/>
      </w:pPr>
      <w:r>
        <w:separator/>
      </w:r>
    </w:p>
  </w:footnote>
  <w:footnote w:type="continuationSeparator" w:id="0">
    <w:p w:rsidR="001F77D5" w:rsidRDefault="001F77D5" w:rsidP="008B750B">
      <w:pPr>
        <w:spacing w:line="240" w:lineRule="auto"/>
      </w:pPr>
      <w:r>
        <w:continuationSeparator/>
      </w:r>
    </w:p>
  </w:footnote>
  <w:footnote w:id="1">
    <w:p w:rsidR="00707EA4" w:rsidRPr="00707EA4" w:rsidRDefault="00707EA4" w:rsidP="00707EA4">
      <w:pPr>
        <w:pStyle w:val="FootnoteText"/>
      </w:pPr>
      <w:r w:rsidRPr="00707EA4">
        <w:footnoteRef/>
      </w:r>
      <w:r w:rsidRPr="00707EA4">
        <w:rPr>
          <w:rtl/>
        </w:rPr>
        <w:t xml:space="preserve"> </w:t>
      </w:r>
      <w:hyperlink r:id="rId1" w:history="1">
        <w:r w:rsidRPr="00707EA4">
          <w:rPr>
            <w:rStyle w:val="Hyperlink"/>
            <w:rtl/>
          </w:rPr>
          <w:t>تهذ</w:t>
        </w:r>
        <w:r w:rsidRPr="00707EA4">
          <w:rPr>
            <w:rStyle w:val="Hyperlink"/>
            <w:rFonts w:hint="cs"/>
            <w:rtl/>
          </w:rPr>
          <w:t>ی</w:t>
        </w:r>
        <w:r w:rsidRPr="00707EA4">
          <w:rPr>
            <w:rStyle w:val="Hyperlink"/>
            <w:rFonts w:hint="eastAsia"/>
            <w:rtl/>
          </w:rPr>
          <w:t>ب</w:t>
        </w:r>
        <w:r w:rsidRPr="00707EA4">
          <w:rPr>
            <w:rStyle w:val="Hyperlink"/>
            <w:rtl/>
          </w:rPr>
          <w:t xml:space="preserve"> الاحکام، ش</w:t>
        </w:r>
        <w:r w:rsidRPr="00707EA4">
          <w:rPr>
            <w:rStyle w:val="Hyperlink"/>
            <w:rFonts w:hint="cs"/>
            <w:rtl/>
          </w:rPr>
          <w:t>ی</w:t>
        </w:r>
        <w:r w:rsidRPr="00707EA4">
          <w:rPr>
            <w:rStyle w:val="Hyperlink"/>
            <w:rFonts w:hint="eastAsia"/>
            <w:rtl/>
          </w:rPr>
          <w:t>خ</w:t>
        </w:r>
        <w:r w:rsidRPr="00707EA4">
          <w:rPr>
            <w:rStyle w:val="Hyperlink"/>
            <w:rtl/>
          </w:rPr>
          <w:t xml:space="preserve"> طوس</w:t>
        </w:r>
        <w:r w:rsidRPr="00707EA4">
          <w:rPr>
            <w:rStyle w:val="Hyperlink"/>
            <w:rFonts w:hint="cs"/>
            <w:rtl/>
          </w:rPr>
          <w:t>ی</w:t>
        </w:r>
        <w:r w:rsidRPr="00707EA4">
          <w:rPr>
            <w:rStyle w:val="Hyperlink"/>
            <w:rFonts w:hint="eastAsia"/>
            <w:rtl/>
          </w:rPr>
          <w:t>،</w:t>
        </w:r>
        <w:r w:rsidRPr="00707EA4">
          <w:rPr>
            <w:rStyle w:val="Hyperlink"/>
            <w:rtl/>
          </w:rPr>
          <w:t xml:space="preserve"> ج8، ص157.</w:t>
        </w:r>
      </w:hyperlink>
    </w:p>
  </w:footnote>
  <w:footnote w:id="2">
    <w:p w:rsidR="008F7E91" w:rsidRPr="008F7E91" w:rsidRDefault="008F7E91" w:rsidP="008F7E91">
      <w:pPr>
        <w:pStyle w:val="FootnoteText"/>
      </w:pPr>
      <w:r w:rsidRPr="008F7E91">
        <w:footnoteRef/>
      </w:r>
      <w:r w:rsidRPr="008F7E91">
        <w:rPr>
          <w:rtl/>
        </w:rPr>
        <w:t xml:space="preserve"> </w:t>
      </w:r>
      <w:hyperlink r:id="rId2" w:history="1">
        <w:r w:rsidRPr="008F7E91">
          <w:rPr>
            <w:rStyle w:val="Hyperlink"/>
            <w:rtl/>
          </w:rPr>
          <w:t xml:space="preserve">من لا </w:t>
        </w:r>
        <w:r w:rsidRPr="008F7E91">
          <w:rPr>
            <w:rStyle w:val="Hyperlink"/>
            <w:rFonts w:hint="cs"/>
            <w:rtl/>
          </w:rPr>
          <w:t>ی</w:t>
        </w:r>
        <w:r w:rsidRPr="008F7E91">
          <w:rPr>
            <w:rStyle w:val="Hyperlink"/>
            <w:rFonts w:hint="eastAsia"/>
            <w:rtl/>
          </w:rPr>
          <w:t>حضره</w:t>
        </w:r>
        <w:r w:rsidRPr="008F7E91">
          <w:rPr>
            <w:rStyle w:val="Hyperlink"/>
            <w:rtl/>
          </w:rPr>
          <w:t xml:space="preserve"> الفق</w:t>
        </w:r>
        <w:r w:rsidRPr="008F7E91">
          <w:rPr>
            <w:rStyle w:val="Hyperlink"/>
            <w:rFonts w:hint="cs"/>
            <w:rtl/>
          </w:rPr>
          <w:t>ی</w:t>
        </w:r>
        <w:r w:rsidRPr="008F7E91">
          <w:rPr>
            <w:rStyle w:val="Hyperlink"/>
            <w:rFonts w:hint="eastAsia"/>
            <w:rtl/>
          </w:rPr>
          <w:t>ه،</w:t>
        </w:r>
        <w:r w:rsidRPr="008F7E91">
          <w:rPr>
            <w:rStyle w:val="Hyperlink"/>
            <w:rtl/>
          </w:rPr>
          <w:t xml:space="preserve"> ش</w:t>
        </w:r>
        <w:r w:rsidRPr="008F7E91">
          <w:rPr>
            <w:rStyle w:val="Hyperlink"/>
            <w:rFonts w:hint="cs"/>
            <w:rtl/>
          </w:rPr>
          <w:t>ی</w:t>
        </w:r>
        <w:r w:rsidRPr="008F7E91">
          <w:rPr>
            <w:rStyle w:val="Hyperlink"/>
            <w:rFonts w:hint="eastAsia"/>
            <w:rtl/>
          </w:rPr>
          <w:t>خ</w:t>
        </w:r>
        <w:r w:rsidRPr="008F7E91">
          <w:rPr>
            <w:rStyle w:val="Hyperlink"/>
            <w:rtl/>
          </w:rPr>
          <w:t xml:space="preserve"> صدوق، ج3، ص465.</w:t>
        </w:r>
      </w:hyperlink>
    </w:p>
  </w:footnote>
  <w:footnote w:id="3">
    <w:p w:rsidR="00CA5D79" w:rsidRPr="00CA5D79" w:rsidRDefault="00CA5D79" w:rsidP="00CA5D79">
      <w:pPr>
        <w:pStyle w:val="FootnoteText"/>
      </w:pPr>
      <w:r w:rsidRPr="00CA5D79">
        <w:footnoteRef/>
      </w:r>
      <w:r w:rsidRPr="00CA5D79">
        <w:rPr>
          <w:rtl/>
        </w:rPr>
        <w:t xml:space="preserve"> </w:t>
      </w:r>
      <w:r w:rsidRPr="00CA5D79">
        <w:rPr>
          <w:rFonts w:hint="eastAsia"/>
          <w:rtl/>
        </w:rPr>
        <w:t>سوره</w:t>
      </w:r>
      <w:r w:rsidRPr="00CA5D79">
        <w:rPr>
          <w:rtl/>
        </w:rPr>
        <w:t xml:space="preserve"> بقره، آيه 234.</w:t>
      </w:r>
    </w:p>
  </w:footnote>
  <w:footnote w:id="4">
    <w:p w:rsidR="00CA5D79" w:rsidRPr="00CA5D79" w:rsidRDefault="00CA5D79" w:rsidP="00CA5D79">
      <w:pPr>
        <w:pStyle w:val="FootnoteText"/>
      </w:pPr>
      <w:r w:rsidRPr="00CA5D79">
        <w:footnoteRef/>
      </w:r>
      <w:r w:rsidRPr="00CA5D79">
        <w:rPr>
          <w:rtl/>
        </w:rPr>
        <w:t xml:space="preserve"> </w:t>
      </w:r>
      <w:r w:rsidRPr="00CA5D79">
        <w:rPr>
          <w:rFonts w:hint="eastAsia"/>
          <w:rtl/>
        </w:rPr>
        <w:t>سوره</w:t>
      </w:r>
      <w:r w:rsidRPr="00CA5D79">
        <w:rPr>
          <w:rtl/>
        </w:rPr>
        <w:t xml:space="preserve"> مؤمنون، آيه 6.</w:t>
      </w:r>
    </w:p>
  </w:footnote>
  <w:footnote w:id="5">
    <w:p w:rsidR="00A64FC6" w:rsidRPr="00A64FC6" w:rsidRDefault="00A64FC6" w:rsidP="00A64FC6">
      <w:pPr>
        <w:pStyle w:val="FootnoteText"/>
      </w:pPr>
      <w:r w:rsidRPr="00A64FC6">
        <w:footnoteRef/>
      </w:r>
      <w:r w:rsidRPr="00A64FC6">
        <w:rPr>
          <w:rtl/>
        </w:rPr>
        <w:t xml:space="preserve"> </w:t>
      </w:r>
      <w:hyperlink r:id="rId3" w:history="1">
        <w:r w:rsidRPr="00A64FC6">
          <w:rPr>
            <w:rStyle w:val="Hyperlink"/>
            <w:rtl/>
          </w:rPr>
          <w:t>استبصار، ش</w:t>
        </w:r>
        <w:r w:rsidRPr="00A64FC6">
          <w:rPr>
            <w:rStyle w:val="Hyperlink"/>
            <w:rFonts w:hint="cs"/>
            <w:rtl/>
          </w:rPr>
          <w:t>ی</w:t>
        </w:r>
        <w:r w:rsidRPr="00A64FC6">
          <w:rPr>
            <w:rStyle w:val="Hyperlink"/>
            <w:rFonts w:hint="eastAsia"/>
            <w:rtl/>
          </w:rPr>
          <w:t>خ</w:t>
        </w:r>
        <w:r w:rsidRPr="00A64FC6">
          <w:rPr>
            <w:rStyle w:val="Hyperlink"/>
            <w:rtl/>
          </w:rPr>
          <w:t xml:space="preserve"> طوس</w:t>
        </w:r>
        <w:r w:rsidRPr="00A64FC6">
          <w:rPr>
            <w:rStyle w:val="Hyperlink"/>
            <w:rFonts w:hint="cs"/>
            <w:rtl/>
          </w:rPr>
          <w:t>ی</w:t>
        </w:r>
        <w:r w:rsidRPr="00A64FC6">
          <w:rPr>
            <w:rStyle w:val="Hyperlink"/>
            <w:rFonts w:hint="eastAsia"/>
            <w:rtl/>
          </w:rPr>
          <w:t>،</w:t>
        </w:r>
        <w:r w:rsidRPr="00A64FC6">
          <w:rPr>
            <w:rStyle w:val="Hyperlink"/>
            <w:rtl/>
          </w:rPr>
          <w:t xml:space="preserve"> ج3، ص351.</w:t>
        </w:r>
      </w:hyperlink>
    </w:p>
  </w:footnote>
  <w:footnote w:id="6">
    <w:p w:rsidR="00A64FC6" w:rsidRPr="00A64FC6" w:rsidRDefault="00A64FC6" w:rsidP="00A64FC6">
      <w:pPr>
        <w:pStyle w:val="FootnoteText"/>
      </w:pPr>
      <w:r w:rsidRPr="00A64FC6">
        <w:footnoteRef/>
      </w:r>
      <w:r w:rsidRPr="00A64FC6">
        <w:rPr>
          <w:rtl/>
        </w:rPr>
        <w:t xml:space="preserve"> </w:t>
      </w:r>
      <w:hyperlink r:id="rId4" w:history="1">
        <w:r w:rsidRPr="00A64FC6">
          <w:rPr>
            <w:rStyle w:val="Hyperlink"/>
            <w:rFonts w:hint="eastAsia"/>
            <w:rtl/>
          </w:rPr>
          <w:t>استبصار،</w:t>
        </w:r>
        <w:r w:rsidRPr="00A64FC6">
          <w:rPr>
            <w:rStyle w:val="Hyperlink"/>
            <w:rtl/>
          </w:rPr>
          <w:t xml:space="preserve"> ش</w:t>
        </w:r>
        <w:r w:rsidRPr="00A64FC6">
          <w:rPr>
            <w:rStyle w:val="Hyperlink"/>
            <w:rFonts w:hint="cs"/>
            <w:rtl/>
          </w:rPr>
          <w:t>ی</w:t>
        </w:r>
        <w:r w:rsidRPr="00A64FC6">
          <w:rPr>
            <w:rStyle w:val="Hyperlink"/>
            <w:rFonts w:hint="eastAsia"/>
            <w:rtl/>
          </w:rPr>
          <w:t>خ</w:t>
        </w:r>
        <w:r w:rsidRPr="00A64FC6">
          <w:rPr>
            <w:rStyle w:val="Hyperlink"/>
            <w:rtl/>
          </w:rPr>
          <w:t xml:space="preserve"> طوس</w:t>
        </w:r>
        <w:r w:rsidRPr="00A64FC6">
          <w:rPr>
            <w:rStyle w:val="Hyperlink"/>
            <w:rFonts w:hint="cs"/>
            <w:rtl/>
          </w:rPr>
          <w:t>ی</w:t>
        </w:r>
        <w:r w:rsidRPr="00A64FC6">
          <w:rPr>
            <w:rStyle w:val="Hyperlink"/>
            <w:rFonts w:hint="eastAsia"/>
            <w:rtl/>
          </w:rPr>
          <w:t>،</w:t>
        </w:r>
        <w:r w:rsidRPr="00A64FC6">
          <w:rPr>
            <w:rStyle w:val="Hyperlink"/>
            <w:rtl/>
          </w:rPr>
          <w:t xml:space="preserve"> ج3، ص351.</w:t>
        </w:r>
      </w:hyperlink>
    </w:p>
  </w:footnote>
  <w:footnote w:id="7">
    <w:p w:rsidR="00487388" w:rsidRDefault="00487388" w:rsidP="00487388">
      <w:pPr>
        <w:pStyle w:val="FootnoteText"/>
      </w:pPr>
      <w:r>
        <w:rPr>
          <w:rStyle w:val="FootnoteReference"/>
        </w:rPr>
        <w:footnoteRef/>
      </w:r>
      <w:r>
        <w:rPr>
          <w:rtl/>
        </w:rPr>
        <w:t xml:space="preserve"> </w:t>
      </w:r>
      <w:r>
        <w:rPr>
          <w:rFonts w:hint="cs"/>
          <w:rtl/>
        </w:rPr>
        <w:t>الرجال (لابن داود)، ص</w:t>
      </w:r>
      <w:r w:rsidRPr="00487388">
        <w:rPr>
          <w:rFonts w:hint="cs"/>
          <w:rtl/>
        </w:rPr>
        <w:t xml:space="preserve"> 425</w:t>
      </w:r>
    </w:p>
  </w:footnote>
  <w:footnote w:id="8">
    <w:p w:rsidR="00D44BAF" w:rsidRDefault="00D44BAF">
      <w:pPr>
        <w:pStyle w:val="FootnoteText"/>
      </w:pPr>
      <w:r>
        <w:rPr>
          <w:rStyle w:val="FootnoteReference"/>
        </w:rPr>
        <w:footnoteRef/>
      </w:r>
      <w:r>
        <w:rPr>
          <w:rtl/>
        </w:rPr>
        <w:t xml:space="preserve"> </w:t>
      </w:r>
      <w:r>
        <w:rPr>
          <w:rFonts w:hint="cs"/>
          <w:rtl/>
        </w:rPr>
        <w:t>بعضی از این نه روایت غیر فقهی است که نباید محاسبه شود.</w:t>
      </w:r>
    </w:p>
  </w:footnote>
  <w:footnote w:id="9">
    <w:p w:rsidR="00D71CB8" w:rsidRPr="00D71CB8" w:rsidRDefault="00D71CB8" w:rsidP="00D71CB8">
      <w:pPr>
        <w:pStyle w:val="FootnoteText"/>
      </w:pPr>
      <w:r w:rsidRPr="00D71CB8">
        <w:footnoteRef/>
      </w:r>
      <w:r w:rsidRPr="00D71CB8">
        <w:rPr>
          <w:rtl/>
        </w:rPr>
        <w:t xml:space="preserve"> </w:t>
      </w:r>
      <w:hyperlink r:id="rId5" w:history="1">
        <w:r w:rsidRPr="00D71CB8">
          <w:rPr>
            <w:rStyle w:val="Hyperlink"/>
            <w:rFonts w:hint="eastAsia"/>
            <w:rtl/>
          </w:rPr>
          <w:t>رجال</w:t>
        </w:r>
        <w:r w:rsidRPr="00D71CB8">
          <w:rPr>
            <w:rStyle w:val="Hyperlink"/>
            <w:rtl/>
          </w:rPr>
          <w:t xml:space="preserve"> النجاش</w:t>
        </w:r>
        <w:r w:rsidRPr="00D71CB8">
          <w:rPr>
            <w:rStyle w:val="Hyperlink"/>
            <w:rFonts w:hint="cs"/>
            <w:rtl/>
          </w:rPr>
          <w:t>ی</w:t>
        </w:r>
        <w:r w:rsidRPr="00D71CB8">
          <w:rPr>
            <w:rStyle w:val="Hyperlink"/>
            <w:rFonts w:hint="eastAsia"/>
            <w:rtl/>
          </w:rPr>
          <w:t>،</w:t>
        </w:r>
        <w:r w:rsidRPr="00D71CB8">
          <w:rPr>
            <w:rStyle w:val="Hyperlink"/>
            <w:rtl/>
          </w:rPr>
          <w:t xml:space="preserve"> ش</w:t>
        </w:r>
        <w:r w:rsidRPr="00D71CB8">
          <w:rPr>
            <w:rStyle w:val="Hyperlink"/>
            <w:rFonts w:hint="cs"/>
            <w:rtl/>
          </w:rPr>
          <w:t>ی</w:t>
        </w:r>
        <w:r w:rsidRPr="00D71CB8">
          <w:rPr>
            <w:rStyle w:val="Hyperlink"/>
            <w:rFonts w:hint="eastAsia"/>
            <w:rtl/>
          </w:rPr>
          <w:t>خ</w:t>
        </w:r>
        <w:r w:rsidRPr="00D71CB8">
          <w:rPr>
            <w:rStyle w:val="Hyperlink"/>
            <w:rtl/>
          </w:rPr>
          <w:t xml:space="preserve"> النجاش</w:t>
        </w:r>
        <w:r w:rsidRPr="00D71CB8">
          <w:rPr>
            <w:rStyle w:val="Hyperlink"/>
            <w:rFonts w:hint="cs"/>
            <w:rtl/>
          </w:rPr>
          <w:t>ی</w:t>
        </w:r>
        <w:r w:rsidRPr="00D71CB8">
          <w:rPr>
            <w:rStyle w:val="Hyperlink"/>
            <w:rFonts w:hint="eastAsia"/>
            <w:rtl/>
          </w:rPr>
          <w:t>،</w:t>
        </w:r>
        <w:r w:rsidRPr="00D71CB8">
          <w:rPr>
            <w:rStyle w:val="Hyperlink"/>
            <w:rtl/>
          </w:rPr>
          <w:t xml:space="preserve"> ج1، ص185.</w:t>
        </w:r>
      </w:hyperlink>
    </w:p>
  </w:footnote>
  <w:footnote w:id="10">
    <w:p w:rsidR="00D71CB8" w:rsidRDefault="00D71CB8" w:rsidP="00D71CB8">
      <w:pPr>
        <w:pStyle w:val="FootnoteText"/>
      </w:pPr>
      <w:r>
        <w:rPr>
          <w:rStyle w:val="FootnoteReference"/>
        </w:rPr>
        <w:footnoteRef/>
      </w:r>
      <w:r>
        <w:rPr>
          <w:rtl/>
        </w:rPr>
        <w:t xml:space="preserve"> </w:t>
      </w:r>
      <w:r w:rsidRPr="00D71CB8">
        <w:rPr>
          <w:rFonts w:hint="cs"/>
          <w:rtl/>
        </w:rPr>
        <w:t>فهرست كتب الشيعة و أصولهم و أسماء المصنفين و أصحاب الأصول (للطوسي) ( ط - الحديثة)، النص، ص 230</w:t>
      </w:r>
    </w:p>
  </w:footnote>
  <w:footnote w:id="11">
    <w:p w:rsidR="00BD64DE" w:rsidRPr="00BD64DE" w:rsidRDefault="00BD64DE" w:rsidP="00BD64DE">
      <w:pPr>
        <w:pStyle w:val="FootnoteText"/>
      </w:pPr>
      <w:r w:rsidRPr="00BD64DE">
        <w:footnoteRef/>
      </w:r>
      <w:r w:rsidRPr="00BD64DE">
        <w:rPr>
          <w:rtl/>
        </w:rPr>
        <w:t xml:space="preserve"> </w:t>
      </w:r>
      <w:hyperlink r:id="rId6" w:history="1">
        <w:r w:rsidRPr="00BD64DE">
          <w:rPr>
            <w:rStyle w:val="Hyperlink"/>
            <w:rFonts w:hint="eastAsia"/>
            <w:rtl/>
          </w:rPr>
          <w:t>رجال</w:t>
        </w:r>
        <w:r w:rsidRPr="00BD64DE">
          <w:rPr>
            <w:rStyle w:val="Hyperlink"/>
            <w:rtl/>
          </w:rPr>
          <w:t xml:space="preserve"> النجاش</w:t>
        </w:r>
        <w:r w:rsidRPr="00BD64DE">
          <w:rPr>
            <w:rStyle w:val="Hyperlink"/>
            <w:rFonts w:hint="cs"/>
            <w:rtl/>
          </w:rPr>
          <w:t>ی</w:t>
        </w:r>
        <w:r w:rsidRPr="00BD64DE">
          <w:rPr>
            <w:rStyle w:val="Hyperlink"/>
            <w:rFonts w:hint="eastAsia"/>
            <w:rtl/>
          </w:rPr>
          <w:t>،</w:t>
        </w:r>
        <w:r w:rsidRPr="00BD64DE">
          <w:rPr>
            <w:rStyle w:val="Hyperlink"/>
            <w:rtl/>
          </w:rPr>
          <w:t xml:space="preserve"> ش</w:t>
        </w:r>
        <w:r w:rsidRPr="00BD64DE">
          <w:rPr>
            <w:rStyle w:val="Hyperlink"/>
            <w:rFonts w:hint="cs"/>
            <w:rtl/>
          </w:rPr>
          <w:t>ی</w:t>
        </w:r>
        <w:r w:rsidRPr="00BD64DE">
          <w:rPr>
            <w:rStyle w:val="Hyperlink"/>
            <w:rFonts w:hint="eastAsia"/>
            <w:rtl/>
          </w:rPr>
          <w:t>خ</w:t>
        </w:r>
        <w:r w:rsidRPr="00BD64DE">
          <w:rPr>
            <w:rStyle w:val="Hyperlink"/>
            <w:rtl/>
          </w:rPr>
          <w:t xml:space="preserve"> النجاش</w:t>
        </w:r>
        <w:r w:rsidRPr="00BD64DE">
          <w:rPr>
            <w:rStyle w:val="Hyperlink"/>
            <w:rFonts w:hint="cs"/>
            <w:rtl/>
          </w:rPr>
          <w:t>ی</w:t>
        </w:r>
        <w:r w:rsidRPr="00BD64DE">
          <w:rPr>
            <w:rStyle w:val="Hyperlink"/>
            <w:rFonts w:hint="eastAsia"/>
            <w:rtl/>
          </w:rPr>
          <w:t>،</w:t>
        </w:r>
        <w:r w:rsidRPr="00BD64DE">
          <w:rPr>
            <w:rStyle w:val="Hyperlink"/>
            <w:rtl/>
          </w:rPr>
          <w:t xml:space="preserve"> ج1، ص62.</w:t>
        </w:r>
      </w:hyperlink>
    </w:p>
  </w:footnote>
  <w:footnote w:id="12">
    <w:p w:rsidR="00376814" w:rsidRPr="00376814" w:rsidRDefault="00376814" w:rsidP="00376814">
      <w:pPr>
        <w:pStyle w:val="FootnoteText"/>
      </w:pPr>
      <w:r w:rsidRPr="00376814">
        <w:footnoteRef/>
      </w:r>
      <w:r w:rsidRPr="00376814">
        <w:rPr>
          <w:rtl/>
        </w:rPr>
        <w:t xml:space="preserve"> </w:t>
      </w:r>
      <w:hyperlink r:id="rId7" w:history="1">
        <w:r w:rsidRPr="00376814">
          <w:rPr>
            <w:rStyle w:val="Hyperlink"/>
            <w:rtl/>
          </w:rPr>
          <w:t>الکاف</w:t>
        </w:r>
        <w:r w:rsidRPr="00376814">
          <w:rPr>
            <w:rStyle w:val="Hyperlink"/>
            <w:rFonts w:hint="cs"/>
            <w:rtl/>
          </w:rPr>
          <w:t>ی</w:t>
        </w:r>
        <w:r w:rsidRPr="00376814">
          <w:rPr>
            <w:rStyle w:val="Hyperlink"/>
            <w:rFonts w:hint="eastAsia"/>
            <w:rtl/>
          </w:rPr>
          <w:t>،</w:t>
        </w:r>
        <w:r w:rsidRPr="00376814">
          <w:rPr>
            <w:rStyle w:val="Hyperlink"/>
            <w:rtl/>
          </w:rPr>
          <w:t xml:space="preserve"> محمد بن </w:t>
        </w:r>
        <w:r w:rsidRPr="00376814">
          <w:rPr>
            <w:rStyle w:val="Hyperlink"/>
            <w:rFonts w:hint="cs"/>
            <w:rtl/>
          </w:rPr>
          <w:t>ی</w:t>
        </w:r>
        <w:r w:rsidRPr="00376814">
          <w:rPr>
            <w:rStyle w:val="Hyperlink"/>
            <w:rFonts w:hint="eastAsia"/>
            <w:rtl/>
          </w:rPr>
          <w:t>عقوب</w:t>
        </w:r>
        <w:r w:rsidRPr="00376814">
          <w:rPr>
            <w:rStyle w:val="Hyperlink"/>
            <w:rtl/>
          </w:rPr>
          <w:t xml:space="preserve"> کل</w:t>
        </w:r>
        <w:r w:rsidRPr="00376814">
          <w:rPr>
            <w:rStyle w:val="Hyperlink"/>
            <w:rFonts w:hint="cs"/>
            <w:rtl/>
          </w:rPr>
          <w:t>ی</w:t>
        </w:r>
        <w:r w:rsidRPr="00376814">
          <w:rPr>
            <w:rStyle w:val="Hyperlink"/>
            <w:rFonts w:hint="eastAsia"/>
            <w:rtl/>
          </w:rPr>
          <w:t>ن</w:t>
        </w:r>
        <w:r w:rsidRPr="00376814">
          <w:rPr>
            <w:rStyle w:val="Hyperlink"/>
            <w:rFonts w:hint="cs"/>
            <w:rtl/>
          </w:rPr>
          <w:t>ی</w:t>
        </w:r>
        <w:r w:rsidRPr="00376814">
          <w:rPr>
            <w:rStyle w:val="Hyperlink"/>
            <w:rFonts w:hint="eastAsia"/>
            <w:rtl/>
          </w:rPr>
          <w:t>،</w:t>
        </w:r>
        <w:r w:rsidRPr="00376814">
          <w:rPr>
            <w:rStyle w:val="Hyperlink"/>
            <w:rtl/>
          </w:rPr>
          <w:t xml:space="preserve"> ج4، ص150.</w:t>
        </w:r>
      </w:hyperlink>
    </w:p>
  </w:footnote>
  <w:footnote w:id="13">
    <w:p w:rsidR="008D5CAE" w:rsidRDefault="008D5CAE" w:rsidP="008C44F8">
      <w:pPr>
        <w:pStyle w:val="FootnoteText"/>
      </w:pPr>
      <w:r>
        <w:rPr>
          <w:rStyle w:val="FootnoteReference"/>
        </w:rPr>
        <w:footnoteRef/>
      </w:r>
      <w:r>
        <w:rPr>
          <w:rtl/>
        </w:rPr>
        <w:t xml:space="preserve"> </w:t>
      </w:r>
      <w:r w:rsidR="008C44F8">
        <w:rPr>
          <w:rFonts w:hint="cs"/>
          <w:rtl/>
        </w:rPr>
        <w:t>علل الشرائع، ج‏1، ص</w:t>
      </w:r>
      <w:r w:rsidRPr="008D5CAE">
        <w:rPr>
          <w:rFonts w:hint="cs"/>
          <w:rtl/>
        </w:rPr>
        <w:t xml:space="preserve"> 199</w:t>
      </w:r>
    </w:p>
  </w:footnote>
  <w:footnote w:id="14">
    <w:p w:rsidR="00BB6EA0" w:rsidRPr="00BB6EA0" w:rsidRDefault="00BB6EA0" w:rsidP="00BB6EA0">
      <w:pPr>
        <w:pStyle w:val="FootnoteText"/>
      </w:pPr>
      <w:r w:rsidRPr="00BB6EA0">
        <w:footnoteRef/>
      </w:r>
      <w:r w:rsidRPr="00BB6EA0">
        <w:rPr>
          <w:rtl/>
        </w:rPr>
        <w:t xml:space="preserve"> </w:t>
      </w:r>
      <w:hyperlink r:id="rId8" w:history="1">
        <w:r w:rsidRPr="00BB6EA0">
          <w:rPr>
            <w:rStyle w:val="Hyperlink"/>
            <w:rFonts w:hint="eastAsia"/>
            <w:rtl/>
          </w:rPr>
          <w:t>الکاف</w:t>
        </w:r>
        <w:r w:rsidRPr="00BB6EA0">
          <w:rPr>
            <w:rStyle w:val="Hyperlink"/>
            <w:rFonts w:hint="cs"/>
            <w:rtl/>
          </w:rPr>
          <w:t>ی</w:t>
        </w:r>
        <w:r w:rsidRPr="00BB6EA0">
          <w:rPr>
            <w:rStyle w:val="Hyperlink"/>
            <w:rFonts w:hint="eastAsia"/>
            <w:rtl/>
          </w:rPr>
          <w:t>،</w:t>
        </w:r>
        <w:r w:rsidRPr="00BB6EA0">
          <w:rPr>
            <w:rStyle w:val="Hyperlink"/>
            <w:rtl/>
          </w:rPr>
          <w:t xml:space="preserve"> محمد بن </w:t>
        </w:r>
        <w:r w:rsidRPr="00BB6EA0">
          <w:rPr>
            <w:rStyle w:val="Hyperlink"/>
            <w:rFonts w:hint="cs"/>
            <w:rtl/>
          </w:rPr>
          <w:t>ی</w:t>
        </w:r>
        <w:r w:rsidRPr="00BB6EA0">
          <w:rPr>
            <w:rStyle w:val="Hyperlink"/>
            <w:rFonts w:hint="eastAsia"/>
            <w:rtl/>
          </w:rPr>
          <w:t>عقوب</w:t>
        </w:r>
        <w:r w:rsidRPr="00BB6EA0">
          <w:rPr>
            <w:rStyle w:val="Hyperlink"/>
            <w:rtl/>
          </w:rPr>
          <w:t xml:space="preserve"> کل</w:t>
        </w:r>
        <w:r w:rsidRPr="00BB6EA0">
          <w:rPr>
            <w:rStyle w:val="Hyperlink"/>
            <w:rFonts w:hint="cs"/>
            <w:rtl/>
          </w:rPr>
          <w:t>ی</w:t>
        </w:r>
        <w:r w:rsidRPr="00BB6EA0">
          <w:rPr>
            <w:rStyle w:val="Hyperlink"/>
            <w:rFonts w:hint="eastAsia"/>
            <w:rtl/>
          </w:rPr>
          <w:t>ن</w:t>
        </w:r>
        <w:r w:rsidRPr="00BB6EA0">
          <w:rPr>
            <w:rStyle w:val="Hyperlink"/>
            <w:rFonts w:hint="cs"/>
            <w:rtl/>
          </w:rPr>
          <w:t>ی</w:t>
        </w:r>
        <w:r w:rsidRPr="00BB6EA0">
          <w:rPr>
            <w:rStyle w:val="Hyperlink"/>
            <w:rFonts w:hint="eastAsia"/>
            <w:rtl/>
          </w:rPr>
          <w:t>،</w:t>
        </w:r>
        <w:r w:rsidRPr="00BB6EA0">
          <w:rPr>
            <w:rStyle w:val="Hyperlink"/>
            <w:rtl/>
          </w:rPr>
          <w:t xml:space="preserve"> ج6، ص172.</w:t>
        </w:r>
      </w:hyperlink>
    </w:p>
  </w:footnote>
  <w:footnote w:id="15">
    <w:p w:rsidR="00BB6EA0" w:rsidRPr="00BB6EA0" w:rsidRDefault="00BB6EA0" w:rsidP="00BB6EA0">
      <w:pPr>
        <w:pStyle w:val="FootnoteText"/>
      </w:pPr>
      <w:r w:rsidRPr="00BB6EA0">
        <w:footnoteRef/>
      </w:r>
      <w:r w:rsidRPr="00BB6EA0">
        <w:rPr>
          <w:rtl/>
        </w:rPr>
        <w:t xml:space="preserve"> </w:t>
      </w:r>
      <w:hyperlink r:id="rId9" w:history="1">
        <w:r w:rsidRPr="00BB6EA0">
          <w:rPr>
            <w:rStyle w:val="Hyperlink"/>
            <w:rFonts w:hint="eastAsia"/>
            <w:rtl/>
          </w:rPr>
          <w:t>تهذ</w:t>
        </w:r>
        <w:r w:rsidRPr="00BB6EA0">
          <w:rPr>
            <w:rStyle w:val="Hyperlink"/>
            <w:rFonts w:hint="cs"/>
            <w:rtl/>
          </w:rPr>
          <w:t>ی</w:t>
        </w:r>
        <w:r w:rsidRPr="00BB6EA0">
          <w:rPr>
            <w:rStyle w:val="Hyperlink"/>
            <w:rFonts w:hint="eastAsia"/>
            <w:rtl/>
          </w:rPr>
          <w:t>ب</w:t>
        </w:r>
        <w:r w:rsidRPr="00BB6EA0">
          <w:rPr>
            <w:rStyle w:val="Hyperlink"/>
            <w:rtl/>
          </w:rPr>
          <w:t xml:space="preserve"> الاحکام، ش</w:t>
        </w:r>
        <w:r w:rsidRPr="00BB6EA0">
          <w:rPr>
            <w:rStyle w:val="Hyperlink"/>
            <w:rFonts w:hint="cs"/>
            <w:rtl/>
          </w:rPr>
          <w:t>ی</w:t>
        </w:r>
        <w:r w:rsidRPr="00BB6EA0">
          <w:rPr>
            <w:rStyle w:val="Hyperlink"/>
            <w:rFonts w:hint="eastAsia"/>
            <w:rtl/>
          </w:rPr>
          <w:t>خ</w:t>
        </w:r>
        <w:r w:rsidRPr="00BB6EA0">
          <w:rPr>
            <w:rStyle w:val="Hyperlink"/>
            <w:rtl/>
          </w:rPr>
          <w:t xml:space="preserve"> طوس</w:t>
        </w:r>
        <w:r w:rsidRPr="00BB6EA0">
          <w:rPr>
            <w:rStyle w:val="Hyperlink"/>
            <w:rFonts w:hint="cs"/>
            <w:rtl/>
          </w:rPr>
          <w:t>ی</w:t>
        </w:r>
        <w:r w:rsidRPr="00BB6EA0">
          <w:rPr>
            <w:rStyle w:val="Hyperlink"/>
            <w:rFonts w:hint="eastAsia"/>
            <w:rtl/>
          </w:rPr>
          <w:t>،</w:t>
        </w:r>
        <w:r w:rsidRPr="00BB6EA0">
          <w:rPr>
            <w:rStyle w:val="Hyperlink"/>
            <w:rtl/>
          </w:rPr>
          <w:t xml:space="preserve"> ج8، ص158.</w:t>
        </w:r>
      </w:hyperlink>
    </w:p>
  </w:footnote>
  <w:footnote w:id="16">
    <w:p w:rsidR="00BB6EA0" w:rsidRPr="00BB6EA0" w:rsidRDefault="00BB6EA0" w:rsidP="00BB6EA0">
      <w:pPr>
        <w:pStyle w:val="FootnoteText"/>
      </w:pPr>
      <w:r w:rsidRPr="00BB6EA0">
        <w:footnoteRef/>
      </w:r>
      <w:r w:rsidRPr="00BB6EA0">
        <w:rPr>
          <w:rtl/>
        </w:rPr>
        <w:t xml:space="preserve"> </w:t>
      </w:r>
      <w:hyperlink r:id="rId10" w:history="1">
        <w:r w:rsidRPr="00BB6EA0">
          <w:rPr>
            <w:rStyle w:val="Hyperlink"/>
            <w:rtl/>
          </w:rPr>
          <w:t>رجال النجاش</w:t>
        </w:r>
        <w:r w:rsidRPr="00BB6EA0">
          <w:rPr>
            <w:rStyle w:val="Hyperlink"/>
            <w:rFonts w:hint="cs"/>
            <w:rtl/>
          </w:rPr>
          <w:t>ی</w:t>
        </w:r>
        <w:r w:rsidRPr="00BB6EA0">
          <w:rPr>
            <w:rStyle w:val="Hyperlink"/>
            <w:rFonts w:hint="eastAsia"/>
            <w:rtl/>
          </w:rPr>
          <w:t>،</w:t>
        </w:r>
        <w:r w:rsidRPr="00BB6EA0">
          <w:rPr>
            <w:rStyle w:val="Hyperlink"/>
            <w:rtl/>
          </w:rPr>
          <w:t xml:space="preserve"> ش</w:t>
        </w:r>
        <w:r w:rsidRPr="00BB6EA0">
          <w:rPr>
            <w:rStyle w:val="Hyperlink"/>
            <w:rFonts w:hint="cs"/>
            <w:rtl/>
          </w:rPr>
          <w:t>ی</w:t>
        </w:r>
        <w:r w:rsidRPr="00BB6EA0">
          <w:rPr>
            <w:rStyle w:val="Hyperlink"/>
            <w:rFonts w:hint="eastAsia"/>
            <w:rtl/>
          </w:rPr>
          <w:t>خ</w:t>
        </w:r>
        <w:r w:rsidRPr="00BB6EA0">
          <w:rPr>
            <w:rStyle w:val="Hyperlink"/>
            <w:rtl/>
          </w:rPr>
          <w:t xml:space="preserve"> النجاش</w:t>
        </w:r>
        <w:r w:rsidRPr="00BB6EA0">
          <w:rPr>
            <w:rStyle w:val="Hyperlink"/>
            <w:rFonts w:hint="cs"/>
            <w:rtl/>
          </w:rPr>
          <w:t>ی</w:t>
        </w:r>
        <w:r w:rsidRPr="00BB6EA0">
          <w:rPr>
            <w:rStyle w:val="Hyperlink"/>
            <w:rFonts w:hint="eastAsia"/>
            <w:rtl/>
          </w:rPr>
          <w:t>،</w:t>
        </w:r>
        <w:r w:rsidRPr="00BB6EA0">
          <w:rPr>
            <w:rStyle w:val="Hyperlink"/>
            <w:rtl/>
          </w:rPr>
          <w:t xml:space="preserve"> ج1، ص231.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584C97">
      <w:rPr>
        <w:b/>
        <w:bCs/>
        <w:sz w:val="20"/>
        <w:szCs w:val="24"/>
        <w:rtl/>
      </w:rPr>
      <w:t>019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584C9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584C97">
      <w:rPr>
        <w:b/>
        <w:bCs/>
        <w:color w:val="632423" w:themeColor="accent2" w:themeShade="80"/>
        <w:sz w:val="20"/>
        <w:szCs w:val="24"/>
        <w:rtl/>
      </w:rPr>
      <w:t>س</w:t>
    </w:r>
    <w:r w:rsidR="00584C97">
      <w:rPr>
        <w:rFonts w:hint="cs"/>
        <w:b/>
        <w:bCs/>
        <w:color w:val="632423" w:themeColor="accent2" w:themeShade="80"/>
        <w:sz w:val="20"/>
        <w:szCs w:val="24"/>
        <w:rtl/>
      </w:rPr>
      <w:t>ی</w:t>
    </w:r>
    <w:r w:rsidR="00584C97">
      <w:rPr>
        <w:rFonts w:hint="eastAsia"/>
        <w:b/>
        <w:bCs/>
        <w:color w:val="632423" w:themeColor="accent2" w:themeShade="80"/>
        <w:sz w:val="20"/>
        <w:szCs w:val="24"/>
        <w:rtl/>
      </w:rPr>
      <w:t>د</w:t>
    </w:r>
    <w:r w:rsidR="00584C97">
      <w:rPr>
        <w:b/>
        <w:bCs/>
        <w:color w:val="632423" w:themeColor="accent2" w:themeShade="80"/>
        <w:sz w:val="20"/>
        <w:szCs w:val="24"/>
        <w:rtl/>
      </w:rPr>
      <w:t xml:space="preserve"> محمد جواد شب</w:t>
    </w:r>
    <w:r w:rsidR="00584C97">
      <w:rPr>
        <w:rFonts w:hint="cs"/>
        <w:b/>
        <w:bCs/>
        <w:color w:val="632423" w:themeColor="accent2" w:themeShade="80"/>
        <w:sz w:val="20"/>
        <w:szCs w:val="24"/>
        <w:rtl/>
      </w:rPr>
      <w:t>ی</w:t>
    </w:r>
    <w:r w:rsidR="00584C97">
      <w:rPr>
        <w:rFonts w:hint="eastAsia"/>
        <w:b/>
        <w:bCs/>
        <w:color w:val="632423" w:themeColor="accent2" w:themeShade="80"/>
        <w:sz w:val="20"/>
        <w:szCs w:val="24"/>
        <w:rtl/>
      </w:rPr>
      <w:t>ر</w:t>
    </w:r>
    <w:r w:rsidR="00584C9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584C97">
      <w:rPr>
        <w:sz w:val="24"/>
        <w:szCs w:val="24"/>
        <w:rtl/>
      </w:rPr>
      <w:t>12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584C97">
      <w:rPr>
        <w:color w:val="000000" w:themeColor="text1"/>
        <w:sz w:val="24"/>
        <w:szCs w:val="24"/>
        <w:rtl/>
      </w:rPr>
      <w:t>تکمله‌</w:t>
    </w:r>
    <w:r w:rsidR="00584C97">
      <w:rPr>
        <w:rFonts w:hint="cs"/>
        <w:color w:val="000000" w:themeColor="text1"/>
        <w:sz w:val="24"/>
        <w:szCs w:val="24"/>
        <w:rtl/>
      </w:rPr>
      <w:t>ی</w:t>
    </w:r>
    <w:r w:rsidR="00584C97">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584C97">
      <w:rPr>
        <w:sz w:val="24"/>
        <w:szCs w:val="24"/>
        <w:rtl/>
      </w:rPr>
      <w:t>مهد</w:t>
    </w:r>
    <w:r w:rsidR="00584C97">
      <w:rPr>
        <w:rFonts w:hint="cs"/>
        <w:sz w:val="24"/>
        <w:szCs w:val="24"/>
        <w:rtl/>
      </w:rPr>
      <w:t>ی</w:t>
    </w:r>
    <w:r w:rsidR="00584C97">
      <w:rPr>
        <w:sz w:val="24"/>
        <w:szCs w:val="24"/>
        <w:rtl/>
      </w:rPr>
      <w:t xml:space="preserve"> کاظم</w:t>
    </w:r>
    <w:r w:rsidR="00584C9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584C97">
      <w:rPr>
        <w:sz w:val="24"/>
        <w:szCs w:val="24"/>
        <w:rtl/>
      </w:rPr>
      <w:t>عده‌</w:t>
    </w:r>
    <w:r w:rsidR="00584C97">
      <w:rPr>
        <w:rFonts w:hint="cs"/>
        <w:sz w:val="24"/>
        <w:szCs w:val="24"/>
        <w:rtl/>
      </w:rPr>
      <w:t>ی</w:t>
    </w:r>
    <w:r w:rsidR="00584C97">
      <w:rPr>
        <w:sz w:val="24"/>
        <w:szCs w:val="24"/>
        <w:rtl/>
      </w:rPr>
      <w:t xml:space="preserve">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973"/>
    <w:rsid w:val="00025777"/>
    <w:rsid w:val="00025B70"/>
    <w:rsid w:val="000353D7"/>
    <w:rsid w:val="00047BB2"/>
    <w:rsid w:val="00055496"/>
    <w:rsid w:val="000765EB"/>
    <w:rsid w:val="00080A41"/>
    <w:rsid w:val="0008299B"/>
    <w:rsid w:val="000913AA"/>
    <w:rsid w:val="00094847"/>
    <w:rsid w:val="00094A35"/>
    <w:rsid w:val="00096C63"/>
    <w:rsid w:val="000A0C2B"/>
    <w:rsid w:val="000B5DB5"/>
    <w:rsid w:val="000C3947"/>
    <w:rsid w:val="000D2A37"/>
    <w:rsid w:val="000D30E9"/>
    <w:rsid w:val="000D6818"/>
    <w:rsid w:val="000E335E"/>
    <w:rsid w:val="000F16CF"/>
    <w:rsid w:val="000F5BAC"/>
    <w:rsid w:val="00102585"/>
    <w:rsid w:val="00114AB7"/>
    <w:rsid w:val="00116B2B"/>
    <w:rsid w:val="0012364F"/>
    <w:rsid w:val="00124E3D"/>
    <w:rsid w:val="00127E95"/>
    <w:rsid w:val="00130659"/>
    <w:rsid w:val="001347C7"/>
    <w:rsid w:val="001356B0"/>
    <w:rsid w:val="001375C0"/>
    <w:rsid w:val="00151937"/>
    <w:rsid w:val="00157F08"/>
    <w:rsid w:val="0016387C"/>
    <w:rsid w:val="00171F54"/>
    <w:rsid w:val="00180966"/>
    <w:rsid w:val="00181844"/>
    <w:rsid w:val="001837E9"/>
    <w:rsid w:val="0018493C"/>
    <w:rsid w:val="00187DFA"/>
    <w:rsid w:val="00195FC4"/>
    <w:rsid w:val="00196E72"/>
    <w:rsid w:val="001A1BC1"/>
    <w:rsid w:val="001A1EA5"/>
    <w:rsid w:val="001A2574"/>
    <w:rsid w:val="001A27D7"/>
    <w:rsid w:val="001A294E"/>
    <w:rsid w:val="001A4ED8"/>
    <w:rsid w:val="001B2488"/>
    <w:rsid w:val="001B6799"/>
    <w:rsid w:val="001C1362"/>
    <w:rsid w:val="001D2E9A"/>
    <w:rsid w:val="001D320E"/>
    <w:rsid w:val="001D597F"/>
    <w:rsid w:val="001E3FD4"/>
    <w:rsid w:val="001F77D5"/>
    <w:rsid w:val="0020241A"/>
    <w:rsid w:val="00203821"/>
    <w:rsid w:val="00211632"/>
    <w:rsid w:val="0021630D"/>
    <w:rsid w:val="00237CE5"/>
    <w:rsid w:val="0024121B"/>
    <w:rsid w:val="00247D2F"/>
    <w:rsid w:val="00256560"/>
    <w:rsid w:val="0027605E"/>
    <w:rsid w:val="00281E00"/>
    <w:rsid w:val="00286BED"/>
    <w:rsid w:val="00294A52"/>
    <w:rsid w:val="002A62F8"/>
    <w:rsid w:val="002B575F"/>
    <w:rsid w:val="002B729B"/>
    <w:rsid w:val="002C23B5"/>
    <w:rsid w:val="002C53A2"/>
    <w:rsid w:val="002D0040"/>
    <w:rsid w:val="002D2FA8"/>
    <w:rsid w:val="002E220F"/>
    <w:rsid w:val="00307311"/>
    <w:rsid w:val="0032100F"/>
    <w:rsid w:val="0033402C"/>
    <w:rsid w:val="00340521"/>
    <w:rsid w:val="00345C73"/>
    <w:rsid w:val="00347E21"/>
    <w:rsid w:val="00354A2C"/>
    <w:rsid w:val="00354A99"/>
    <w:rsid w:val="00360311"/>
    <w:rsid w:val="00361922"/>
    <w:rsid w:val="0037339B"/>
    <w:rsid w:val="00376814"/>
    <w:rsid w:val="00386C11"/>
    <w:rsid w:val="00390EAE"/>
    <w:rsid w:val="00397466"/>
    <w:rsid w:val="00397B57"/>
    <w:rsid w:val="003A6148"/>
    <w:rsid w:val="003C33F6"/>
    <w:rsid w:val="003C3D2E"/>
    <w:rsid w:val="003C43A5"/>
    <w:rsid w:val="003C7772"/>
    <w:rsid w:val="003E1C5C"/>
    <w:rsid w:val="003E6650"/>
    <w:rsid w:val="003F5B46"/>
    <w:rsid w:val="00401363"/>
    <w:rsid w:val="00402E47"/>
    <w:rsid w:val="0041137D"/>
    <w:rsid w:val="004221A8"/>
    <w:rsid w:val="00425015"/>
    <w:rsid w:val="00430994"/>
    <w:rsid w:val="004413E5"/>
    <w:rsid w:val="00441B6D"/>
    <w:rsid w:val="004556EF"/>
    <w:rsid w:val="00457BD8"/>
    <w:rsid w:val="00462B07"/>
    <w:rsid w:val="00463B85"/>
    <w:rsid w:val="00465BD2"/>
    <w:rsid w:val="004715C8"/>
    <w:rsid w:val="00477C46"/>
    <w:rsid w:val="004808D2"/>
    <w:rsid w:val="00481C31"/>
    <w:rsid w:val="00482FC1"/>
    <w:rsid w:val="00483027"/>
    <w:rsid w:val="004871AA"/>
    <w:rsid w:val="00487388"/>
    <w:rsid w:val="004909EB"/>
    <w:rsid w:val="004918D7"/>
    <w:rsid w:val="004926E1"/>
    <w:rsid w:val="004A2FEA"/>
    <w:rsid w:val="004C1F46"/>
    <w:rsid w:val="004C2523"/>
    <w:rsid w:val="004D2051"/>
    <w:rsid w:val="004D2DD7"/>
    <w:rsid w:val="004D75C5"/>
    <w:rsid w:val="004E2186"/>
    <w:rsid w:val="004E66FB"/>
    <w:rsid w:val="004F470A"/>
    <w:rsid w:val="004F4C59"/>
    <w:rsid w:val="004F6A89"/>
    <w:rsid w:val="00500C8F"/>
    <w:rsid w:val="00501909"/>
    <w:rsid w:val="00507BBB"/>
    <w:rsid w:val="005128DF"/>
    <w:rsid w:val="0051592A"/>
    <w:rsid w:val="00515FBC"/>
    <w:rsid w:val="00516120"/>
    <w:rsid w:val="005206FE"/>
    <w:rsid w:val="00520B7A"/>
    <w:rsid w:val="005257ED"/>
    <w:rsid w:val="005306F8"/>
    <w:rsid w:val="0054023D"/>
    <w:rsid w:val="005426BF"/>
    <w:rsid w:val="00552F31"/>
    <w:rsid w:val="0056213C"/>
    <w:rsid w:val="00567385"/>
    <w:rsid w:val="00575DB6"/>
    <w:rsid w:val="00580C24"/>
    <w:rsid w:val="00584369"/>
    <w:rsid w:val="00584C97"/>
    <w:rsid w:val="005968EF"/>
    <w:rsid w:val="00596C1E"/>
    <w:rsid w:val="00597363"/>
    <w:rsid w:val="00597BD3"/>
    <w:rsid w:val="005A2E26"/>
    <w:rsid w:val="005B7BCA"/>
    <w:rsid w:val="005C0DAE"/>
    <w:rsid w:val="005C188E"/>
    <w:rsid w:val="005C7145"/>
    <w:rsid w:val="005D2349"/>
    <w:rsid w:val="005E1B60"/>
    <w:rsid w:val="005E5507"/>
    <w:rsid w:val="005E607B"/>
    <w:rsid w:val="005F0A8D"/>
    <w:rsid w:val="00601229"/>
    <w:rsid w:val="00603B67"/>
    <w:rsid w:val="00607205"/>
    <w:rsid w:val="006162A2"/>
    <w:rsid w:val="006240DA"/>
    <w:rsid w:val="0063256E"/>
    <w:rsid w:val="00633F04"/>
    <w:rsid w:val="00635219"/>
    <w:rsid w:val="00635EC0"/>
    <w:rsid w:val="00636A33"/>
    <w:rsid w:val="00640B58"/>
    <w:rsid w:val="00644C03"/>
    <w:rsid w:val="00651B02"/>
    <w:rsid w:val="00651B19"/>
    <w:rsid w:val="00660A29"/>
    <w:rsid w:val="00692D82"/>
    <w:rsid w:val="00695519"/>
    <w:rsid w:val="006A2F2D"/>
    <w:rsid w:val="006A4134"/>
    <w:rsid w:val="006A5DDA"/>
    <w:rsid w:val="006A6701"/>
    <w:rsid w:val="006B21F4"/>
    <w:rsid w:val="006B3753"/>
    <w:rsid w:val="006B7AD6"/>
    <w:rsid w:val="006C50FD"/>
    <w:rsid w:val="006D1DD4"/>
    <w:rsid w:val="006D28F3"/>
    <w:rsid w:val="006D4014"/>
    <w:rsid w:val="006D44C1"/>
    <w:rsid w:val="006E5651"/>
    <w:rsid w:val="006E5B85"/>
    <w:rsid w:val="006F026A"/>
    <w:rsid w:val="0070265B"/>
    <w:rsid w:val="00704813"/>
    <w:rsid w:val="00707EA4"/>
    <w:rsid w:val="0072290D"/>
    <w:rsid w:val="00723D6D"/>
    <w:rsid w:val="00724537"/>
    <w:rsid w:val="00731724"/>
    <w:rsid w:val="0073474B"/>
    <w:rsid w:val="00735511"/>
    <w:rsid w:val="00737208"/>
    <w:rsid w:val="00744DE6"/>
    <w:rsid w:val="00762452"/>
    <w:rsid w:val="007639E0"/>
    <w:rsid w:val="00775507"/>
    <w:rsid w:val="00783473"/>
    <w:rsid w:val="0078594B"/>
    <w:rsid w:val="00790AB3"/>
    <w:rsid w:val="00795E02"/>
    <w:rsid w:val="007979D0"/>
    <w:rsid w:val="007A4E18"/>
    <w:rsid w:val="007A7B8C"/>
    <w:rsid w:val="007B0077"/>
    <w:rsid w:val="007B1FFD"/>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FAE"/>
    <w:rsid w:val="008440E9"/>
    <w:rsid w:val="0085276D"/>
    <w:rsid w:val="00863390"/>
    <w:rsid w:val="0086385C"/>
    <w:rsid w:val="00871916"/>
    <w:rsid w:val="008956DD"/>
    <w:rsid w:val="008A4112"/>
    <w:rsid w:val="008A510E"/>
    <w:rsid w:val="008A522A"/>
    <w:rsid w:val="008B4464"/>
    <w:rsid w:val="008B750B"/>
    <w:rsid w:val="008C3162"/>
    <w:rsid w:val="008C44F8"/>
    <w:rsid w:val="008D1F14"/>
    <w:rsid w:val="008D46E8"/>
    <w:rsid w:val="008D5CAE"/>
    <w:rsid w:val="008E3924"/>
    <w:rsid w:val="008F13F7"/>
    <w:rsid w:val="008F5B4D"/>
    <w:rsid w:val="008F7E91"/>
    <w:rsid w:val="00907425"/>
    <w:rsid w:val="0091462B"/>
    <w:rsid w:val="00923C34"/>
    <w:rsid w:val="00924152"/>
    <w:rsid w:val="0092513D"/>
    <w:rsid w:val="00927A9F"/>
    <w:rsid w:val="009335CC"/>
    <w:rsid w:val="00935A55"/>
    <w:rsid w:val="00941CEB"/>
    <w:rsid w:val="00943A27"/>
    <w:rsid w:val="0094720F"/>
    <w:rsid w:val="00953B28"/>
    <w:rsid w:val="00954322"/>
    <w:rsid w:val="00957CAA"/>
    <w:rsid w:val="00960BDB"/>
    <w:rsid w:val="0096778A"/>
    <w:rsid w:val="00977656"/>
    <w:rsid w:val="009846A7"/>
    <w:rsid w:val="00984EE9"/>
    <w:rsid w:val="0098794D"/>
    <w:rsid w:val="0099497B"/>
    <w:rsid w:val="009A43BA"/>
    <w:rsid w:val="009B0D05"/>
    <w:rsid w:val="009B4CA6"/>
    <w:rsid w:val="009B79F8"/>
    <w:rsid w:val="009C66D5"/>
    <w:rsid w:val="009D13FD"/>
    <w:rsid w:val="009D266A"/>
    <w:rsid w:val="009D6B1C"/>
    <w:rsid w:val="009E3CF7"/>
    <w:rsid w:val="009F7E07"/>
    <w:rsid w:val="00A01522"/>
    <w:rsid w:val="00A10A11"/>
    <w:rsid w:val="00A11821"/>
    <w:rsid w:val="00A13C6A"/>
    <w:rsid w:val="00A1732B"/>
    <w:rsid w:val="00A17B09"/>
    <w:rsid w:val="00A457C6"/>
    <w:rsid w:val="00A46AD0"/>
    <w:rsid w:val="00A47063"/>
    <w:rsid w:val="00A473A8"/>
    <w:rsid w:val="00A513F0"/>
    <w:rsid w:val="00A61AC8"/>
    <w:rsid w:val="00A6366F"/>
    <w:rsid w:val="00A64FC6"/>
    <w:rsid w:val="00A65D4C"/>
    <w:rsid w:val="00A70512"/>
    <w:rsid w:val="00A74160"/>
    <w:rsid w:val="00A875C4"/>
    <w:rsid w:val="00AA1F60"/>
    <w:rsid w:val="00AA40D7"/>
    <w:rsid w:val="00AB5F7D"/>
    <w:rsid w:val="00AB74A3"/>
    <w:rsid w:val="00AC0C50"/>
    <w:rsid w:val="00AC6FE2"/>
    <w:rsid w:val="00AC7B92"/>
    <w:rsid w:val="00AF3925"/>
    <w:rsid w:val="00B0715C"/>
    <w:rsid w:val="00B1296B"/>
    <w:rsid w:val="00B2292F"/>
    <w:rsid w:val="00B43169"/>
    <w:rsid w:val="00B501A8"/>
    <w:rsid w:val="00B5422D"/>
    <w:rsid w:val="00B55AE4"/>
    <w:rsid w:val="00B56FBD"/>
    <w:rsid w:val="00B67859"/>
    <w:rsid w:val="00B70B46"/>
    <w:rsid w:val="00B739B0"/>
    <w:rsid w:val="00B814A3"/>
    <w:rsid w:val="00B86DF3"/>
    <w:rsid w:val="00B96F38"/>
    <w:rsid w:val="00BB6EA0"/>
    <w:rsid w:val="00BC4EDD"/>
    <w:rsid w:val="00BC716B"/>
    <w:rsid w:val="00BD0E74"/>
    <w:rsid w:val="00BD329F"/>
    <w:rsid w:val="00BD5F8C"/>
    <w:rsid w:val="00BD64DE"/>
    <w:rsid w:val="00BE29DD"/>
    <w:rsid w:val="00C00826"/>
    <w:rsid w:val="00C066AF"/>
    <w:rsid w:val="00C0732A"/>
    <w:rsid w:val="00C10E06"/>
    <w:rsid w:val="00C145B8"/>
    <w:rsid w:val="00C2438F"/>
    <w:rsid w:val="00C31AF0"/>
    <w:rsid w:val="00C32A7E"/>
    <w:rsid w:val="00C34F28"/>
    <w:rsid w:val="00C3652F"/>
    <w:rsid w:val="00C368DF"/>
    <w:rsid w:val="00C442C5"/>
    <w:rsid w:val="00C57B5C"/>
    <w:rsid w:val="00C57C7C"/>
    <w:rsid w:val="00C61049"/>
    <w:rsid w:val="00C63FFE"/>
    <w:rsid w:val="00C64B68"/>
    <w:rsid w:val="00C91EB6"/>
    <w:rsid w:val="00CA10B0"/>
    <w:rsid w:val="00CA2F8E"/>
    <w:rsid w:val="00CA33E7"/>
    <w:rsid w:val="00CA3EE2"/>
    <w:rsid w:val="00CA5D79"/>
    <w:rsid w:val="00CA7FD5"/>
    <w:rsid w:val="00CB3287"/>
    <w:rsid w:val="00CB33E2"/>
    <w:rsid w:val="00CB4E68"/>
    <w:rsid w:val="00CC2733"/>
    <w:rsid w:val="00CD0050"/>
    <w:rsid w:val="00CE7481"/>
    <w:rsid w:val="00CF0A79"/>
    <w:rsid w:val="00CF0A8F"/>
    <w:rsid w:val="00CF2D83"/>
    <w:rsid w:val="00D00678"/>
    <w:rsid w:val="00D00EDB"/>
    <w:rsid w:val="00D048CE"/>
    <w:rsid w:val="00D10998"/>
    <w:rsid w:val="00D15CBD"/>
    <w:rsid w:val="00D221CB"/>
    <w:rsid w:val="00D23391"/>
    <w:rsid w:val="00D26FED"/>
    <w:rsid w:val="00D31805"/>
    <w:rsid w:val="00D33EFA"/>
    <w:rsid w:val="00D3481E"/>
    <w:rsid w:val="00D44BAF"/>
    <w:rsid w:val="00D552B9"/>
    <w:rsid w:val="00D71CB8"/>
    <w:rsid w:val="00D735B2"/>
    <w:rsid w:val="00D74021"/>
    <w:rsid w:val="00D76D01"/>
    <w:rsid w:val="00D922A9"/>
    <w:rsid w:val="00D934E4"/>
    <w:rsid w:val="00D9394A"/>
    <w:rsid w:val="00DA3ABB"/>
    <w:rsid w:val="00DA7FE7"/>
    <w:rsid w:val="00DB0CBB"/>
    <w:rsid w:val="00DB67CC"/>
    <w:rsid w:val="00DC3783"/>
    <w:rsid w:val="00DE1070"/>
    <w:rsid w:val="00DE2ADB"/>
    <w:rsid w:val="00E00219"/>
    <w:rsid w:val="00E01457"/>
    <w:rsid w:val="00E0316B"/>
    <w:rsid w:val="00E25E10"/>
    <w:rsid w:val="00E27C90"/>
    <w:rsid w:val="00E35454"/>
    <w:rsid w:val="00E3699F"/>
    <w:rsid w:val="00E43585"/>
    <w:rsid w:val="00E50B41"/>
    <w:rsid w:val="00E5219B"/>
    <w:rsid w:val="00E52D07"/>
    <w:rsid w:val="00E5518B"/>
    <w:rsid w:val="00E57D92"/>
    <w:rsid w:val="00E609FE"/>
    <w:rsid w:val="00E60C4F"/>
    <w:rsid w:val="00E630BE"/>
    <w:rsid w:val="00E740CC"/>
    <w:rsid w:val="00E75920"/>
    <w:rsid w:val="00E80D96"/>
    <w:rsid w:val="00E871FA"/>
    <w:rsid w:val="00E936A4"/>
    <w:rsid w:val="00E93A5B"/>
    <w:rsid w:val="00E954BB"/>
    <w:rsid w:val="00EA45E7"/>
    <w:rsid w:val="00EB1FEC"/>
    <w:rsid w:val="00EB44BF"/>
    <w:rsid w:val="00EB78E3"/>
    <w:rsid w:val="00EB7BE3"/>
    <w:rsid w:val="00EC0B31"/>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70E"/>
    <w:rsid w:val="00F60F1F"/>
    <w:rsid w:val="00F64141"/>
    <w:rsid w:val="00F67508"/>
    <w:rsid w:val="00F71FC9"/>
    <w:rsid w:val="00F73B48"/>
    <w:rsid w:val="00F74F51"/>
    <w:rsid w:val="00F842AD"/>
    <w:rsid w:val="00F914EB"/>
    <w:rsid w:val="00F91B85"/>
    <w:rsid w:val="00F938E7"/>
    <w:rsid w:val="00FA21F8"/>
    <w:rsid w:val="00FA3B17"/>
    <w:rsid w:val="00FA5E8D"/>
    <w:rsid w:val="00FA5F3D"/>
    <w:rsid w:val="00FA71A3"/>
    <w:rsid w:val="00FA71EE"/>
    <w:rsid w:val="00FB32AF"/>
    <w:rsid w:val="00FB399E"/>
    <w:rsid w:val="00FB7F50"/>
    <w:rsid w:val="00FC2A85"/>
    <w:rsid w:val="00FC40AF"/>
    <w:rsid w:val="00FC73B9"/>
    <w:rsid w:val="00FD0A16"/>
    <w:rsid w:val="00FD125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B6E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34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4006278">
      <w:bodyDiv w:val="1"/>
      <w:marLeft w:val="0"/>
      <w:marRight w:val="0"/>
      <w:marTop w:val="0"/>
      <w:marBottom w:val="0"/>
      <w:divBdr>
        <w:top w:val="none" w:sz="0" w:space="0" w:color="auto"/>
        <w:left w:val="none" w:sz="0" w:space="0" w:color="auto"/>
        <w:bottom w:val="none" w:sz="0" w:space="0" w:color="auto"/>
        <w:right w:val="none" w:sz="0" w:space="0" w:color="auto"/>
      </w:divBdr>
    </w:div>
    <w:div w:id="207684855">
      <w:bodyDiv w:val="1"/>
      <w:marLeft w:val="0"/>
      <w:marRight w:val="0"/>
      <w:marTop w:val="0"/>
      <w:marBottom w:val="0"/>
      <w:divBdr>
        <w:top w:val="none" w:sz="0" w:space="0" w:color="auto"/>
        <w:left w:val="none" w:sz="0" w:space="0" w:color="auto"/>
        <w:bottom w:val="none" w:sz="0" w:space="0" w:color="auto"/>
        <w:right w:val="none" w:sz="0" w:space="0" w:color="auto"/>
      </w:divBdr>
    </w:div>
    <w:div w:id="21084502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1554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261651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273077">
      <w:bodyDiv w:val="1"/>
      <w:marLeft w:val="0"/>
      <w:marRight w:val="0"/>
      <w:marTop w:val="0"/>
      <w:marBottom w:val="0"/>
      <w:divBdr>
        <w:top w:val="none" w:sz="0" w:space="0" w:color="auto"/>
        <w:left w:val="none" w:sz="0" w:space="0" w:color="auto"/>
        <w:bottom w:val="none" w:sz="0" w:space="0" w:color="auto"/>
        <w:right w:val="none" w:sz="0" w:space="0" w:color="auto"/>
      </w:divBdr>
    </w:div>
    <w:div w:id="320161708">
      <w:bodyDiv w:val="1"/>
      <w:marLeft w:val="0"/>
      <w:marRight w:val="0"/>
      <w:marTop w:val="0"/>
      <w:marBottom w:val="0"/>
      <w:divBdr>
        <w:top w:val="none" w:sz="0" w:space="0" w:color="auto"/>
        <w:left w:val="none" w:sz="0" w:space="0" w:color="auto"/>
        <w:bottom w:val="none" w:sz="0" w:space="0" w:color="auto"/>
        <w:right w:val="none" w:sz="0" w:space="0" w:color="auto"/>
      </w:divBdr>
    </w:div>
    <w:div w:id="37107470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029360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0184251">
      <w:bodyDiv w:val="1"/>
      <w:marLeft w:val="0"/>
      <w:marRight w:val="0"/>
      <w:marTop w:val="0"/>
      <w:marBottom w:val="0"/>
      <w:divBdr>
        <w:top w:val="none" w:sz="0" w:space="0" w:color="auto"/>
        <w:left w:val="none" w:sz="0" w:space="0" w:color="auto"/>
        <w:bottom w:val="none" w:sz="0" w:space="0" w:color="auto"/>
        <w:right w:val="none" w:sz="0" w:space="0" w:color="auto"/>
      </w:divBdr>
    </w:div>
    <w:div w:id="675959202">
      <w:bodyDiv w:val="1"/>
      <w:marLeft w:val="0"/>
      <w:marRight w:val="0"/>
      <w:marTop w:val="0"/>
      <w:marBottom w:val="0"/>
      <w:divBdr>
        <w:top w:val="none" w:sz="0" w:space="0" w:color="auto"/>
        <w:left w:val="none" w:sz="0" w:space="0" w:color="auto"/>
        <w:bottom w:val="none" w:sz="0" w:space="0" w:color="auto"/>
        <w:right w:val="none" w:sz="0" w:space="0" w:color="auto"/>
      </w:divBdr>
    </w:div>
    <w:div w:id="687948110">
      <w:bodyDiv w:val="1"/>
      <w:marLeft w:val="0"/>
      <w:marRight w:val="0"/>
      <w:marTop w:val="0"/>
      <w:marBottom w:val="0"/>
      <w:divBdr>
        <w:top w:val="none" w:sz="0" w:space="0" w:color="auto"/>
        <w:left w:val="none" w:sz="0" w:space="0" w:color="auto"/>
        <w:bottom w:val="none" w:sz="0" w:space="0" w:color="auto"/>
        <w:right w:val="none" w:sz="0" w:space="0" w:color="auto"/>
      </w:divBdr>
    </w:div>
    <w:div w:id="691030956">
      <w:bodyDiv w:val="1"/>
      <w:marLeft w:val="0"/>
      <w:marRight w:val="0"/>
      <w:marTop w:val="0"/>
      <w:marBottom w:val="0"/>
      <w:divBdr>
        <w:top w:val="none" w:sz="0" w:space="0" w:color="auto"/>
        <w:left w:val="none" w:sz="0" w:space="0" w:color="auto"/>
        <w:bottom w:val="none" w:sz="0" w:space="0" w:color="auto"/>
        <w:right w:val="none" w:sz="0" w:space="0" w:color="auto"/>
      </w:divBdr>
    </w:div>
    <w:div w:id="721832268">
      <w:bodyDiv w:val="1"/>
      <w:marLeft w:val="0"/>
      <w:marRight w:val="0"/>
      <w:marTop w:val="0"/>
      <w:marBottom w:val="0"/>
      <w:divBdr>
        <w:top w:val="none" w:sz="0" w:space="0" w:color="auto"/>
        <w:left w:val="none" w:sz="0" w:space="0" w:color="auto"/>
        <w:bottom w:val="none" w:sz="0" w:space="0" w:color="auto"/>
        <w:right w:val="none" w:sz="0" w:space="0" w:color="auto"/>
      </w:divBdr>
    </w:div>
    <w:div w:id="818154570">
      <w:bodyDiv w:val="1"/>
      <w:marLeft w:val="0"/>
      <w:marRight w:val="0"/>
      <w:marTop w:val="0"/>
      <w:marBottom w:val="0"/>
      <w:divBdr>
        <w:top w:val="none" w:sz="0" w:space="0" w:color="auto"/>
        <w:left w:val="none" w:sz="0" w:space="0" w:color="auto"/>
        <w:bottom w:val="none" w:sz="0" w:space="0" w:color="auto"/>
        <w:right w:val="none" w:sz="0" w:space="0" w:color="auto"/>
      </w:divBdr>
    </w:div>
    <w:div w:id="870917095">
      <w:bodyDiv w:val="1"/>
      <w:marLeft w:val="0"/>
      <w:marRight w:val="0"/>
      <w:marTop w:val="0"/>
      <w:marBottom w:val="0"/>
      <w:divBdr>
        <w:top w:val="none" w:sz="0" w:space="0" w:color="auto"/>
        <w:left w:val="none" w:sz="0" w:space="0" w:color="auto"/>
        <w:bottom w:val="none" w:sz="0" w:space="0" w:color="auto"/>
        <w:right w:val="none" w:sz="0" w:space="0" w:color="auto"/>
      </w:divBdr>
    </w:div>
    <w:div w:id="912543957">
      <w:bodyDiv w:val="1"/>
      <w:marLeft w:val="0"/>
      <w:marRight w:val="0"/>
      <w:marTop w:val="0"/>
      <w:marBottom w:val="0"/>
      <w:divBdr>
        <w:top w:val="none" w:sz="0" w:space="0" w:color="auto"/>
        <w:left w:val="none" w:sz="0" w:space="0" w:color="auto"/>
        <w:bottom w:val="none" w:sz="0" w:space="0" w:color="auto"/>
        <w:right w:val="none" w:sz="0" w:space="0" w:color="auto"/>
      </w:divBdr>
    </w:div>
    <w:div w:id="933435080">
      <w:bodyDiv w:val="1"/>
      <w:marLeft w:val="0"/>
      <w:marRight w:val="0"/>
      <w:marTop w:val="0"/>
      <w:marBottom w:val="0"/>
      <w:divBdr>
        <w:top w:val="none" w:sz="0" w:space="0" w:color="auto"/>
        <w:left w:val="none" w:sz="0" w:space="0" w:color="auto"/>
        <w:bottom w:val="none" w:sz="0" w:space="0" w:color="auto"/>
        <w:right w:val="none" w:sz="0" w:space="0" w:color="auto"/>
      </w:divBdr>
    </w:div>
    <w:div w:id="104641789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469775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5613422">
      <w:bodyDiv w:val="1"/>
      <w:marLeft w:val="0"/>
      <w:marRight w:val="0"/>
      <w:marTop w:val="0"/>
      <w:marBottom w:val="0"/>
      <w:divBdr>
        <w:top w:val="none" w:sz="0" w:space="0" w:color="auto"/>
        <w:left w:val="none" w:sz="0" w:space="0" w:color="auto"/>
        <w:bottom w:val="none" w:sz="0" w:space="0" w:color="auto"/>
        <w:right w:val="none" w:sz="0" w:space="0" w:color="auto"/>
      </w:divBdr>
    </w:div>
    <w:div w:id="139246327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8976144">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3611734">
      <w:bodyDiv w:val="1"/>
      <w:marLeft w:val="0"/>
      <w:marRight w:val="0"/>
      <w:marTop w:val="0"/>
      <w:marBottom w:val="0"/>
      <w:divBdr>
        <w:top w:val="none" w:sz="0" w:space="0" w:color="auto"/>
        <w:left w:val="none" w:sz="0" w:space="0" w:color="auto"/>
        <w:bottom w:val="none" w:sz="0" w:space="0" w:color="auto"/>
        <w:right w:val="none" w:sz="0" w:space="0" w:color="auto"/>
      </w:divBdr>
    </w:div>
    <w:div w:id="1607888141">
      <w:bodyDiv w:val="1"/>
      <w:marLeft w:val="0"/>
      <w:marRight w:val="0"/>
      <w:marTop w:val="0"/>
      <w:marBottom w:val="0"/>
      <w:divBdr>
        <w:top w:val="none" w:sz="0" w:space="0" w:color="auto"/>
        <w:left w:val="none" w:sz="0" w:space="0" w:color="auto"/>
        <w:bottom w:val="none" w:sz="0" w:space="0" w:color="auto"/>
        <w:right w:val="none" w:sz="0" w:space="0" w:color="auto"/>
      </w:divBdr>
    </w:div>
    <w:div w:id="1660884428">
      <w:bodyDiv w:val="1"/>
      <w:marLeft w:val="0"/>
      <w:marRight w:val="0"/>
      <w:marTop w:val="0"/>
      <w:marBottom w:val="0"/>
      <w:divBdr>
        <w:top w:val="none" w:sz="0" w:space="0" w:color="auto"/>
        <w:left w:val="none" w:sz="0" w:space="0" w:color="auto"/>
        <w:bottom w:val="none" w:sz="0" w:space="0" w:color="auto"/>
        <w:right w:val="none" w:sz="0" w:space="0" w:color="auto"/>
      </w:divBdr>
    </w:div>
    <w:div w:id="168467285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756860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8816193">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72/&#1575;&#1604;&#1585;&#1602;&#1740;" TargetMode="External"/><Relationship Id="rId3" Type="http://schemas.openxmlformats.org/officeDocument/2006/relationships/hyperlink" Target="http://lib.eshia.ir/11002/3/351/&#1578;&#1605;&#1578;&#1593;" TargetMode="External"/><Relationship Id="rId7" Type="http://schemas.openxmlformats.org/officeDocument/2006/relationships/hyperlink" Target="http://lib.eshia.ir/11005/4/150/&#1575;&#1604;&#1583;&#1617;&#1616;&#1610;&#1606;&#1614;&#1608;&#1614;&#1585;&#1616;&#1610;&#8207;" TargetMode="External"/><Relationship Id="rId2" Type="http://schemas.openxmlformats.org/officeDocument/2006/relationships/hyperlink" Target="http://lib.eshia.ir/11021/3/465/&#1578;&#1605;&#1578;&#1593;" TargetMode="External"/><Relationship Id="rId1" Type="http://schemas.openxmlformats.org/officeDocument/2006/relationships/hyperlink" Target="http://lib.eshia.ir/10083/8/157/&#1578;&#1605;&#1578;&#1593;" TargetMode="External"/><Relationship Id="rId6" Type="http://schemas.openxmlformats.org/officeDocument/2006/relationships/hyperlink" Target="http://lib.eshia.ir/14028/1/62/&#1575;&#1604;&#1586;&#1740;&#1578;&#1608;&#1606;&#1740;" TargetMode="External"/><Relationship Id="rId5" Type="http://schemas.openxmlformats.org/officeDocument/2006/relationships/hyperlink" Target="http://lib.eshia.ir/14028/1/185/&#1575;&#1604;&#1586;&#1740;&#1578;&#1608;&#1606;&#1740;" TargetMode="External"/><Relationship Id="rId10" Type="http://schemas.openxmlformats.org/officeDocument/2006/relationships/hyperlink" Target="http://lib.eshia.ir/14028/1/231/&#1579;&#1602;&#1575;&#1578;" TargetMode="External"/><Relationship Id="rId4" Type="http://schemas.openxmlformats.org/officeDocument/2006/relationships/hyperlink" Target="http://lib.eshia.ir/11002/3/351/&#1590;&#1593;&#1740;&#1601;" TargetMode="External"/><Relationship Id="rId9" Type="http://schemas.openxmlformats.org/officeDocument/2006/relationships/hyperlink" Target="http://lib.eshia.ir/10083/8/158/&#1575;&#1604;&#1591;&#1575;&#1591;&#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E7D7-DB03-4E5A-9634-2DDD9EA9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292</TotalTime>
  <Pages>6</Pages>
  <Words>1401</Words>
  <Characters>7991</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9374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117</cp:revision>
  <cp:lastPrinted>2020-10-03T14:20:00Z</cp:lastPrinted>
  <dcterms:created xsi:type="dcterms:W3CDTF">2020-10-03T09:25:00Z</dcterms:created>
  <dcterms:modified xsi:type="dcterms:W3CDTF">2020-12-09T04:08:00Z</dcterms:modified>
  <cp:contentStatus>ویرایش 2.5</cp:contentStatus>
  <cp:version>2.7</cp:version>
</cp:coreProperties>
</file>