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E13" w:rsidRDefault="007F4E13" w:rsidP="007F4E13">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7F4E13" w:rsidRDefault="007F4E13" w:rsidP="007F4E13">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45</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w:t>
      </w:r>
      <w:r>
        <w:rPr>
          <w:rFonts w:ascii="IRANSans" w:hAnsi="IRANSans" w:cs="IRANSans" w:hint="cs"/>
          <w:b/>
          <w:bCs/>
          <w:color w:val="0000FF"/>
          <w:sz w:val="24"/>
          <w:szCs w:val="24"/>
          <w:shd w:val="clear" w:color="auto" w:fill="FFFFFF"/>
          <w:rtl/>
        </w:rPr>
        <w:t>1</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1399 </w:t>
      </w:r>
      <w:r w:rsidRPr="00CB0736">
        <w:rPr>
          <w:rFonts w:ascii="IRANSans" w:hAnsi="IRANSans" w:cs="IRANSans"/>
          <w:b/>
          <w:bCs/>
          <w:color w:val="0000FF"/>
          <w:sz w:val="24"/>
          <w:szCs w:val="24"/>
          <w:shd w:val="clear" w:color="auto" w:fill="FFFFFF"/>
          <w:rtl/>
        </w:rPr>
        <w:t>شمول لا ضرر نسبت به احکام عدم</w:t>
      </w:r>
      <w:r w:rsidRPr="00CB0736">
        <w:rPr>
          <w:rFonts w:ascii="IRANSans" w:hAnsi="IRANSans" w:cs="IRANSans" w:hint="cs"/>
          <w:b/>
          <w:bCs/>
          <w:color w:val="0000FF"/>
          <w:sz w:val="24"/>
          <w:szCs w:val="24"/>
          <w:shd w:val="clear" w:color="auto" w:fill="FFFFFF"/>
          <w:rtl/>
        </w:rPr>
        <w:t>ی /</w:t>
      </w:r>
      <w:r w:rsidRPr="00CB0736">
        <w:rPr>
          <w:rFonts w:ascii="IRANSans" w:hAnsi="IRANSans" w:cs="IRANSans"/>
          <w:b/>
          <w:bCs/>
          <w:color w:val="0000FF"/>
          <w:sz w:val="24"/>
          <w:szCs w:val="24"/>
          <w:shd w:val="clear" w:color="auto" w:fill="FFFFFF"/>
          <w:rtl/>
        </w:rPr>
        <w:t>تنب</w:t>
      </w:r>
      <w:r w:rsidRPr="00CB0736">
        <w:rPr>
          <w:rFonts w:ascii="IRANSans" w:hAnsi="IRANSans" w:cs="IRANSans" w:hint="cs"/>
          <w:b/>
          <w:bCs/>
          <w:color w:val="0000FF"/>
          <w:sz w:val="24"/>
          <w:szCs w:val="24"/>
          <w:shd w:val="clear" w:color="auto" w:fill="FFFFFF"/>
          <w:rtl/>
        </w:rPr>
        <w:t>ی</w:t>
      </w:r>
      <w:r w:rsidRPr="00CB0736">
        <w:rPr>
          <w:rFonts w:ascii="IRANSans" w:hAnsi="IRANSans" w:cs="IRANSans" w:hint="eastAsia"/>
          <w:b/>
          <w:bCs/>
          <w:color w:val="0000FF"/>
          <w:sz w:val="24"/>
          <w:szCs w:val="24"/>
          <w:shd w:val="clear" w:color="auto" w:fill="FFFFFF"/>
          <w:rtl/>
        </w:rPr>
        <w:t>هات</w:t>
      </w:r>
      <w:r w:rsidRPr="00CB0736">
        <w:rPr>
          <w:rFonts w:ascii="IRANSans" w:hAnsi="IRANSans" w:cs="IRANSans" w:hint="cs"/>
          <w:b/>
          <w:bCs/>
          <w:color w:val="0000FF"/>
          <w:sz w:val="24"/>
          <w:szCs w:val="24"/>
          <w:shd w:val="clear" w:color="auto" w:fill="FFFFFF"/>
          <w:rtl/>
        </w:rPr>
        <w:t xml:space="preserve"> /</w:t>
      </w:r>
      <w:r w:rsidRPr="00CB0736">
        <w:rPr>
          <w:rFonts w:ascii="IRANSans" w:hAnsi="IRANSans" w:cs="IRANSans"/>
          <w:b/>
          <w:bCs/>
          <w:color w:val="0000FF"/>
          <w:sz w:val="24"/>
          <w:szCs w:val="24"/>
          <w:shd w:val="clear" w:color="auto" w:fill="FFFFFF"/>
          <w:rtl/>
        </w:rPr>
        <w:t>قاعده لا ضرر</w:t>
      </w:r>
    </w:p>
    <w:p w:rsidR="008F5B4D" w:rsidRPr="009C66D5" w:rsidRDefault="008F5B4D" w:rsidP="00463896">
      <w:pPr>
        <w:jc w:val="both"/>
        <w:rPr>
          <w:rStyle w:val="Emphasis"/>
          <w:b/>
          <w:bCs w:val="0"/>
          <w:rtl/>
        </w:rPr>
      </w:pPr>
      <w:bookmarkStart w:id="0" w:name="_GoBack"/>
      <w:bookmarkEnd w:id="0"/>
      <w:r w:rsidRPr="009C66D5">
        <w:rPr>
          <w:rStyle w:val="Emphasis"/>
          <w:rFonts w:hint="cs"/>
          <w:b/>
          <w:bCs w:val="0"/>
          <w:rtl/>
        </w:rPr>
        <w:t>خلاصه مباحث گذشته</w:t>
      </w:r>
      <w:r w:rsidR="00FC494C">
        <w:rPr>
          <w:rStyle w:val="Emphasis"/>
          <w:rFonts w:hint="cs"/>
          <w:b/>
          <w:bCs w:val="0"/>
          <w:rtl/>
        </w:rPr>
        <w:t xml:space="preserve"> و جلسه امروز</w:t>
      </w:r>
      <w:r w:rsidRPr="009C66D5">
        <w:rPr>
          <w:rStyle w:val="Emphasis"/>
          <w:rFonts w:hint="cs"/>
          <w:b/>
          <w:bCs w:val="0"/>
          <w:rtl/>
        </w:rPr>
        <w:t>:</w:t>
      </w:r>
    </w:p>
    <w:p w:rsidR="003A6148" w:rsidRDefault="00463896" w:rsidP="00463896">
      <w:pPr>
        <w:pBdr>
          <w:bottom w:val="double" w:sz="6" w:space="1" w:color="auto"/>
        </w:pBdr>
        <w:jc w:val="both"/>
        <w:rPr>
          <w:rtl/>
        </w:rPr>
      </w:pPr>
      <w:r>
        <w:rPr>
          <w:rFonts w:hint="cs"/>
          <w:rtl/>
        </w:rPr>
        <w:t xml:space="preserve">بحث درباره شمول «لا ضرر» نسبت به احکام عدمی بود. یکی از تطبیقات، جعل حق طلاق یا فسخ برای زوجه یا حاکم در فرض امتناع زوج از نفقه بود. مرحله سوم بحث، تمسک به روایات خاصه در مسأله بود که برخی از روایات در جلسه قبل مورد اشاره واقع شد. در این جلسه، بقیه روایات این مسأله بیان می شود و درباره سند و دلالت آنها بحث خواهد شد. </w:t>
      </w:r>
    </w:p>
    <w:p w:rsidR="00247D2F" w:rsidRPr="003A6148" w:rsidRDefault="00247D2F" w:rsidP="00463896">
      <w:pPr>
        <w:pBdr>
          <w:bottom w:val="double" w:sz="6" w:space="1" w:color="auto"/>
        </w:pBdr>
        <w:jc w:val="both"/>
      </w:pPr>
    </w:p>
    <w:p w:rsidR="008F5B4D" w:rsidRDefault="008F5B4D" w:rsidP="00463896">
      <w:pPr>
        <w:jc w:val="both"/>
      </w:pPr>
    </w:p>
    <w:p w:rsidR="00E24FF4" w:rsidRDefault="00E24FF4" w:rsidP="00E24FF4">
      <w:pPr>
        <w:pStyle w:val="Heading2"/>
        <w:rPr>
          <w:rtl/>
        </w:rPr>
      </w:pPr>
      <w:bookmarkStart w:id="1" w:name="_Toc51735265"/>
      <w:r>
        <w:rPr>
          <w:rFonts w:hint="cs"/>
          <w:rtl/>
        </w:rPr>
        <w:t>روایت جمیل</w:t>
      </w:r>
      <w:bookmarkEnd w:id="1"/>
      <w:r>
        <w:rPr>
          <w:rFonts w:hint="cs"/>
          <w:rtl/>
        </w:rPr>
        <w:t xml:space="preserve"> </w:t>
      </w:r>
    </w:p>
    <w:p w:rsidR="00E24FF4" w:rsidRDefault="00FC494C" w:rsidP="00463896">
      <w:pPr>
        <w:jc w:val="both"/>
        <w:rPr>
          <w:rtl/>
        </w:rPr>
      </w:pPr>
      <w:r>
        <w:rPr>
          <w:rFonts w:hint="cs"/>
          <w:rtl/>
        </w:rPr>
        <w:t xml:space="preserve">روایت هایی را مرور می کردیم که از آنها استفاده می شود مرد موظف است نفقه زن را پرداخت کند و اگر نفقه را پرداخت نکند، بین آن دو جدایی می افتد. یکی از </w:t>
      </w:r>
      <w:r w:rsidR="00E24FF4">
        <w:rPr>
          <w:rFonts w:hint="cs"/>
          <w:rtl/>
        </w:rPr>
        <w:t>این روایات، روایت جمی</w:t>
      </w:r>
      <w:r>
        <w:rPr>
          <w:rFonts w:hint="cs"/>
          <w:rtl/>
        </w:rPr>
        <w:t xml:space="preserve">ل بود. </w:t>
      </w:r>
    </w:p>
    <w:p w:rsidR="00E24FF4" w:rsidRDefault="00E24FF4" w:rsidP="00E24FF4">
      <w:pPr>
        <w:pStyle w:val="Heading3"/>
        <w:rPr>
          <w:rtl/>
        </w:rPr>
      </w:pPr>
      <w:bookmarkStart w:id="2" w:name="_Toc51735266"/>
      <w:r>
        <w:rPr>
          <w:rFonts w:hint="cs"/>
          <w:rtl/>
        </w:rPr>
        <w:t>بررسی سند روایت</w:t>
      </w:r>
      <w:bookmarkEnd w:id="2"/>
      <w:r>
        <w:rPr>
          <w:rFonts w:hint="cs"/>
          <w:rtl/>
        </w:rPr>
        <w:t xml:space="preserve"> </w:t>
      </w:r>
    </w:p>
    <w:p w:rsidR="00FC494C" w:rsidRDefault="00FC494C" w:rsidP="00463896">
      <w:pPr>
        <w:jc w:val="both"/>
        <w:rPr>
          <w:rtl/>
        </w:rPr>
      </w:pPr>
      <w:r>
        <w:rPr>
          <w:rFonts w:hint="cs"/>
          <w:rtl/>
        </w:rPr>
        <w:t>سند روایت به این صورت بود:</w:t>
      </w:r>
    </w:p>
    <w:p w:rsidR="00FC494C" w:rsidRPr="00A463F3" w:rsidRDefault="00A463F3" w:rsidP="00463896">
      <w:pPr>
        <w:jc w:val="both"/>
        <w:rPr>
          <w:color w:val="008000"/>
          <w:rtl/>
        </w:rPr>
      </w:pPr>
      <w:r w:rsidRPr="00A463F3">
        <w:rPr>
          <w:rFonts w:hint="cs"/>
          <w:color w:val="008000"/>
          <w:rtl/>
        </w:rPr>
        <w:t xml:space="preserve">جعفر بن محمد </w:t>
      </w:r>
      <w:r w:rsidRPr="00A463F3">
        <w:rPr>
          <w:color w:val="008000"/>
          <w:rtl/>
        </w:rPr>
        <w:t>بْنُ قُولَوَيْهِ عَنْ جَعْفَرِ بْنِ مُحَمَّدٍ عَنْ عَبْدِ اللَّهِ بْنِ نَهِيكٍ عَنِ ابْنِ أَبِي عُمَيْرٍ عَنْ عَلِيٍّ عَنْ جَمِيلٍ</w:t>
      </w:r>
      <w:r w:rsidRPr="00A463F3">
        <w:rPr>
          <w:rStyle w:val="FootnoteReference"/>
          <w:color w:val="008000"/>
          <w:rtl/>
        </w:rPr>
        <w:footnoteReference w:id="1"/>
      </w:r>
    </w:p>
    <w:p w:rsidR="00A463F3" w:rsidRDefault="00A463F3" w:rsidP="00463896">
      <w:pPr>
        <w:jc w:val="both"/>
        <w:rPr>
          <w:rtl/>
        </w:rPr>
      </w:pPr>
      <w:r>
        <w:rPr>
          <w:rFonts w:hint="cs"/>
          <w:rtl/>
        </w:rPr>
        <w:lastRenderedPageBreak/>
        <w:t>بیان شد: جعفر بن محمد، جعفر بن محمد بن ابراهیم موسوی است که مرحوم آقای خویی در معجم رجال اشاره می کند: محمد بن عثمان استاد نجاشی گاه از او الشریف الصالح تعبیر می کند و همین میزان در اثبات وثاقت کافی است.</w:t>
      </w:r>
      <w:r>
        <w:rPr>
          <w:rStyle w:val="FootnoteReference"/>
          <w:rtl/>
        </w:rPr>
        <w:footnoteReference w:id="2"/>
      </w:r>
      <w:r>
        <w:rPr>
          <w:rFonts w:hint="cs"/>
          <w:rtl/>
        </w:rPr>
        <w:t xml:space="preserve"> البته آقای خویی محمد بن عثمان را به خاطر استاد نجاشی بودن توثیق می کند و ما به خاطر اکثار نجاشی او را ثقه می دانیم نه صرف شیخوخی</w:t>
      </w:r>
      <w:r w:rsidR="00E24FF4">
        <w:rPr>
          <w:rFonts w:hint="cs"/>
          <w:rtl/>
        </w:rPr>
        <w:t>ّ</w:t>
      </w:r>
      <w:r>
        <w:rPr>
          <w:rFonts w:hint="cs"/>
          <w:rtl/>
        </w:rPr>
        <w:t xml:space="preserve">ت برای نجاشی. </w:t>
      </w:r>
    </w:p>
    <w:p w:rsidR="00A463F3" w:rsidRDefault="00A463F3" w:rsidP="00463896">
      <w:pPr>
        <w:jc w:val="both"/>
        <w:rPr>
          <w:rtl/>
        </w:rPr>
      </w:pPr>
      <w:r w:rsidRPr="00A463F3">
        <w:rPr>
          <w:rtl/>
        </w:rPr>
        <w:t>عَبْدِ اللَّهِ بْنِ نَهِيكٍ</w:t>
      </w:r>
      <w:r>
        <w:rPr>
          <w:rFonts w:hint="cs"/>
          <w:rtl/>
        </w:rPr>
        <w:t xml:space="preserve">، </w:t>
      </w:r>
      <w:r w:rsidR="00E24FF4">
        <w:rPr>
          <w:rFonts w:hint="cs"/>
          <w:rtl/>
        </w:rPr>
        <w:t xml:space="preserve">اشتباه است و </w:t>
      </w:r>
      <w:r>
        <w:rPr>
          <w:rFonts w:hint="cs"/>
          <w:rtl/>
        </w:rPr>
        <w:t xml:space="preserve">عبید الله صحیح است که مراد از او عبید الله بن احمد بن نهیک است که در اسناد زیادی واسطه بین ابن قولویه و ابن ابی عمیر قرار گرفته است. در اسناد نجاشی و طرق او </w:t>
      </w:r>
      <w:r w:rsidR="00E24FF4">
        <w:rPr>
          <w:rFonts w:hint="cs"/>
          <w:rtl/>
        </w:rPr>
        <w:t xml:space="preserve">نیز </w:t>
      </w:r>
      <w:r>
        <w:rPr>
          <w:rFonts w:hint="cs"/>
          <w:rtl/>
        </w:rPr>
        <w:t xml:space="preserve">فراوان وارد شده و توثیق صریح دارد. </w:t>
      </w:r>
    </w:p>
    <w:p w:rsidR="00A463F3" w:rsidRDefault="00A463F3" w:rsidP="00463896">
      <w:pPr>
        <w:jc w:val="both"/>
        <w:rPr>
          <w:rtl/>
        </w:rPr>
      </w:pPr>
      <w:r>
        <w:rPr>
          <w:rFonts w:hint="cs"/>
          <w:rtl/>
        </w:rPr>
        <w:t xml:space="preserve"> عن علیّ در سند زائد است و در نقل های دیگر وجود ندارد. وجه احتمالی اضافه شدن علی را نیز در جلسه قبل بیان کردیم. </w:t>
      </w:r>
    </w:p>
    <w:p w:rsidR="00E351E5" w:rsidRDefault="00A463F3" w:rsidP="00463896">
      <w:pPr>
        <w:jc w:val="both"/>
        <w:rPr>
          <w:rtl/>
        </w:rPr>
      </w:pPr>
      <w:r>
        <w:rPr>
          <w:rFonts w:hint="cs"/>
          <w:rtl/>
        </w:rPr>
        <w:t>سند بعدی</w:t>
      </w:r>
      <w:r w:rsidR="00E24FF4">
        <w:rPr>
          <w:rFonts w:hint="cs"/>
          <w:rtl/>
        </w:rPr>
        <w:t xml:space="preserve"> این روایت</w:t>
      </w:r>
      <w:r>
        <w:rPr>
          <w:rFonts w:hint="cs"/>
          <w:rtl/>
        </w:rPr>
        <w:t xml:space="preserve"> به این صورت است: </w:t>
      </w:r>
    </w:p>
    <w:p w:rsidR="00A463F3" w:rsidRDefault="00A463F3" w:rsidP="00463896">
      <w:pPr>
        <w:jc w:val="both"/>
        <w:rPr>
          <w:color w:val="008000"/>
          <w:rtl/>
        </w:rPr>
      </w:pPr>
      <w:r w:rsidRPr="006F1978">
        <w:rPr>
          <w:color w:val="008000"/>
          <w:rtl/>
        </w:rPr>
        <w:t>عَنْهُ</w:t>
      </w:r>
      <w:r>
        <w:rPr>
          <w:rFonts w:hint="cs"/>
          <w:color w:val="008000"/>
          <w:rtl/>
        </w:rPr>
        <w:t xml:space="preserve"> (الحسین بن سعید) </w:t>
      </w:r>
      <w:r w:rsidRPr="006F1978">
        <w:rPr>
          <w:color w:val="008000"/>
          <w:rtl/>
        </w:rPr>
        <w:t>عَنِ ابْنِ أَبِي عُمَيْرٍ عَنْ جَمِيلٍ عَنْ بَعْضِ أَصْحَابِنَا عَنْ أَحَدِهِمَا ع أَنَّهُ قَالَ:</w:t>
      </w:r>
      <w:r w:rsidRPr="006F1978">
        <w:rPr>
          <w:rStyle w:val="FootnoteReference"/>
          <w:color w:val="008000"/>
          <w:rtl/>
        </w:rPr>
        <w:footnoteReference w:id="3"/>
      </w:r>
      <w:r w:rsidRPr="006F1978">
        <w:rPr>
          <w:color w:val="008000"/>
          <w:rtl/>
        </w:rPr>
        <w:t xml:space="preserve">  </w:t>
      </w:r>
    </w:p>
    <w:p w:rsidR="00A463F3" w:rsidRDefault="00A463F3" w:rsidP="00463896">
      <w:pPr>
        <w:jc w:val="both"/>
        <w:rPr>
          <w:rtl/>
        </w:rPr>
      </w:pPr>
      <w:r>
        <w:rPr>
          <w:rFonts w:hint="cs"/>
          <w:rtl/>
        </w:rPr>
        <w:t>این سند تا جمی</w:t>
      </w:r>
      <w:r w:rsidR="00E24FF4">
        <w:rPr>
          <w:rFonts w:hint="cs"/>
          <w:rtl/>
        </w:rPr>
        <w:t>ل صحیح است و پس از او مرسل است.</w:t>
      </w:r>
      <w:r w:rsidR="00E24FF4">
        <w:rPr>
          <w:rStyle w:val="FootnoteReference"/>
          <w:rtl/>
        </w:rPr>
        <w:footnoteReference w:id="4"/>
      </w:r>
    </w:p>
    <w:p w:rsidR="00A463F3" w:rsidRPr="006A73FB" w:rsidRDefault="00A463F3" w:rsidP="00463896">
      <w:pPr>
        <w:jc w:val="both"/>
        <w:rPr>
          <w:color w:val="008000"/>
          <w:rtl/>
        </w:rPr>
      </w:pPr>
      <w:r w:rsidRPr="006A73FB">
        <w:rPr>
          <w:color w:val="008000"/>
          <w:rtl/>
        </w:rPr>
        <w:t>لَا يُجْبَرُ الرَّجُلُ إِلَّا عَلَى نَفَقَةِ الْأَبَوَيْنِ وَ الْوَلَدِ قَالَ قُلْتُ لِجَمِيلٍ فَالْمَرْأَةُ قَالَ قَدْ رَوَى أَصْحَابُنَا عَنْ أَحَدِهِمَا ع أَنَّهُ قَالَ إِذَا كَسَاهَا مَا يُوَارِي عَوْرَتَهَا وَ أَطْعَمَهَا مَا يُقِيمُ صُلْبَهَا قَامَتْ مَعَهُ وَ إِلَّا طَلَّقَهَا</w:t>
      </w:r>
    </w:p>
    <w:p w:rsidR="006A73FB" w:rsidRDefault="006A73FB" w:rsidP="00E24FF4">
      <w:pPr>
        <w:jc w:val="both"/>
        <w:rPr>
          <w:color w:val="000000"/>
          <w:rtl/>
        </w:rPr>
      </w:pPr>
      <w:r>
        <w:rPr>
          <w:rFonts w:hint="cs"/>
          <w:color w:val="000000"/>
          <w:rtl/>
        </w:rPr>
        <w:t xml:space="preserve">هر چند محلّ بحث روایت ذیلی است که جمیل نقل کرده اما شاید با توجه به اینکه جمیل و ابن ابی عمیر، بعض اصحابنا را معتبر می دانستند، بتوانیم بعض اصحابنا را تصحیح کنیم. </w:t>
      </w:r>
      <w:r w:rsidR="00E24FF4">
        <w:rPr>
          <w:rFonts w:hint="cs"/>
          <w:color w:val="000000"/>
          <w:rtl/>
        </w:rPr>
        <w:t>«</w:t>
      </w:r>
      <w:r>
        <w:rPr>
          <w:rFonts w:hint="cs"/>
          <w:color w:val="000000"/>
          <w:rtl/>
        </w:rPr>
        <w:t>روی اصحابنا</w:t>
      </w:r>
      <w:r w:rsidR="00E24FF4">
        <w:rPr>
          <w:rFonts w:hint="cs"/>
          <w:color w:val="000000"/>
          <w:rtl/>
        </w:rPr>
        <w:t>»</w:t>
      </w:r>
      <w:r>
        <w:rPr>
          <w:rFonts w:hint="cs"/>
          <w:color w:val="000000"/>
          <w:rtl/>
        </w:rPr>
        <w:t xml:space="preserve"> در ذیل روایت را نیز ممکن است تصحیح کنیم به این بیان که </w:t>
      </w:r>
      <w:r w:rsidR="00E24FF4">
        <w:rPr>
          <w:rFonts w:hint="cs"/>
          <w:color w:val="000000"/>
          <w:rtl/>
        </w:rPr>
        <w:t xml:space="preserve">«روی اصحابنا» </w:t>
      </w:r>
      <w:r>
        <w:rPr>
          <w:rFonts w:hint="cs"/>
          <w:color w:val="000000"/>
          <w:rtl/>
        </w:rPr>
        <w:t>ظهور در نقل افراد متعدّد</w:t>
      </w:r>
      <w:r w:rsidR="00876A1E">
        <w:rPr>
          <w:rFonts w:hint="cs"/>
          <w:color w:val="000000"/>
          <w:rtl/>
        </w:rPr>
        <w:t xml:space="preserve"> در عرض هم از احدهما ع</w:t>
      </w:r>
      <w:r>
        <w:rPr>
          <w:rFonts w:hint="cs"/>
          <w:color w:val="000000"/>
          <w:rtl/>
        </w:rPr>
        <w:t xml:space="preserve"> دارد و همین کافی برای </w:t>
      </w:r>
      <w:r w:rsidR="00E24FF4">
        <w:rPr>
          <w:rFonts w:hint="cs"/>
          <w:color w:val="000000"/>
          <w:rtl/>
        </w:rPr>
        <w:t>اعتبار</w:t>
      </w:r>
      <w:r>
        <w:rPr>
          <w:rFonts w:hint="cs"/>
          <w:color w:val="000000"/>
          <w:rtl/>
        </w:rPr>
        <w:t xml:space="preserve"> است.</w:t>
      </w:r>
      <w:r w:rsidR="00876A1E">
        <w:rPr>
          <w:rFonts w:hint="cs"/>
          <w:color w:val="000000"/>
          <w:rtl/>
        </w:rPr>
        <w:t xml:space="preserve"> هر چند </w:t>
      </w:r>
      <w:r w:rsidR="00E24FF4">
        <w:rPr>
          <w:rFonts w:hint="cs"/>
          <w:color w:val="000000"/>
          <w:rtl/>
        </w:rPr>
        <w:t xml:space="preserve">«روی اصحابنا» </w:t>
      </w:r>
      <w:r w:rsidR="00876A1E">
        <w:rPr>
          <w:rFonts w:hint="cs"/>
          <w:color w:val="000000"/>
          <w:rtl/>
        </w:rPr>
        <w:t>می تواند به این معنا باشد که این روایت نقل شده نه آنکه راوی متعدد باشد اما در مورد بحث</w:t>
      </w:r>
      <w:r>
        <w:rPr>
          <w:rFonts w:hint="cs"/>
          <w:color w:val="000000"/>
          <w:rtl/>
        </w:rPr>
        <w:t xml:space="preserve"> </w:t>
      </w:r>
      <w:r w:rsidR="00876A1E">
        <w:rPr>
          <w:rFonts w:hint="cs"/>
          <w:color w:val="000000"/>
          <w:rtl/>
        </w:rPr>
        <w:t>با توجه به وجود روایات زیاد در مسأله از امام باقر و امام صادق ع، ظهور در تعدّد راوی دارد. البته در روایات متعدّد «فر</w:t>
      </w:r>
      <w:r w:rsidR="00E24FF4">
        <w:rPr>
          <w:rFonts w:hint="cs"/>
          <w:color w:val="000000"/>
          <w:rtl/>
        </w:rPr>
        <w:t>ّ</w:t>
      </w:r>
      <w:r w:rsidR="00876A1E">
        <w:rPr>
          <w:rFonts w:hint="cs"/>
          <w:color w:val="000000"/>
          <w:rtl/>
        </w:rPr>
        <w:t xml:space="preserve">ق بینهما» نقل شده نه «طلّقا» </w:t>
      </w:r>
    </w:p>
    <w:p w:rsidR="00876A1E" w:rsidRDefault="00876A1E" w:rsidP="00463896">
      <w:pPr>
        <w:jc w:val="both"/>
        <w:rPr>
          <w:color w:val="008000"/>
          <w:rtl/>
        </w:rPr>
      </w:pPr>
      <w:r>
        <w:rPr>
          <w:rFonts w:hint="cs"/>
          <w:color w:val="000000"/>
          <w:rtl/>
        </w:rPr>
        <w:t xml:space="preserve">در ادامه روایت آمده است: </w:t>
      </w:r>
      <w:r w:rsidRPr="00876A1E">
        <w:rPr>
          <w:color w:val="008000"/>
          <w:rtl/>
        </w:rPr>
        <w:t>قَالَ قُلْتُ لِجَمِيلٍ فَهَلْ يُجْبَرُ عَلَى نَفَقَةِ الْأُخْتِ قَالَ إِنْ أُجْبِرَ عَلَى نَفَقَةِ الْأُخْتِ كَانَ ذَلِكَ خِلَافَ الرِّوَايَةِ.</w:t>
      </w:r>
    </w:p>
    <w:p w:rsidR="00876A1E" w:rsidRDefault="00876A1E" w:rsidP="00E24FF4">
      <w:pPr>
        <w:jc w:val="both"/>
        <w:rPr>
          <w:rtl/>
        </w:rPr>
      </w:pPr>
      <w:r>
        <w:rPr>
          <w:rFonts w:hint="cs"/>
          <w:rtl/>
        </w:rPr>
        <w:t xml:space="preserve">این ذیل نیز نشان می دهد، </w:t>
      </w:r>
      <w:r w:rsidR="00E24FF4">
        <w:rPr>
          <w:rFonts w:hint="cs"/>
          <w:rtl/>
        </w:rPr>
        <w:t xml:space="preserve">جمیل </w:t>
      </w:r>
      <w:r>
        <w:rPr>
          <w:rFonts w:hint="cs"/>
          <w:rtl/>
        </w:rPr>
        <w:t xml:space="preserve">روایت </w:t>
      </w:r>
      <w:r w:rsidR="00E24FF4">
        <w:rPr>
          <w:rFonts w:hint="cs"/>
          <w:color w:val="000000"/>
          <w:rtl/>
        </w:rPr>
        <w:t xml:space="preserve">«روی اصحابنا» </w:t>
      </w:r>
      <w:r>
        <w:rPr>
          <w:rFonts w:hint="cs"/>
          <w:rtl/>
        </w:rPr>
        <w:t xml:space="preserve">را معتبر می داند و اصحاب ناقل روایت، اصحاب معتبر می باشد. </w:t>
      </w:r>
    </w:p>
    <w:p w:rsidR="00876A1E" w:rsidRDefault="00876A1E" w:rsidP="00463896">
      <w:pPr>
        <w:jc w:val="both"/>
        <w:rPr>
          <w:color w:val="008000"/>
          <w:rtl/>
        </w:rPr>
      </w:pPr>
      <w:r>
        <w:rPr>
          <w:rFonts w:hint="cs"/>
          <w:rtl/>
        </w:rPr>
        <w:t xml:space="preserve">ذیل نقل کافی آمده است: </w:t>
      </w:r>
      <w:r w:rsidRPr="00876A1E">
        <w:rPr>
          <w:color w:val="008000"/>
          <w:rtl/>
        </w:rPr>
        <w:t>قُلْتُ لِجَمِيلٍ وَ الْمَرْأَةُ قَالَ قَدْ رُوِيَ عَنْ عَنْبَسَةَ- عَنْ أَبِي عَبْدِ اللَّهِ ع‏</w:t>
      </w:r>
      <w:r>
        <w:rPr>
          <w:rStyle w:val="FootnoteReference"/>
          <w:color w:val="008000"/>
          <w:rtl/>
        </w:rPr>
        <w:footnoteReference w:id="5"/>
      </w:r>
    </w:p>
    <w:p w:rsidR="00EA2530" w:rsidRPr="00EA2530" w:rsidRDefault="00EA2530" w:rsidP="00463896">
      <w:pPr>
        <w:jc w:val="both"/>
        <w:rPr>
          <w:rtl/>
        </w:rPr>
      </w:pPr>
      <w:r>
        <w:rPr>
          <w:rFonts w:hint="cs"/>
          <w:rtl/>
        </w:rPr>
        <w:lastRenderedPageBreak/>
        <w:t xml:space="preserve">در نقل دیگری که تهذیب از کافی نقل کرده اما به این سند در کافی نیست، این گونه آمده: </w:t>
      </w:r>
    </w:p>
    <w:p w:rsidR="00876A1E" w:rsidRDefault="00876A1E" w:rsidP="00463896">
      <w:pPr>
        <w:jc w:val="both"/>
        <w:rPr>
          <w:color w:val="008000"/>
          <w:rtl/>
        </w:rPr>
      </w:pPr>
      <w:r w:rsidRPr="00876A1E">
        <w:rPr>
          <w:color w:val="008000"/>
          <w:rtl/>
        </w:rPr>
        <w:t>محمد بن يعقوب عن محمّد بن إسماعيل عن الفضل بن شاذان عن ابن أبى عمير عن جميل مثله غير أ نّه قال قلت لجميل فالمرأة قال قد روى أصحابنا وهو عنبسة بن مصعب وسورة بن كليب عن أحدهما</w:t>
      </w:r>
      <w:r w:rsidR="00B83BED">
        <w:rPr>
          <w:rFonts w:hint="cs"/>
          <w:color w:val="008000"/>
          <w:rtl/>
        </w:rPr>
        <w:t xml:space="preserve"> ع</w:t>
      </w:r>
      <w:r w:rsidRPr="00876A1E">
        <w:rPr>
          <w:color w:val="008000"/>
          <w:rtl/>
        </w:rPr>
        <w:t>.</w:t>
      </w:r>
      <w:r>
        <w:rPr>
          <w:rStyle w:val="FootnoteReference"/>
          <w:color w:val="008000"/>
          <w:rtl/>
        </w:rPr>
        <w:footnoteReference w:id="6"/>
      </w:r>
    </w:p>
    <w:p w:rsidR="00EA2530" w:rsidRDefault="00B83BED" w:rsidP="00E24FF4">
      <w:pPr>
        <w:jc w:val="both"/>
        <w:rPr>
          <w:rtl/>
        </w:rPr>
      </w:pPr>
      <w:r>
        <w:rPr>
          <w:rFonts w:hint="cs"/>
          <w:rtl/>
        </w:rPr>
        <w:t xml:space="preserve">به نظر می رسد، نقل های مختلف نشانگر این است که می توان نقل </w:t>
      </w:r>
      <w:r w:rsidRPr="006A73FB">
        <w:rPr>
          <w:color w:val="008000"/>
          <w:rtl/>
        </w:rPr>
        <w:t>قَدْ رَوَى أَصْحَابُنَا عَنْ أَحَدِهِمَا ع</w:t>
      </w:r>
      <w:r>
        <w:rPr>
          <w:rFonts w:hint="cs"/>
          <w:color w:val="008000"/>
          <w:rtl/>
        </w:rPr>
        <w:t xml:space="preserve"> </w:t>
      </w:r>
      <w:r w:rsidRPr="00B83BED">
        <w:rPr>
          <w:rFonts w:hint="cs"/>
          <w:rtl/>
        </w:rPr>
        <w:t xml:space="preserve">را </w:t>
      </w:r>
      <w:r>
        <w:rPr>
          <w:rFonts w:hint="cs"/>
          <w:rtl/>
        </w:rPr>
        <w:t xml:space="preserve">تصحیح کرد. عنبسه بن مصعب و سوره بن کلیب نیز قابل توثیق هستند. آقای سیستانی نیز که تعبیر کرده روایت معتبر است، به خاطر </w:t>
      </w:r>
      <w:r w:rsidR="00E24FF4">
        <w:rPr>
          <w:rFonts w:hint="cs"/>
          <w:color w:val="000000"/>
          <w:rtl/>
        </w:rPr>
        <w:t xml:space="preserve">«روی اصحابنا» </w:t>
      </w:r>
      <w:r>
        <w:rPr>
          <w:rFonts w:hint="cs"/>
          <w:rtl/>
        </w:rPr>
        <w:t xml:space="preserve">است که شاید بتوان آن را اعتبار بخشید. نفس نقل ها و نحوه آنها، نشان می دهد جمیل نقل عنبسه و سوره را معتبر می </w:t>
      </w:r>
      <w:r w:rsidR="00E24FF4">
        <w:rPr>
          <w:rFonts w:hint="cs"/>
          <w:rtl/>
        </w:rPr>
        <w:t xml:space="preserve">دانسته است. </w:t>
      </w:r>
      <w:r>
        <w:rPr>
          <w:rFonts w:hint="cs"/>
          <w:rtl/>
        </w:rPr>
        <w:t xml:space="preserve"> </w:t>
      </w:r>
    </w:p>
    <w:p w:rsidR="00E24FF4" w:rsidRDefault="00E24FF4" w:rsidP="00E24FF4">
      <w:pPr>
        <w:pStyle w:val="Heading3"/>
        <w:rPr>
          <w:rtl/>
        </w:rPr>
      </w:pPr>
      <w:bookmarkStart w:id="3" w:name="_Toc51735267"/>
      <w:r>
        <w:rPr>
          <w:rFonts w:hint="cs"/>
          <w:rtl/>
        </w:rPr>
        <w:t>مضمون روایت</w:t>
      </w:r>
      <w:bookmarkEnd w:id="3"/>
      <w:r>
        <w:rPr>
          <w:rFonts w:hint="cs"/>
          <w:rtl/>
        </w:rPr>
        <w:t xml:space="preserve"> </w:t>
      </w:r>
    </w:p>
    <w:p w:rsidR="00B83BED" w:rsidRDefault="00B83BED" w:rsidP="00E24FF4">
      <w:pPr>
        <w:jc w:val="both"/>
        <w:rPr>
          <w:rtl/>
        </w:rPr>
      </w:pPr>
      <w:r>
        <w:rPr>
          <w:rFonts w:hint="cs"/>
          <w:rtl/>
        </w:rPr>
        <w:t xml:space="preserve">مضمون این روایت این گونه فهم می شود که: مرد درباره ابوین و ولد به صورت تعیینی بر انفاق اجبار می شود اما درباره زوجه، به خصوص نفقه مجبور نمی شود و بر جامع انفاق و طلاق اجبار می شود. حاکم زوجه را مجبور به احدهما می کند به این صورت که یا نفقه بده یا طلاق بده. از این روایت استفاده نمی شود که اگر زوج از نفقه و طلاق امتناع کرد، حاکم کدام یک را از طرف زوج انجام می دهد؟ پس تفاوت بین والدین و ولد از یک سو و زوجه از سوی دیگر این است که در والدین و ولد، اجبار بر خصوص نفقه است و در زوجه، اجبار بر احدهماست. </w:t>
      </w:r>
    </w:p>
    <w:p w:rsidR="00E24FF4" w:rsidRDefault="00E24FF4" w:rsidP="00E24FF4">
      <w:pPr>
        <w:jc w:val="both"/>
        <w:rPr>
          <w:rtl/>
        </w:rPr>
      </w:pPr>
      <w:r>
        <w:rPr>
          <w:rFonts w:hint="cs"/>
          <w:rtl/>
        </w:rPr>
        <w:t>در جمع بندی سند روایات مسأله باید گفت:</w:t>
      </w:r>
    </w:p>
    <w:p w:rsidR="00B83BED" w:rsidRDefault="00E5602A" w:rsidP="00463896">
      <w:pPr>
        <w:jc w:val="both"/>
        <w:rPr>
          <w:rtl/>
        </w:rPr>
      </w:pPr>
      <w:r>
        <w:rPr>
          <w:rFonts w:hint="cs"/>
          <w:rtl/>
        </w:rPr>
        <w:t>اولا:</w:t>
      </w:r>
      <w:r w:rsidR="00B83BED">
        <w:rPr>
          <w:rFonts w:hint="cs"/>
          <w:rtl/>
        </w:rPr>
        <w:t xml:space="preserve"> تعدّد روایات</w:t>
      </w:r>
      <w:r>
        <w:rPr>
          <w:rFonts w:hint="cs"/>
          <w:rtl/>
        </w:rPr>
        <w:t xml:space="preserve"> با وجود تفاوت هایی در متن،</w:t>
      </w:r>
      <w:r w:rsidR="00B83BED">
        <w:rPr>
          <w:rFonts w:hint="cs"/>
          <w:rtl/>
        </w:rPr>
        <w:t xml:space="preserve"> باعث قطع به صدور فی الجمله این روایات می شود. </w:t>
      </w:r>
    </w:p>
    <w:p w:rsidR="00E5602A" w:rsidRDefault="00E5602A" w:rsidP="00463896">
      <w:pPr>
        <w:jc w:val="both"/>
        <w:rPr>
          <w:rtl/>
        </w:rPr>
      </w:pPr>
      <w:r>
        <w:rPr>
          <w:rFonts w:hint="cs"/>
          <w:rtl/>
        </w:rPr>
        <w:t>ثانیا: سند برخی از این روایات معتبر است.</w:t>
      </w:r>
    </w:p>
    <w:p w:rsidR="00E24FF4" w:rsidRDefault="00E24FF4" w:rsidP="00E24FF4">
      <w:pPr>
        <w:pStyle w:val="Heading2"/>
        <w:rPr>
          <w:rtl/>
        </w:rPr>
      </w:pPr>
      <w:bookmarkStart w:id="4" w:name="_Toc51735268"/>
      <w:r>
        <w:rPr>
          <w:rFonts w:hint="cs"/>
          <w:rtl/>
        </w:rPr>
        <w:t>بررسی اعراض اصحاب از روایات مسأله</w:t>
      </w:r>
      <w:bookmarkEnd w:id="4"/>
      <w:r>
        <w:rPr>
          <w:rFonts w:hint="cs"/>
          <w:rtl/>
        </w:rPr>
        <w:t xml:space="preserve"> </w:t>
      </w:r>
    </w:p>
    <w:p w:rsidR="00C6462F" w:rsidRDefault="00E5602A" w:rsidP="00463896">
      <w:pPr>
        <w:jc w:val="both"/>
        <w:rPr>
          <w:rtl/>
        </w:rPr>
      </w:pPr>
      <w:r>
        <w:rPr>
          <w:rFonts w:hint="cs"/>
          <w:rtl/>
        </w:rPr>
        <w:t xml:space="preserve">آقای سیستانی از مرحوم نائینی نقل می کند که این روایات از دو جهت قابل اسناد نیست. </w:t>
      </w:r>
    </w:p>
    <w:p w:rsidR="00E5602A" w:rsidRDefault="00E5602A" w:rsidP="00463896">
      <w:pPr>
        <w:jc w:val="both"/>
        <w:rPr>
          <w:rtl/>
        </w:rPr>
      </w:pPr>
      <w:r>
        <w:rPr>
          <w:rFonts w:hint="cs"/>
          <w:rtl/>
        </w:rPr>
        <w:t>اول آنکه، معمول بها نیستند چون قدمای ما دو گروه هستند برخی قائلند زن باید صبر کند و برخی مانند ابن جنید قائلند زن حق فسخ عقد دارد. اما ثبوت حق طلاق بین قدما قائل ندارد. آقای سیستانی می فرماید: شاید توقف علمایی که در مسأله توقف کرده اند، به خاطر عدم اطلاع بر صحت سند این روایات</w:t>
      </w:r>
      <w:r w:rsidR="00C6462F">
        <w:rPr>
          <w:rFonts w:hint="cs"/>
          <w:rtl/>
        </w:rPr>
        <w:t xml:space="preserve"> باشد همانگونه که صاحب حدائق نیز به این مطلب اشاره کرده است.</w:t>
      </w:r>
      <w:r w:rsidR="00C6462F" w:rsidRPr="00C6462F">
        <w:rPr>
          <w:rFonts w:hint="cs"/>
          <w:rtl/>
        </w:rPr>
        <w:t xml:space="preserve"> </w:t>
      </w:r>
      <w:r w:rsidR="00C6462F">
        <w:rPr>
          <w:rFonts w:hint="cs"/>
          <w:rtl/>
        </w:rPr>
        <w:t>آقای سیستانی می فرماید: ظاهرا شیخ صدوق و کلینی که این روایت را نقل کرده اند، به مضمون آن عمل کرده اند. از برخی از فقهای دیگر ظاهر می شود که به این روایت عمل کرده اند. از برخی از علمای ما نقل</w:t>
      </w:r>
      <w:r w:rsidR="00E24FF4">
        <w:rPr>
          <w:rFonts w:hint="cs"/>
          <w:rtl/>
        </w:rPr>
        <w:t xml:space="preserve"> شده</w:t>
      </w:r>
      <w:r w:rsidR="00C6462F">
        <w:rPr>
          <w:rFonts w:hint="cs"/>
          <w:rtl/>
        </w:rPr>
        <w:t xml:space="preserve"> که حاکم شرع بین زن و شوهر جدایی می اندازد. پس این گونه نیست که روایات غیر معمول بها باشد.</w:t>
      </w:r>
      <w:r w:rsidR="00C6462F">
        <w:rPr>
          <w:rStyle w:val="FootnoteReference"/>
          <w:rtl/>
        </w:rPr>
        <w:footnoteReference w:id="7"/>
      </w:r>
      <w:r>
        <w:rPr>
          <w:rFonts w:hint="cs"/>
          <w:rtl/>
        </w:rPr>
        <w:t xml:space="preserve"> </w:t>
      </w:r>
    </w:p>
    <w:p w:rsidR="00C6462F" w:rsidRDefault="00C6462F" w:rsidP="00463896">
      <w:pPr>
        <w:jc w:val="both"/>
        <w:rPr>
          <w:rtl/>
        </w:rPr>
      </w:pPr>
      <w:r>
        <w:rPr>
          <w:rFonts w:hint="cs"/>
          <w:rtl/>
        </w:rPr>
        <w:t>اولین فقیهی</w:t>
      </w:r>
      <w:r w:rsidR="00E24FF4">
        <w:rPr>
          <w:rStyle w:val="FootnoteReference"/>
          <w:rtl/>
        </w:rPr>
        <w:footnoteReference w:id="8"/>
      </w:r>
      <w:r>
        <w:rPr>
          <w:rFonts w:hint="cs"/>
          <w:rtl/>
        </w:rPr>
        <w:t xml:space="preserve"> که جدایی بین زن و مرد توسط حاکم را مطرح کرده، ابن ادریس در سرائر است: </w:t>
      </w:r>
    </w:p>
    <w:p w:rsidR="00C6462F" w:rsidRPr="0043272F" w:rsidRDefault="00C6462F" w:rsidP="00463896">
      <w:pPr>
        <w:jc w:val="both"/>
        <w:rPr>
          <w:color w:val="000080"/>
          <w:rtl/>
        </w:rPr>
      </w:pPr>
      <w:r w:rsidRPr="0043272F">
        <w:rPr>
          <w:color w:val="000080"/>
          <w:rtl/>
        </w:rPr>
        <w:t>و متى لم يقم الرجل بنفقة زوجته و كسوتها و سكناها، و كان متمكنا من ذلك، ألزمه الإمام النفقة و القيام بجميع ذلك، أو الطلاق، فإن لم يكن متمكنا انظر، حتى يوسّع اللّ</w:t>
      </w:r>
      <w:r w:rsidRPr="0043272F">
        <w:rPr>
          <w:rFonts w:hint="cs"/>
          <w:color w:val="000080"/>
          <w:rtl/>
        </w:rPr>
        <w:t>ه</w:t>
      </w:r>
      <w:r w:rsidRPr="0043272F">
        <w:rPr>
          <w:color w:val="000080"/>
          <w:rtl/>
        </w:rPr>
        <w:t xml:space="preserve"> </w:t>
      </w:r>
      <w:r w:rsidRPr="0043272F">
        <w:rPr>
          <w:rFonts w:hint="cs"/>
          <w:color w:val="000080"/>
          <w:rtl/>
        </w:rPr>
        <w:t>عليه،</w:t>
      </w:r>
      <w:r w:rsidRPr="0043272F">
        <w:rPr>
          <w:color w:val="000080"/>
          <w:rtl/>
        </w:rPr>
        <w:t xml:space="preserve"> على الأظهر من أقوال أصحابنا، و قال بعضهم: يبينها الحاكم منه، و الأول هو المذهب، لأنّ اللّ</w:t>
      </w:r>
      <w:r w:rsidRPr="0043272F">
        <w:rPr>
          <w:rFonts w:hint="cs"/>
          <w:color w:val="000080"/>
          <w:rtl/>
        </w:rPr>
        <w:t>ه</w:t>
      </w:r>
      <w:r w:rsidRPr="0043272F">
        <w:rPr>
          <w:color w:val="000080"/>
          <w:rtl/>
        </w:rPr>
        <w:t xml:space="preserve"> </w:t>
      </w:r>
      <w:r w:rsidRPr="0043272F">
        <w:rPr>
          <w:rFonts w:hint="cs"/>
          <w:color w:val="000080"/>
          <w:rtl/>
        </w:rPr>
        <w:t>تعالى</w:t>
      </w:r>
      <w:r w:rsidRPr="0043272F">
        <w:rPr>
          <w:color w:val="000080"/>
          <w:rtl/>
        </w:rPr>
        <w:t xml:space="preserve"> </w:t>
      </w:r>
      <w:r w:rsidRPr="0043272F">
        <w:rPr>
          <w:rFonts w:hint="cs"/>
          <w:color w:val="000080"/>
          <w:rtl/>
        </w:rPr>
        <w:t>قال</w:t>
      </w:r>
      <w:r w:rsidRPr="0043272F">
        <w:rPr>
          <w:color w:val="000080"/>
          <w:rtl/>
        </w:rPr>
        <w:t xml:space="preserve"> </w:t>
      </w:r>
      <w:r w:rsidRPr="0043272F">
        <w:rPr>
          <w:rFonts w:hint="cs"/>
          <w:color w:val="000080"/>
          <w:rtl/>
        </w:rPr>
        <w:t>«وَ</w:t>
      </w:r>
      <w:r w:rsidRPr="0043272F">
        <w:rPr>
          <w:color w:val="000080"/>
          <w:rtl/>
        </w:rPr>
        <w:t xml:space="preserve"> </w:t>
      </w:r>
      <w:r w:rsidRPr="0043272F">
        <w:rPr>
          <w:rFonts w:hint="cs"/>
          <w:color w:val="000080"/>
          <w:rtl/>
        </w:rPr>
        <w:t>إِنْ</w:t>
      </w:r>
      <w:r w:rsidRPr="0043272F">
        <w:rPr>
          <w:color w:val="000080"/>
          <w:rtl/>
        </w:rPr>
        <w:t xml:space="preserve"> </w:t>
      </w:r>
      <w:r w:rsidRPr="0043272F">
        <w:rPr>
          <w:rFonts w:hint="cs"/>
          <w:color w:val="000080"/>
          <w:rtl/>
        </w:rPr>
        <w:t>كانَ</w:t>
      </w:r>
      <w:r w:rsidRPr="0043272F">
        <w:rPr>
          <w:color w:val="000080"/>
          <w:rtl/>
        </w:rPr>
        <w:t xml:space="preserve"> </w:t>
      </w:r>
      <w:r w:rsidRPr="0043272F">
        <w:rPr>
          <w:rFonts w:hint="cs"/>
          <w:color w:val="000080"/>
          <w:rtl/>
        </w:rPr>
        <w:t>ذُو</w:t>
      </w:r>
      <w:r w:rsidRPr="0043272F">
        <w:rPr>
          <w:color w:val="000080"/>
          <w:rtl/>
        </w:rPr>
        <w:t xml:space="preserve"> </w:t>
      </w:r>
      <w:r w:rsidRPr="0043272F">
        <w:rPr>
          <w:rFonts w:hint="cs"/>
          <w:color w:val="000080"/>
          <w:rtl/>
        </w:rPr>
        <w:t>عُسْرَةٍ</w:t>
      </w:r>
      <w:r w:rsidRPr="0043272F">
        <w:rPr>
          <w:color w:val="000080"/>
          <w:rtl/>
        </w:rPr>
        <w:t xml:space="preserve"> </w:t>
      </w:r>
      <w:r w:rsidRPr="0043272F">
        <w:rPr>
          <w:rFonts w:hint="cs"/>
          <w:color w:val="000080"/>
          <w:rtl/>
        </w:rPr>
        <w:t>فَنَظِرَةٌ</w:t>
      </w:r>
      <w:r w:rsidRPr="0043272F">
        <w:rPr>
          <w:color w:val="000080"/>
          <w:rtl/>
        </w:rPr>
        <w:t xml:space="preserve"> </w:t>
      </w:r>
      <w:r w:rsidRPr="0043272F">
        <w:rPr>
          <w:rFonts w:hint="cs"/>
          <w:color w:val="000080"/>
          <w:rtl/>
        </w:rPr>
        <w:t>إِلى</w:t>
      </w:r>
      <w:r w:rsidRPr="0043272F">
        <w:rPr>
          <w:color w:val="000080"/>
          <w:rtl/>
        </w:rPr>
        <w:t xml:space="preserve"> </w:t>
      </w:r>
      <w:r w:rsidRPr="0043272F">
        <w:rPr>
          <w:rFonts w:hint="cs"/>
          <w:color w:val="000080"/>
          <w:rtl/>
        </w:rPr>
        <w:t>مَيْسَرَةٍ»</w:t>
      </w:r>
      <w:r w:rsidRPr="0043272F">
        <w:rPr>
          <w:color w:val="000080"/>
          <w:rtl/>
        </w:rPr>
        <w:t xml:space="preserve"> </w:t>
      </w:r>
      <w:r w:rsidRPr="0043272F">
        <w:rPr>
          <w:rFonts w:hint="cs"/>
          <w:color w:val="000080"/>
          <w:rtl/>
        </w:rPr>
        <w:t>و</w:t>
      </w:r>
      <w:r w:rsidRPr="0043272F">
        <w:rPr>
          <w:color w:val="000080"/>
          <w:rtl/>
        </w:rPr>
        <w:t xml:space="preserve"> </w:t>
      </w:r>
      <w:r w:rsidRPr="0043272F">
        <w:rPr>
          <w:rFonts w:hint="cs"/>
          <w:color w:val="000080"/>
          <w:rtl/>
        </w:rPr>
        <w:t>ذلك</w:t>
      </w:r>
      <w:r w:rsidRPr="0043272F">
        <w:rPr>
          <w:color w:val="000080"/>
          <w:rtl/>
        </w:rPr>
        <w:t xml:space="preserve"> </w:t>
      </w:r>
      <w:r w:rsidRPr="0043272F">
        <w:rPr>
          <w:rFonts w:hint="cs"/>
          <w:color w:val="000080"/>
          <w:rtl/>
        </w:rPr>
        <w:t>عام</w:t>
      </w:r>
      <w:r w:rsidRPr="0043272F">
        <w:rPr>
          <w:color w:val="000080"/>
          <w:rtl/>
        </w:rPr>
        <w:t xml:space="preserve"> </w:t>
      </w:r>
      <w:r w:rsidRPr="0043272F">
        <w:rPr>
          <w:rFonts w:hint="cs"/>
          <w:color w:val="000080"/>
          <w:rtl/>
        </w:rPr>
        <w:t>في</w:t>
      </w:r>
      <w:r w:rsidRPr="0043272F">
        <w:rPr>
          <w:color w:val="000080"/>
          <w:rtl/>
        </w:rPr>
        <w:t xml:space="preserve"> </w:t>
      </w:r>
      <w:r w:rsidRPr="0043272F">
        <w:rPr>
          <w:rFonts w:hint="cs"/>
          <w:color w:val="000080"/>
          <w:rtl/>
        </w:rPr>
        <w:t>جميع</w:t>
      </w:r>
      <w:r w:rsidRPr="0043272F">
        <w:rPr>
          <w:color w:val="000080"/>
          <w:rtl/>
        </w:rPr>
        <w:t xml:space="preserve"> </w:t>
      </w:r>
      <w:r w:rsidRPr="0043272F">
        <w:rPr>
          <w:rFonts w:hint="cs"/>
          <w:color w:val="000080"/>
          <w:rtl/>
        </w:rPr>
        <w:t>الأشياء،</w:t>
      </w:r>
      <w:r w:rsidRPr="0043272F">
        <w:rPr>
          <w:color w:val="000080"/>
          <w:rtl/>
        </w:rPr>
        <w:t xml:space="preserve"> </w:t>
      </w:r>
      <w:r w:rsidRPr="0043272F">
        <w:rPr>
          <w:rFonts w:hint="cs"/>
          <w:color w:val="000080"/>
          <w:rtl/>
        </w:rPr>
        <w:t>و</w:t>
      </w:r>
      <w:r w:rsidRPr="0043272F">
        <w:rPr>
          <w:color w:val="000080"/>
          <w:rtl/>
        </w:rPr>
        <w:t xml:space="preserve"> </w:t>
      </w:r>
      <w:r w:rsidRPr="0043272F">
        <w:rPr>
          <w:rFonts w:hint="cs"/>
          <w:color w:val="000080"/>
          <w:rtl/>
        </w:rPr>
        <w:t>الأحكام</w:t>
      </w:r>
      <w:r w:rsidRPr="0043272F">
        <w:rPr>
          <w:color w:val="000080"/>
          <w:rtl/>
        </w:rPr>
        <w:t>.</w:t>
      </w:r>
      <w:r w:rsidRPr="0043272F">
        <w:rPr>
          <w:rStyle w:val="FootnoteReference"/>
          <w:color w:val="000080"/>
          <w:rtl/>
        </w:rPr>
        <w:footnoteReference w:id="9"/>
      </w:r>
    </w:p>
    <w:p w:rsidR="00C6462F" w:rsidRDefault="00C6462F" w:rsidP="00463896">
      <w:pPr>
        <w:jc w:val="both"/>
        <w:rPr>
          <w:rtl/>
        </w:rPr>
      </w:pPr>
      <w:r>
        <w:rPr>
          <w:rFonts w:hint="cs"/>
          <w:rtl/>
        </w:rPr>
        <w:t>قسمت ابتدایی کلام ابن ادریس، عبارت نهایه است با تغییراتی در آن.</w:t>
      </w:r>
      <w:r>
        <w:rPr>
          <w:rStyle w:val="FootnoteReference"/>
          <w:rtl/>
        </w:rPr>
        <w:footnoteReference w:id="10"/>
      </w:r>
    </w:p>
    <w:p w:rsidR="00C6462F" w:rsidRDefault="00C6462F" w:rsidP="00463896">
      <w:pPr>
        <w:jc w:val="both"/>
        <w:rPr>
          <w:rtl/>
        </w:rPr>
      </w:pPr>
      <w:r>
        <w:rPr>
          <w:rFonts w:hint="cs"/>
          <w:rtl/>
        </w:rPr>
        <w:t xml:space="preserve">بعد از ابن ادریس، در ایضاح الفوائد آمده است: </w:t>
      </w:r>
    </w:p>
    <w:p w:rsidR="00C6462F" w:rsidRDefault="00C6462F" w:rsidP="00463896">
      <w:pPr>
        <w:jc w:val="both"/>
        <w:rPr>
          <w:color w:val="000080"/>
          <w:rtl/>
        </w:rPr>
      </w:pPr>
      <w:r w:rsidRPr="0043272F">
        <w:rPr>
          <w:color w:val="000080"/>
          <w:rtl/>
        </w:rPr>
        <w:t>و نقل شيخنا نجم الدين بن سعيد عن بعض علمائنا ان الحاكم يفرّق بينهما</w:t>
      </w:r>
      <w:r w:rsidRPr="0043272F">
        <w:rPr>
          <w:rStyle w:val="FootnoteReference"/>
          <w:color w:val="000080"/>
          <w:rtl/>
        </w:rPr>
        <w:footnoteReference w:id="11"/>
      </w:r>
    </w:p>
    <w:p w:rsidR="0043272F" w:rsidRDefault="0043272F" w:rsidP="00E24FF4">
      <w:pPr>
        <w:jc w:val="both"/>
        <w:rPr>
          <w:rtl/>
        </w:rPr>
      </w:pPr>
      <w:r>
        <w:rPr>
          <w:rFonts w:hint="cs"/>
          <w:rtl/>
        </w:rPr>
        <w:t>شیخنا نجم الدین بن سعید</w:t>
      </w:r>
      <w:r w:rsidR="00E24FF4">
        <w:rPr>
          <w:rFonts w:hint="cs"/>
          <w:rtl/>
        </w:rPr>
        <w:t>،</w:t>
      </w:r>
      <w:r>
        <w:rPr>
          <w:rFonts w:hint="cs"/>
          <w:rtl/>
        </w:rPr>
        <w:t xml:space="preserve"> محقق حلی است که نویسنده شرایع و مختصر النافع است اما نمی دانم محقق حلی در چه کتابی این مطلب را نقل کرده است. احتمال دارد محقق به اعتبار </w:t>
      </w:r>
      <w:r w:rsidR="00E24FF4">
        <w:rPr>
          <w:rFonts w:hint="cs"/>
          <w:rtl/>
        </w:rPr>
        <w:t>نقل</w:t>
      </w:r>
      <w:r>
        <w:rPr>
          <w:rFonts w:hint="cs"/>
          <w:rtl/>
        </w:rPr>
        <w:t xml:space="preserve"> ابن ادریس این مطلب را نقل کرده باشد. محقق در نکت النهایه این مسأله را مورد بررسی قرار داده است. در خلاف نیز بحثی در زمینه این روایت وجود دارد. </w:t>
      </w:r>
    </w:p>
    <w:p w:rsidR="00E24FF4" w:rsidRDefault="0043272F" w:rsidP="00463896">
      <w:pPr>
        <w:jc w:val="both"/>
        <w:rPr>
          <w:rtl/>
        </w:rPr>
      </w:pPr>
      <w:r>
        <w:rPr>
          <w:rFonts w:hint="cs"/>
          <w:rtl/>
        </w:rPr>
        <w:t xml:space="preserve">در هیچ یک از این مباحث علما، اشاره ای به روایات متعدّد موجود در مسأله نشده است. شاید مورد این روایات را متمکّن می دانستند. صاحب حدائق نیز این روایات را بر صورت موسر حمل کرده است. آقای سیستانی می فرماید: ظاهرا این روایات اطلاق دارد و به خصوص موسر اختصاص ندارد. مناسب است عبارت شیخ طوسی در خلاف و محقق در نکت النهایه نقل شود. </w:t>
      </w:r>
    </w:p>
    <w:p w:rsidR="00E24FF4" w:rsidRDefault="00E24FF4" w:rsidP="00E24FF4">
      <w:pPr>
        <w:pStyle w:val="Heading3"/>
        <w:rPr>
          <w:rtl/>
        </w:rPr>
      </w:pPr>
      <w:bookmarkStart w:id="5" w:name="_Toc51735269"/>
      <w:r>
        <w:rPr>
          <w:rFonts w:hint="cs"/>
          <w:rtl/>
        </w:rPr>
        <w:t>کلام شیخ طوسی در خلاف</w:t>
      </w:r>
      <w:bookmarkEnd w:id="5"/>
      <w:r>
        <w:rPr>
          <w:rFonts w:hint="cs"/>
          <w:rtl/>
        </w:rPr>
        <w:t xml:space="preserve"> </w:t>
      </w:r>
    </w:p>
    <w:p w:rsidR="0043272F" w:rsidRDefault="0043272F" w:rsidP="00463896">
      <w:pPr>
        <w:jc w:val="both"/>
        <w:rPr>
          <w:rtl/>
        </w:rPr>
      </w:pPr>
      <w:r>
        <w:rPr>
          <w:rFonts w:hint="cs"/>
          <w:rtl/>
        </w:rPr>
        <w:t>شیخ طوسی در خلاف این مسأله را مطرح کرده که از آن برداشت می شود این مسأله از قدیم اختلافی بوده است. شیخ طوسی در مسأله 15 می نویسد:</w:t>
      </w:r>
    </w:p>
    <w:p w:rsidR="0043272F" w:rsidRDefault="0043272F" w:rsidP="00463896">
      <w:pPr>
        <w:jc w:val="both"/>
        <w:rPr>
          <w:color w:val="000080"/>
          <w:rtl/>
        </w:rPr>
      </w:pPr>
      <w:r w:rsidRPr="00EE315F">
        <w:rPr>
          <w:color w:val="000080"/>
          <w:rtl/>
        </w:rPr>
        <w:t>إذا أعسر، فلم يقدر على النفقة على زوجته، لم تملك زوجته الفسخ، و عليها أن تصبر إلى أن يوسر. و به قال من التابعين الزهري، و عطاء بن يسار، و اليه ذهب أهل الكوفة ابن أبي ليلى، و ابن شبرمة، و أبو حنيفة، و أبو يوسف، و محمد.</w:t>
      </w:r>
    </w:p>
    <w:p w:rsidR="00EE315F" w:rsidRPr="00EE315F" w:rsidRDefault="00EE315F" w:rsidP="00463896">
      <w:pPr>
        <w:jc w:val="both"/>
        <w:rPr>
          <w:rtl/>
        </w:rPr>
      </w:pPr>
      <w:r>
        <w:rPr>
          <w:rFonts w:hint="cs"/>
          <w:rtl/>
        </w:rPr>
        <w:t xml:space="preserve">محمد، محمد بن حسن شیبانی است که شاگرد ابوحنیفه بوده است. </w:t>
      </w:r>
    </w:p>
    <w:p w:rsidR="00EE315F" w:rsidRDefault="0043272F" w:rsidP="00463896">
      <w:pPr>
        <w:jc w:val="both"/>
        <w:rPr>
          <w:color w:val="000080"/>
          <w:rtl/>
        </w:rPr>
      </w:pPr>
      <w:r w:rsidRPr="00EE315F">
        <w:rPr>
          <w:color w:val="000080"/>
          <w:rtl/>
        </w:rPr>
        <w:t>و قال الشافعي: هي مخيرة بين أن تصبر حتى إذا أيسر استوفت ما اجتمع لها، و بين أن تختار الفسخ، فيفسخ الحاكم بينهما.</w:t>
      </w:r>
    </w:p>
    <w:p w:rsidR="00EE315F" w:rsidRPr="00EE315F" w:rsidRDefault="00EE315F" w:rsidP="00463896">
      <w:pPr>
        <w:jc w:val="both"/>
        <w:rPr>
          <w:rtl/>
        </w:rPr>
      </w:pPr>
      <w:r>
        <w:rPr>
          <w:rFonts w:hint="cs"/>
          <w:rtl/>
        </w:rPr>
        <w:t xml:space="preserve">اختیار فسخ زوجه و لو با مراجعه به حاکم و اعمال فسخ توسط حاکم است. </w:t>
      </w:r>
    </w:p>
    <w:p w:rsidR="0043272F" w:rsidRPr="00EE315F" w:rsidRDefault="0043272F" w:rsidP="00463896">
      <w:pPr>
        <w:jc w:val="both"/>
        <w:rPr>
          <w:color w:val="000080"/>
          <w:rtl/>
        </w:rPr>
      </w:pPr>
      <w:r w:rsidRPr="00EE315F">
        <w:rPr>
          <w:color w:val="000080"/>
          <w:rtl/>
        </w:rPr>
        <w:t xml:space="preserve"> و كذلك إذا أعسر بالصداق‌</w:t>
      </w:r>
      <w:r w:rsidR="00EE315F" w:rsidRPr="00EE315F">
        <w:rPr>
          <w:rFonts w:hint="cs"/>
          <w:color w:val="000080"/>
          <w:rtl/>
        </w:rPr>
        <w:t xml:space="preserve"> </w:t>
      </w:r>
      <w:r w:rsidRPr="00EE315F">
        <w:rPr>
          <w:color w:val="000080"/>
          <w:rtl/>
        </w:rPr>
        <w:t>قبل الدخول، فالاعسار عيب بذمته، فلها الفسخ</w:t>
      </w:r>
      <w:r w:rsidRPr="00EE315F">
        <w:rPr>
          <w:rFonts w:hint="cs"/>
          <w:color w:val="000080"/>
          <w:rtl/>
        </w:rPr>
        <w:t xml:space="preserve">. </w:t>
      </w:r>
      <w:r w:rsidRPr="00EE315F">
        <w:rPr>
          <w:color w:val="000080"/>
          <w:rtl/>
        </w:rPr>
        <w:t>و به قال في الصحابة على ما رووه علي عليه السلام، و عمر، و أبو هريرة، و في التابعين سعيد بن المسيب و سليمان بن يسار، و عطاء بن أبي رباح، و في الفقهاء حماد بن أبي سليمان، و ربيعة بن أبي عبد الرحمن، و مالك، و أحمد، و إسحاق.</w:t>
      </w:r>
    </w:p>
    <w:p w:rsidR="00EE315F" w:rsidRDefault="0043272F" w:rsidP="00463896">
      <w:pPr>
        <w:jc w:val="both"/>
        <w:rPr>
          <w:color w:val="000080"/>
          <w:rtl/>
        </w:rPr>
      </w:pPr>
      <w:r w:rsidRPr="00EE315F">
        <w:rPr>
          <w:color w:val="000080"/>
          <w:rtl/>
        </w:rPr>
        <w:t>دليلنا: قوله تعالى «وَ إِنْ ك</w:t>
      </w:r>
      <w:r w:rsidRPr="00EE315F">
        <w:rPr>
          <w:rFonts w:hint="cs"/>
          <w:color w:val="000080"/>
          <w:rtl/>
        </w:rPr>
        <w:t>انَ</w:t>
      </w:r>
      <w:r w:rsidRPr="00EE315F">
        <w:rPr>
          <w:color w:val="000080"/>
          <w:rtl/>
        </w:rPr>
        <w:t xml:space="preserve"> </w:t>
      </w:r>
      <w:r w:rsidRPr="00EE315F">
        <w:rPr>
          <w:rFonts w:hint="cs"/>
          <w:color w:val="000080"/>
          <w:rtl/>
        </w:rPr>
        <w:t>ذُو</w:t>
      </w:r>
      <w:r w:rsidRPr="00EE315F">
        <w:rPr>
          <w:color w:val="000080"/>
          <w:rtl/>
        </w:rPr>
        <w:t xml:space="preserve"> </w:t>
      </w:r>
      <w:r w:rsidRPr="00EE315F">
        <w:rPr>
          <w:rFonts w:hint="cs"/>
          <w:color w:val="000080"/>
          <w:rtl/>
        </w:rPr>
        <w:t>عُسْرَةٍ</w:t>
      </w:r>
      <w:r w:rsidRPr="00EE315F">
        <w:rPr>
          <w:color w:val="000080"/>
          <w:rtl/>
        </w:rPr>
        <w:t xml:space="preserve"> </w:t>
      </w:r>
      <w:r w:rsidRPr="00EE315F">
        <w:rPr>
          <w:rFonts w:hint="cs"/>
          <w:color w:val="000080"/>
          <w:rtl/>
        </w:rPr>
        <w:t>فَنَظِرَةٌ</w:t>
      </w:r>
      <w:r w:rsidRPr="00EE315F">
        <w:rPr>
          <w:color w:val="000080"/>
          <w:rtl/>
        </w:rPr>
        <w:t xml:space="preserve"> </w:t>
      </w:r>
      <w:r w:rsidRPr="00EE315F">
        <w:rPr>
          <w:rFonts w:hint="cs"/>
          <w:color w:val="000080"/>
          <w:rtl/>
        </w:rPr>
        <w:t>إِلى</w:t>
      </w:r>
      <w:r w:rsidRPr="00EE315F">
        <w:rPr>
          <w:color w:val="000080"/>
          <w:rtl/>
        </w:rPr>
        <w:t xml:space="preserve"> </w:t>
      </w:r>
      <w:r w:rsidRPr="00EE315F">
        <w:rPr>
          <w:rFonts w:hint="cs"/>
          <w:color w:val="000080"/>
          <w:rtl/>
        </w:rPr>
        <w:t>مَيْسَرَةٍ»</w:t>
      </w:r>
      <w:r w:rsidRPr="00EE315F">
        <w:rPr>
          <w:color w:val="000080"/>
          <w:rtl/>
        </w:rPr>
        <w:t xml:space="preserve"> </w:t>
      </w:r>
      <w:r w:rsidRPr="00EE315F">
        <w:rPr>
          <w:rFonts w:hint="cs"/>
          <w:color w:val="000080"/>
          <w:rtl/>
        </w:rPr>
        <w:t>و</w:t>
      </w:r>
      <w:r w:rsidRPr="00EE315F">
        <w:rPr>
          <w:color w:val="000080"/>
          <w:rtl/>
        </w:rPr>
        <w:t xml:space="preserve"> </w:t>
      </w:r>
      <w:r w:rsidRPr="00EE315F">
        <w:rPr>
          <w:rFonts w:hint="cs"/>
          <w:color w:val="000080"/>
          <w:rtl/>
        </w:rPr>
        <w:t>لم</w:t>
      </w:r>
      <w:r w:rsidRPr="00EE315F">
        <w:rPr>
          <w:color w:val="000080"/>
          <w:rtl/>
        </w:rPr>
        <w:t xml:space="preserve"> </w:t>
      </w:r>
      <w:r w:rsidRPr="00EE315F">
        <w:rPr>
          <w:rFonts w:hint="cs"/>
          <w:color w:val="000080"/>
          <w:rtl/>
        </w:rPr>
        <w:t>يفصل،</w:t>
      </w:r>
    </w:p>
    <w:p w:rsidR="00EE315F" w:rsidRPr="00EE315F" w:rsidRDefault="00EE315F" w:rsidP="00463896">
      <w:pPr>
        <w:jc w:val="both"/>
        <w:rPr>
          <w:rtl/>
        </w:rPr>
      </w:pPr>
      <w:r>
        <w:rPr>
          <w:rFonts w:hint="cs"/>
          <w:rtl/>
        </w:rPr>
        <w:t xml:space="preserve">به این معنا که بین مردی که بدهکار زنش است و سایر بدهکاران تفصیل قائل نشده است. </w:t>
      </w:r>
    </w:p>
    <w:p w:rsidR="00EE315F" w:rsidRDefault="0043272F" w:rsidP="00E24FF4">
      <w:pPr>
        <w:jc w:val="both"/>
        <w:rPr>
          <w:color w:val="000080"/>
          <w:rtl/>
        </w:rPr>
      </w:pPr>
      <w:r w:rsidRPr="00EE315F">
        <w:rPr>
          <w:color w:val="000080"/>
          <w:rtl/>
        </w:rPr>
        <w:t xml:space="preserve"> </w:t>
      </w:r>
      <w:r w:rsidRPr="00EE315F">
        <w:rPr>
          <w:rFonts w:hint="cs"/>
          <w:color w:val="000080"/>
          <w:rtl/>
        </w:rPr>
        <w:t>و</w:t>
      </w:r>
      <w:r w:rsidRPr="00EE315F">
        <w:rPr>
          <w:color w:val="000080"/>
          <w:rtl/>
        </w:rPr>
        <w:t xml:space="preserve"> </w:t>
      </w:r>
      <w:r w:rsidRPr="00EE315F">
        <w:rPr>
          <w:rFonts w:hint="cs"/>
          <w:color w:val="000080"/>
          <w:rtl/>
        </w:rPr>
        <w:t>قال</w:t>
      </w:r>
      <w:r w:rsidRPr="00EE315F">
        <w:rPr>
          <w:color w:val="000080"/>
          <w:rtl/>
        </w:rPr>
        <w:t xml:space="preserve"> </w:t>
      </w:r>
      <w:r w:rsidRPr="00EE315F">
        <w:rPr>
          <w:rFonts w:hint="cs"/>
          <w:color w:val="000080"/>
          <w:rtl/>
        </w:rPr>
        <w:t>تعالى</w:t>
      </w:r>
      <w:r w:rsidRPr="00EE315F">
        <w:rPr>
          <w:color w:val="000080"/>
          <w:rtl/>
        </w:rPr>
        <w:t xml:space="preserve"> </w:t>
      </w:r>
      <w:r w:rsidRPr="00EE315F">
        <w:rPr>
          <w:rFonts w:hint="cs"/>
          <w:color w:val="000080"/>
          <w:rtl/>
        </w:rPr>
        <w:t>«وَ</w:t>
      </w:r>
      <w:r w:rsidRPr="00EE315F">
        <w:rPr>
          <w:color w:val="000080"/>
          <w:rtl/>
        </w:rPr>
        <w:t xml:space="preserve"> </w:t>
      </w:r>
      <w:r w:rsidRPr="00EE315F">
        <w:rPr>
          <w:rFonts w:hint="cs"/>
          <w:color w:val="000080"/>
          <w:rtl/>
        </w:rPr>
        <w:t>أَنْكِحُوا</w:t>
      </w:r>
      <w:r w:rsidRPr="00EE315F">
        <w:rPr>
          <w:color w:val="000080"/>
          <w:rtl/>
        </w:rPr>
        <w:t xml:space="preserve"> </w:t>
      </w:r>
      <w:r w:rsidRPr="00EE315F">
        <w:rPr>
          <w:rFonts w:hint="cs"/>
          <w:color w:val="000080"/>
          <w:rtl/>
        </w:rPr>
        <w:t>الْأَيامى</w:t>
      </w:r>
      <w:r w:rsidRPr="00EE315F">
        <w:rPr>
          <w:color w:val="000080"/>
          <w:rtl/>
        </w:rPr>
        <w:t xml:space="preserve"> </w:t>
      </w:r>
      <w:r w:rsidRPr="00EE315F">
        <w:rPr>
          <w:rFonts w:hint="cs"/>
          <w:color w:val="000080"/>
          <w:rtl/>
        </w:rPr>
        <w:t>مِنْكُمْ</w:t>
      </w:r>
      <w:r w:rsidRPr="00EE315F">
        <w:rPr>
          <w:color w:val="000080"/>
          <w:rtl/>
        </w:rPr>
        <w:t xml:space="preserve"> </w:t>
      </w:r>
      <w:r w:rsidRPr="00EE315F">
        <w:rPr>
          <w:rFonts w:hint="cs"/>
          <w:color w:val="000080"/>
          <w:rtl/>
        </w:rPr>
        <w:t>وَ</w:t>
      </w:r>
      <w:r w:rsidRPr="00EE315F">
        <w:rPr>
          <w:color w:val="000080"/>
          <w:rtl/>
        </w:rPr>
        <w:t xml:space="preserve"> </w:t>
      </w:r>
      <w:r w:rsidRPr="00EE315F">
        <w:rPr>
          <w:rFonts w:hint="cs"/>
          <w:color w:val="000080"/>
          <w:rtl/>
        </w:rPr>
        <w:t>الصّالِحِينَ</w:t>
      </w:r>
      <w:r w:rsidRPr="00EE315F">
        <w:rPr>
          <w:color w:val="000080"/>
          <w:rtl/>
        </w:rPr>
        <w:t xml:space="preserve"> </w:t>
      </w:r>
      <w:r w:rsidRPr="00EE315F">
        <w:rPr>
          <w:rFonts w:hint="cs"/>
          <w:color w:val="000080"/>
          <w:rtl/>
        </w:rPr>
        <w:t>مِنْ</w:t>
      </w:r>
      <w:r w:rsidRPr="00EE315F">
        <w:rPr>
          <w:color w:val="000080"/>
          <w:rtl/>
        </w:rPr>
        <w:t xml:space="preserve"> </w:t>
      </w:r>
      <w:r w:rsidRPr="00EE315F">
        <w:rPr>
          <w:rFonts w:hint="cs"/>
          <w:color w:val="000080"/>
          <w:rtl/>
        </w:rPr>
        <w:t>عِبادِكُمْ</w:t>
      </w:r>
      <w:r w:rsidRPr="00EE315F">
        <w:rPr>
          <w:color w:val="000080"/>
          <w:rtl/>
        </w:rPr>
        <w:t xml:space="preserve"> </w:t>
      </w:r>
      <w:r w:rsidRPr="00EE315F">
        <w:rPr>
          <w:rFonts w:hint="cs"/>
          <w:color w:val="000080"/>
          <w:rtl/>
        </w:rPr>
        <w:t>وَ</w:t>
      </w:r>
      <w:r w:rsidRPr="00EE315F">
        <w:rPr>
          <w:color w:val="000080"/>
          <w:rtl/>
        </w:rPr>
        <w:t xml:space="preserve"> </w:t>
      </w:r>
      <w:r w:rsidRPr="00EE315F">
        <w:rPr>
          <w:rFonts w:hint="cs"/>
          <w:color w:val="000080"/>
          <w:rtl/>
        </w:rPr>
        <w:t>إِمائِكُمْ</w:t>
      </w:r>
      <w:r w:rsidRPr="00EE315F">
        <w:rPr>
          <w:color w:val="000080"/>
          <w:rtl/>
        </w:rPr>
        <w:t xml:space="preserve"> </w:t>
      </w:r>
      <w:r w:rsidRPr="00EE315F">
        <w:rPr>
          <w:rFonts w:hint="cs"/>
          <w:color w:val="000080"/>
          <w:rtl/>
        </w:rPr>
        <w:t>إِنْ</w:t>
      </w:r>
      <w:r w:rsidRPr="00EE315F">
        <w:rPr>
          <w:color w:val="000080"/>
          <w:rtl/>
        </w:rPr>
        <w:t xml:space="preserve"> </w:t>
      </w:r>
      <w:r w:rsidRPr="00EE315F">
        <w:rPr>
          <w:rFonts w:hint="cs"/>
          <w:color w:val="000080"/>
          <w:rtl/>
        </w:rPr>
        <w:t>يَكُونُوا</w:t>
      </w:r>
      <w:r w:rsidRPr="00EE315F">
        <w:rPr>
          <w:color w:val="000080"/>
          <w:rtl/>
        </w:rPr>
        <w:t xml:space="preserve"> </w:t>
      </w:r>
      <w:r w:rsidRPr="00EE315F">
        <w:rPr>
          <w:rFonts w:hint="cs"/>
          <w:color w:val="000080"/>
          <w:rtl/>
        </w:rPr>
        <w:t>فُقَراءَ</w:t>
      </w:r>
      <w:r w:rsidRPr="00EE315F">
        <w:rPr>
          <w:color w:val="000080"/>
          <w:rtl/>
        </w:rPr>
        <w:t xml:space="preserve"> </w:t>
      </w:r>
      <w:r w:rsidRPr="00EE315F">
        <w:rPr>
          <w:rFonts w:hint="cs"/>
          <w:color w:val="000080"/>
          <w:rtl/>
        </w:rPr>
        <w:t>يُغْنِهِمُ</w:t>
      </w:r>
      <w:r w:rsidRPr="00EE315F">
        <w:rPr>
          <w:color w:val="000080"/>
          <w:rtl/>
        </w:rPr>
        <w:t xml:space="preserve"> </w:t>
      </w:r>
      <w:r w:rsidRPr="00EE315F">
        <w:rPr>
          <w:rFonts w:hint="cs"/>
          <w:color w:val="000080"/>
          <w:rtl/>
        </w:rPr>
        <w:t>اللّهُ</w:t>
      </w:r>
      <w:r w:rsidRPr="00EE315F">
        <w:rPr>
          <w:color w:val="000080"/>
          <w:rtl/>
        </w:rPr>
        <w:t xml:space="preserve"> </w:t>
      </w:r>
      <w:r w:rsidRPr="00EE315F">
        <w:rPr>
          <w:rFonts w:hint="cs"/>
          <w:color w:val="000080"/>
          <w:rtl/>
        </w:rPr>
        <w:t>مِنْ</w:t>
      </w:r>
      <w:r w:rsidRPr="00EE315F">
        <w:rPr>
          <w:color w:val="000080"/>
          <w:rtl/>
        </w:rPr>
        <w:t xml:space="preserve"> </w:t>
      </w:r>
      <w:r w:rsidRPr="00EE315F">
        <w:rPr>
          <w:rFonts w:hint="cs"/>
          <w:color w:val="000080"/>
          <w:rtl/>
        </w:rPr>
        <w:t>فَ</w:t>
      </w:r>
      <w:r w:rsidRPr="00EE315F">
        <w:rPr>
          <w:color w:val="000080"/>
          <w:rtl/>
        </w:rPr>
        <w:t>ضْلِهِ» فندب الفقراء إلى النكاح، فلو كان الفقر سببا تملك به فسخ النكاح، ما ندب الى النكاح من يملك الفسخ عقيب النكاح.</w:t>
      </w:r>
      <w:r w:rsidR="00EE315F">
        <w:rPr>
          <w:rFonts w:hint="cs"/>
          <w:color w:val="000080"/>
          <w:rtl/>
        </w:rPr>
        <w:t xml:space="preserve"> </w:t>
      </w:r>
      <w:r w:rsidR="00EE315F" w:rsidRPr="00EE315F">
        <w:rPr>
          <w:color w:val="000080"/>
          <w:rtl/>
        </w:rPr>
        <w:t>و أخبار أصحابنا واردة بذلك، و قد ذكرناها في مواضعها.</w:t>
      </w:r>
      <w:r w:rsidR="00EE315F" w:rsidRPr="00EE315F">
        <w:rPr>
          <w:rStyle w:val="FootnoteReference"/>
          <w:color w:val="000080"/>
          <w:rtl/>
        </w:rPr>
        <w:footnoteReference w:id="12"/>
      </w:r>
    </w:p>
    <w:p w:rsidR="00E24FF4" w:rsidRDefault="00E24FF4" w:rsidP="00E24FF4">
      <w:pPr>
        <w:pStyle w:val="Heading4"/>
        <w:rPr>
          <w:rtl/>
        </w:rPr>
      </w:pPr>
      <w:bookmarkStart w:id="6" w:name="_Toc51735270"/>
      <w:r>
        <w:rPr>
          <w:rFonts w:hint="cs"/>
          <w:rtl/>
        </w:rPr>
        <w:t>بررسی دلالت آیه «یغنهم الله من فضله» بر وجوب صبر زوجه</w:t>
      </w:r>
      <w:bookmarkEnd w:id="6"/>
    </w:p>
    <w:p w:rsidR="00EE315F" w:rsidRDefault="00EE315F" w:rsidP="00463896">
      <w:pPr>
        <w:jc w:val="both"/>
        <w:rPr>
          <w:rtl/>
        </w:rPr>
      </w:pPr>
      <w:r>
        <w:rPr>
          <w:rFonts w:hint="cs"/>
          <w:rtl/>
        </w:rPr>
        <w:t>تمسک به این آیه روشن نیست. «یغنهم الله من فضله» ناظر به متعارف است که ازدواج باعث گشایش می شود و روشن نیست ناظر به مواردی باشد که پس از ازدواج، گشایش در زندگی حاصل نشود. البته از این آیه استفاده می شود که فقیر ازدواج کند و خداوند به او مال می دهد. اما به این معنا نیست که بلافاصله خداوند به او مال بدهد. پس از این آیه استفاده می شود زن بلافاصله پس از ازدواج با فرد معسر، حق فسخ ندارد. شاید مرحوم شیخ نیز به این آیه استدلال می کنند که به مجرّد اعسار، حق فسخ ندارد و به تعبیر ما باید کارد به استخوان برسد تا حق طلاق یا فسخ داشته باشد. پس مورد بحث باید اعسار مستقر قرار داده شود که شرایط به نحوی است که مهلت داده شده و زمینه گشایش وجود ندارد. در نتیجه استدلال به این آیه فی الجمله صحیح است هر چند تمام مدعی را اثبات نمی کند. به نظر می رسد مراد کسانی که در اعسار، حق فسخ یا طلاق را مطرح کرده اند</w:t>
      </w:r>
      <w:r w:rsidR="00A65656">
        <w:rPr>
          <w:rFonts w:hint="cs"/>
          <w:rtl/>
        </w:rPr>
        <w:t xml:space="preserve"> نیز</w:t>
      </w:r>
      <w:r>
        <w:rPr>
          <w:rFonts w:hint="cs"/>
          <w:rtl/>
        </w:rPr>
        <w:t xml:space="preserve">، اعسار مستقر باشد. </w:t>
      </w:r>
    </w:p>
    <w:p w:rsidR="00A65656" w:rsidRDefault="00A65656" w:rsidP="00A65656">
      <w:pPr>
        <w:pStyle w:val="Heading4"/>
        <w:rPr>
          <w:rtl/>
        </w:rPr>
      </w:pPr>
      <w:bookmarkStart w:id="7" w:name="_Toc51735271"/>
      <w:r>
        <w:rPr>
          <w:rFonts w:hint="cs"/>
          <w:rtl/>
        </w:rPr>
        <w:t xml:space="preserve">بررسی دلالت آیه </w:t>
      </w:r>
      <w:r w:rsidRPr="00EE315F">
        <w:rPr>
          <w:rtl/>
        </w:rPr>
        <w:t>«وَ إِنْ كانَ ذُو عُسْرَةٍ فَنَظِرَةٌ إِلى مَيْسَرَةٍ»</w:t>
      </w:r>
      <w:r>
        <w:rPr>
          <w:rFonts w:hint="cs"/>
          <w:rtl/>
        </w:rPr>
        <w:t xml:space="preserve"> بر وجوب صبر زوجه</w:t>
      </w:r>
      <w:bookmarkEnd w:id="7"/>
    </w:p>
    <w:p w:rsidR="00EE315F" w:rsidRDefault="00A65656" w:rsidP="00A65656">
      <w:pPr>
        <w:jc w:val="both"/>
        <w:rPr>
          <w:rtl/>
        </w:rPr>
      </w:pPr>
      <w:r>
        <w:rPr>
          <w:rFonts w:hint="cs"/>
          <w:rtl/>
        </w:rPr>
        <w:t>استدلال</w:t>
      </w:r>
      <w:r w:rsidR="00EE315F">
        <w:rPr>
          <w:rFonts w:hint="cs"/>
          <w:rtl/>
        </w:rPr>
        <w:t xml:space="preserve"> به آیه </w:t>
      </w:r>
      <w:r w:rsidR="00EE315F" w:rsidRPr="00EE315F">
        <w:rPr>
          <w:rtl/>
        </w:rPr>
        <w:t>«وَ إِنْ كانَ ذُو عُسْرَةٍ فَنَظِرَةٌ إِلى مَيْسَرَةٍ»</w:t>
      </w:r>
      <w:r>
        <w:rPr>
          <w:rFonts w:hint="cs"/>
          <w:rtl/>
        </w:rPr>
        <w:t xml:space="preserve"> بر وجوب صبر زوجه صحیح نیست.</w:t>
      </w:r>
      <w:r w:rsidR="00EE315F">
        <w:rPr>
          <w:rFonts w:hint="cs"/>
          <w:rtl/>
        </w:rPr>
        <w:t xml:space="preserve"> </w:t>
      </w:r>
      <w:r>
        <w:rPr>
          <w:rFonts w:hint="cs"/>
          <w:rtl/>
        </w:rPr>
        <w:t xml:space="preserve">امکان این مطلب این گونه تحلیل شود که </w:t>
      </w:r>
      <w:r w:rsidR="00EE315F">
        <w:rPr>
          <w:rFonts w:hint="cs"/>
          <w:rtl/>
        </w:rPr>
        <w:t>رابطه بین آیه قرآن و روایات</w:t>
      </w:r>
      <w:r>
        <w:rPr>
          <w:rFonts w:hint="cs"/>
          <w:rtl/>
        </w:rPr>
        <w:t xml:space="preserve"> موجود در مسأله</w:t>
      </w:r>
      <w:r w:rsidR="00EE315F">
        <w:rPr>
          <w:rFonts w:hint="cs"/>
          <w:rtl/>
        </w:rPr>
        <w:t>، اعم و اخص مطلق است و روایات آیه را تخصیص می ز</w:t>
      </w:r>
      <w:r>
        <w:rPr>
          <w:rFonts w:hint="cs"/>
          <w:rtl/>
        </w:rPr>
        <w:t>ند.</w:t>
      </w:r>
    </w:p>
    <w:p w:rsidR="00A65656" w:rsidRDefault="00A65656" w:rsidP="00A65656">
      <w:pPr>
        <w:jc w:val="both"/>
        <w:rPr>
          <w:rtl/>
        </w:rPr>
      </w:pPr>
      <w:r>
        <w:rPr>
          <w:rFonts w:hint="cs"/>
          <w:rtl/>
        </w:rPr>
        <w:t xml:space="preserve">اما تخصیص آیه به وسیله «لا ضرر و لا ضرار» مشکل است زیرا امر به صبر کردن طلبکار، نوعی متضرّر شدن طلبکار است. پس این آیه نوعی تخصیص برای «لا ضرر و لا ضرار» است و نمی تواند به واسطه «لا ضرر» تخصیص بخورد. </w:t>
      </w:r>
    </w:p>
    <w:p w:rsidR="00A65656" w:rsidRDefault="00A65656" w:rsidP="00A65656">
      <w:pPr>
        <w:jc w:val="both"/>
        <w:rPr>
          <w:rtl/>
        </w:rPr>
      </w:pPr>
      <w:r>
        <w:rPr>
          <w:rFonts w:hint="cs"/>
          <w:rtl/>
        </w:rPr>
        <w:t xml:space="preserve">تحلیل دیگری که می توان برای عدم صحت استدلال به آیه بیان کرد این است که در آیه نسبت به نفقات گذشته، بیان شده: «نظره الی میسره» اما نسبت به نفقات آینده که مرد پس از این نیز نمی تواند ادا کند، دلالت ندارد که واجب است طلبکار صبر کند تا بدهکاری بدهکار بیشتر شود. پس می توان گفت: آیه اساسا مورد بحث را شامل نیست زیرا مورد بحث درباره نفقات آینده است و آیه درباره دین گذشته است. علاوه بر اینکه در مسأله مورد بحث، راهی برای تخلّص وجود دارد. پس آیه ظهور ندارد در مواردی که راه برای تخلّص وجود دارد، صبر کردن تا میسره و افزایش بدهی، واجب است. </w:t>
      </w:r>
    </w:p>
    <w:p w:rsidR="00A65656" w:rsidRDefault="00A65656" w:rsidP="00A65656">
      <w:pPr>
        <w:pStyle w:val="Heading3"/>
        <w:rPr>
          <w:rtl/>
        </w:rPr>
      </w:pPr>
      <w:bookmarkStart w:id="8" w:name="_Toc51735272"/>
      <w:r>
        <w:rPr>
          <w:rFonts w:hint="cs"/>
          <w:rtl/>
        </w:rPr>
        <w:t>کلام محقق در نکت النهایه</w:t>
      </w:r>
      <w:bookmarkEnd w:id="8"/>
    </w:p>
    <w:p w:rsidR="00E351E5" w:rsidRDefault="00E351E5" w:rsidP="00463896">
      <w:pPr>
        <w:jc w:val="both"/>
        <w:rPr>
          <w:rtl/>
        </w:rPr>
      </w:pPr>
      <w:r>
        <w:rPr>
          <w:rFonts w:hint="cs"/>
          <w:rtl/>
        </w:rPr>
        <w:t xml:space="preserve">شیخ طوسی در النهایه می نویسد: </w:t>
      </w:r>
    </w:p>
    <w:p w:rsidR="00E351E5" w:rsidRPr="00E351E5" w:rsidRDefault="00E351E5" w:rsidP="00463896">
      <w:pPr>
        <w:jc w:val="both"/>
        <w:rPr>
          <w:color w:val="000080"/>
          <w:rtl/>
        </w:rPr>
      </w:pPr>
      <w:r w:rsidRPr="00E351E5">
        <w:rPr>
          <w:color w:val="000080"/>
          <w:rtl/>
        </w:rPr>
        <w:t>و متى لم يقم الرّجل بنفقة زوجته و بكسوتها، و كان متمكّنا من ذلك، ألزمه الإمام النّفقة أو الطّلاق. و إن لم يكن متمكّنا، أنظر حتّى يوسّع اللّه عليه، إن شاء اللّه</w:t>
      </w:r>
      <w:r w:rsidRPr="00E351E5">
        <w:rPr>
          <w:rStyle w:val="FootnoteReference"/>
          <w:color w:val="000080"/>
          <w:rtl/>
        </w:rPr>
        <w:footnoteReference w:id="13"/>
      </w:r>
    </w:p>
    <w:p w:rsidR="00E351E5" w:rsidRDefault="00E351E5" w:rsidP="00463896">
      <w:pPr>
        <w:jc w:val="both"/>
        <w:rPr>
          <w:rtl/>
        </w:rPr>
      </w:pPr>
      <w:r>
        <w:rPr>
          <w:rFonts w:hint="cs"/>
          <w:rtl/>
        </w:rPr>
        <w:t>ذیل این عبارت در نکت النهایه آمده است:</w:t>
      </w:r>
    </w:p>
    <w:p w:rsidR="00E351E5" w:rsidRPr="00E351E5" w:rsidRDefault="00E351E5" w:rsidP="00463896">
      <w:pPr>
        <w:jc w:val="both"/>
        <w:rPr>
          <w:color w:val="000080"/>
          <w:rtl/>
        </w:rPr>
      </w:pPr>
      <w:r w:rsidRPr="00E351E5">
        <w:rPr>
          <w:color w:val="000080"/>
          <w:rtl/>
        </w:rPr>
        <w:t>كيف هذا؟ و قوله عليه السلام: «لا ضرر و لا إضرار» و قوله «تعالى»:</w:t>
      </w:r>
      <w:r w:rsidRPr="00E351E5">
        <w:rPr>
          <w:rFonts w:hint="cs"/>
          <w:color w:val="000080"/>
          <w:rtl/>
        </w:rPr>
        <w:t xml:space="preserve"> </w:t>
      </w:r>
      <w:r w:rsidRPr="00E351E5">
        <w:rPr>
          <w:color w:val="000080"/>
          <w:rtl/>
        </w:rPr>
        <w:t>«وَ م</w:t>
      </w:r>
      <w:r w:rsidRPr="00E351E5">
        <w:rPr>
          <w:rFonts w:hint="cs"/>
          <w:color w:val="000080"/>
          <w:rtl/>
        </w:rPr>
        <w:t>ا</w:t>
      </w:r>
      <w:r w:rsidRPr="00E351E5">
        <w:rPr>
          <w:color w:val="000080"/>
          <w:rtl/>
        </w:rPr>
        <w:t xml:space="preserve"> </w:t>
      </w:r>
      <w:r w:rsidRPr="00E351E5">
        <w:rPr>
          <w:rFonts w:hint="cs"/>
          <w:color w:val="000080"/>
          <w:rtl/>
        </w:rPr>
        <w:t>جَعَلَ</w:t>
      </w:r>
      <w:r w:rsidRPr="00E351E5">
        <w:rPr>
          <w:color w:val="000080"/>
          <w:rtl/>
        </w:rPr>
        <w:t xml:space="preserve"> </w:t>
      </w:r>
      <w:r w:rsidRPr="00E351E5">
        <w:rPr>
          <w:rFonts w:hint="cs"/>
          <w:color w:val="000080"/>
          <w:rtl/>
        </w:rPr>
        <w:t>عَلَيْكُمْ</w:t>
      </w:r>
      <w:r w:rsidRPr="00E351E5">
        <w:rPr>
          <w:color w:val="000080"/>
          <w:rtl/>
        </w:rPr>
        <w:t xml:space="preserve"> </w:t>
      </w:r>
      <w:r w:rsidRPr="00E351E5">
        <w:rPr>
          <w:rFonts w:hint="cs"/>
          <w:color w:val="000080"/>
          <w:rtl/>
        </w:rPr>
        <w:t>فِي</w:t>
      </w:r>
      <w:r w:rsidRPr="00E351E5">
        <w:rPr>
          <w:color w:val="000080"/>
          <w:rtl/>
        </w:rPr>
        <w:t xml:space="preserve"> </w:t>
      </w:r>
      <w:r w:rsidRPr="00E351E5">
        <w:rPr>
          <w:rFonts w:hint="cs"/>
          <w:color w:val="000080"/>
          <w:rtl/>
        </w:rPr>
        <w:t>الدِّينِ</w:t>
      </w:r>
      <w:r w:rsidRPr="00E351E5">
        <w:rPr>
          <w:color w:val="000080"/>
          <w:rtl/>
        </w:rPr>
        <w:t xml:space="preserve"> </w:t>
      </w:r>
      <w:r w:rsidRPr="00E351E5">
        <w:rPr>
          <w:rFonts w:hint="cs"/>
          <w:color w:val="000080"/>
          <w:rtl/>
        </w:rPr>
        <w:t>مِنْ</w:t>
      </w:r>
      <w:r w:rsidRPr="00E351E5">
        <w:rPr>
          <w:color w:val="000080"/>
          <w:rtl/>
        </w:rPr>
        <w:t xml:space="preserve"> </w:t>
      </w:r>
      <w:r w:rsidRPr="00E351E5">
        <w:rPr>
          <w:rFonts w:hint="cs"/>
          <w:color w:val="000080"/>
          <w:rtl/>
        </w:rPr>
        <w:t>حَرَجٍ»</w:t>
      </w:r>
      <w:r w:rsidRPr="00E351E5">
        <w:rPr>
          <w:color w:val="000080"/>
          <w:rtl/>
        </w:rPr>
        <w:t>.</w:t>
      </w:r>
    </w:p>
    <w:p w:rsidR="00E351E5" w:rsidRPr="00E351E5" w:rsidRDefault="00E351E5" w:rsidP="00463896">
      <w:pPr>
        <w:jc w:val="both"/>
        <w:rPr>
          <w:color w:val="000080"/>
          <w:rtl/>
        </w:rPr>
      </w:pPr>
      <w:r w:rsidRPr="00E351E5">
        <w:rPr>
          <w:color w:val="000080"/>
          <w:rtl/>
        </w:rPr>
        <w:t>الجواب: أما إلزامه بالإنفاق أو الطلاق مع اليسار، فلأن النفقة واجبة على الزوج، فمع الامتناع يجبر عليها إلا أن يتخلص بالطلاق.</w:t>
      </w:r>
    </w:p>
    <w:p w:rsidR="00E351E5" w:rsidRPr="00E351E5" w:rsidRDefault="00E351E5" w:rsidP="00463896">
      <w:pPr>
        <w:jc w:val="both"/>
        <w:rPr>
          <w:color w:val="000080"/>
          <w:rtl/>
        </w:rPr>
      </w:pPr>
      <w:r w:rsidRPr="00E351E5">
        <w:rPr>
          <w:color w:val="000080"/>
          <w:rtl/>
        </w:rPr>
        <w:t>و من طريق الرواية ما رواه حماد بن عثمان و خلف بن حماد عن ربعي و الفضيل</w:t>
      </w:r>
      <w:r w:rsidRPr="00E351E5">
        <w:rPr>
          <w:rFonts w:hint="cs"/>
          <w:color w:val="000080"/>
          <w:rtl/>
        </w:rPr>
        <w:t xml:space="preserve"> </w:t>
      </w:r>
      <w:r w:rsidRPr="00E351E5">
        <w:rPr>
          <w:color w:val="000080"/>
          <w:rtl/>
        </w:rPr>
        <w:t>بن يسار جميعا عن أبي عبد الله عليه السلام قال: إن أنفق عليها ما يقيم خلتها مع كسوة، و إلا فرق بينهما.</w:t>
      </w:r>
    </w:p>
    <w:p w:rsidR="00E351E5" w:rsidRDefault="00E351E5" w:rsidP="00A65656">
      <w:pPr>
        <w:jc w:val="both"/>
        <w:rPr>
          <w:rtl/>
        </w:rPr>
      </w:pPr>
      <w:r>
        <w:rPr>
          <w:rFonts w:hint="cs"/>
          <w:rtl/>
        </w:rPr>
        <w:t xml:space="preserve">در نقل اصلی روایت، «یقیم صلبها» است که در کلام نکت النهایه به </w:t>
      </w:r>
      <w:r w:rsidR="00A65656">
        <w:rPr>
          <w:rFonts w:hint="cs"/>
          <w:rtl/>
        </w:rPr>
        <w:t>«خلتها»</w:t>
      </w:r>
      <w:r>
        <w:rPr>
          <w:rFonts w:hint="cs"/>
          <w:rtl/>
        </w:rPr>
        <w:t xml:space="preserve"> تبدیل شده است. ایشان این روایت را حمل بر موسر کرده است.  </w:t>
      </w:r>
    </w:p>
    <w:p w:rsidR="00E351E5" w:rsidRPr="00E351E5" w:rsidRDefault="00E351E5" w:rsidP="00463896">
      <w:pPr>
        <w:jc w:val="both"/>
        <w:rPr>
          <w:color w:val="000080"/>
          <w:rtl/>
        </w:rPr>
      </w:pPr>
      <w:r w:rsidRPr="00E351E5">
        <w:rPr>
          <w:color w:val="000080"/>
          <w:rtl/>
        </w:rPr>
        <w:t>و أما أنه يجب الانظار مع العسر، فلقوله «تعالى»:</w:t>
      </w:r>
      <w:r w:rsidRPr="00E351E5">
        <w:rPr>
          <w:rFonts w:hint="cs"/>
          <w:color w:val="000080"/>
          <w:rtl/>
        </w:rPr>
        <w:t xml:space="preserve"> </w:t>
      </w:r>
      <w:r w:rsidRPr="00E351E5">
        <w:rPr>
          <w:color w:val="000080"/>
          <w:rtl/>
        </w:rPr>
        <w:t>«وَ إِنْ ك</w:t>
      </w:r>
      <w:r w:rsidRPr="00E351E5">
        <w:rPr>
          <w:rFonts w:hint="cs"/>
          <w:color w:val="000080"/>
          <w:rtl/>
        </w:rPr>
        <w:t>انَ</w:t>
      </w:r>
      <w:r w:rsidRPr="00E351E5">
        <w:rPr>
          <w:color w:val="000080"/>
          <w:rtl/>
        </w:rPr>
        <w:t xml:space="preserve"> </w:t>
      </w:r>
      <w:r w:rsidRPr="00E351E5">
        <w:rPr>
          <w:rFonts w:hint="cs"/>
          <w:color w:val="000080"/>
          <w:rtl/>
        </w:rPr>
        <w:t>ذُو</w:t>
      </w:r>
      <w:r w:rsidRPr="00E351E5">
        <w:rPr>
          <w:color w:val="000080"/>
          <w:rtl/>
        </w:rPr>
        <w:t xml:space="preserve"> </w:t>
      </w:r>
      <w:r w:rsidRPr="00E351E5">
        <w:rPr>
          <w:rFonts w:hint="cs"/>
          <w:color w:val="000080"/>
          <w:rtl/>
        </w:rPr>
        <w:t>عُسْرَةٍ</w:t>
      </w:r>
      <w:r w:rsidRPr="00E351E5">
        <w:rPr>
          <w:color w:val="000080"/>
          <w:rtl/>
        </w:rPr>
        <w:t xml:space="preserve"> </w:t>
      </w:r>
      <w:r w:rsidRPr="00E351E5">
        <w:rPr>
          <w:rFonts w:hint="cs"/>
          <w:color w:val="000080"/>
          <w:rtl/>
        </w:rPr>
        <w:t>فَنَظِرَةٌ</w:t>
      </w:r>
      <w:r w:rsidRPr="00E351E5">
        <w:rPr>
          <w:color w:val="000080"/>
          <w:rtl/>
        </w:rPr>
        <w:t xml:space="preserve"> </w:t>
      </w:r>
      <w:r w:rsidRPr="00E351E5">
        <w:rPr>
          <w:rFonts w:hint="cs"/>
          <w:color w:val="000080"/>
          <w:rtl/>
        </w:rPr>
        <w:t>إِلى</w:t>
      </w:r>
      <w:r w:rsidRPr="00E351E5">
        <w:rPr>
          <w:color w:val="000080"/>
          <w:rtl/>
        </w:rPr>
        <w:t xml:space="preserve"> </w:t>
      </w:r>
      <w:r w:rsidRPr="00E351E5">
        <w:rPr>
          <w:rFonts w:hint="cs"/>
          <w:color w:val="000080"/>
          <w:rtl/>
        </w:rPr>
        <w:t>مَيْسَرَةٍ»</w:t>
      </w:r>
      <w:r w:rsidRPr="00E351E5">
        <w:rPr>
          <w:color w:val="000080"/>
          <w:rtl/>
        </w:rPr>
        <w:t xml:space="preserve"> </w:t>
      </w:r>
      <w:r w:rsidRPr="00E351E5">
        <w:rPr>
          <w:rFonts w:hint="cs"/>
          <w:color w:val="000080"/>
          <w:rtl/>
        </w:rPr>
        <w:t>و</w:t>
      </w:r>
      <w:r w:rsidRPr="00E351E5">
        <w:rPr>
          <w:color w:val="000080"/>
          <w:rtl/>
        </w:rPr>
        <w:t xml:space="preserve"> </w:t>
      </w:r>
      <w:r w:rsidRPr="00E351E5">
        <w:rPr>
          <w:rFonts w:hint="cs"/>
          <w:color w:val="000080"/>
          <w:rtl/>
        </w:rPr>
        <w:t>لأن</w:t>
      </w:r>
      <w:r w:rsidRPr="00E351E5">
        <w:rPr>
          <w:color w:val="000080"/>
          <w:rtl/>
        </w:rPr>
        <w:t xml:space="preserve"> </w:t>
      </w:r>
      <w:r w:rsidRPr="00E351E5">
        <w:rPr>
          <w:rFonts w:hint="cs"/>
          <w:color w:val="000080"/>
          <w:rtl/>
        </w:rPr>
        <w:t>امرأة</w:t>
      </w:r>
      <w:r w:rsidRPr="00E351E5">
        <w:rPr>
          <w:color w:val="000080"/>
          <w:rtl/>
        </w:rPr>
        <w:t xml:space="preserve"> </w:t>
      </w:r>
      <w:r w:rsidRPr="00E351E5">
        <w:rPr>
          <w:rFonts w:hint="cs"/>
          <w:color w:val="000080"/>
          <w:rtl/>
        </w:rPr>
        <w:t>استعدت</w:t>
      </w:r>
      <w:r w:rsidRPr="00E351E5">
        <w:rPr>
          <w:color w:val="000080"/>
          <w:rtl/>
        </w:rPr>
        <w:t xml:space="preserve"> </w:t>
      </w:r>
      <w:r w:rsidRPr="00E351E5">
        <w:rPr>
          <w:rFonts w:hint="cs"/>
          <w:color w:val="000080"/>
          <w:rtl/>
        </w:rPr>
        <w:t>على</w:t>
      </w:r>
      <w:r w:rsidRPr="00E351E5">
        <w:rPr>
          <w:color w:val="000080"/>
          <w:rtl/>
        </w:rPr>
        <w:t xml:space="preserve"> </w:t>
      </w:r>
      <w:r w:rsidRPr="00E351E5">
        <w:rPr>
          <w:rFonts w:hint="cs"/>
          <w:color w:val="000080"/>
          <w:rtl/>
        </w:rPr>
        <w:t>زوجها</w:t>
      </w:r>
      <w:r w:rsidRPr="00E351E5">
        <w:rPr>
          <w:color w:val="000080"/>
          <w:rtl/>
        </w:rPr>
        <w:t xml:space="preserve"> </w:t>
      </w:r>
      <w:r w:rsidRPr="00E351E5">
        <w:rPr>
          <w:rFonts w:hint="cs"/>
          <w:color w:val="000080"/>
          <w:rtl/>
        </w:rPr>
        <w:t>عند</w:t>
      </w:r>
      <w:r w:rsidRPr="00E351E5">
        <w:rPr>
          <w:color w:val="000080"/>
          <w:rtl/>
        </w:rPr>
        <w:t xml:space="preserve"> </w:t>
      </w:r>
      <w:r w:rsidRPr="00E351E5">
        <w:rPr>
          <w:rFonts w:hint="cs"/>
          <w:color w:val="000080"/>
          <w:rtl/>
        </w:rPr>
        <w:t>علي</w:t>
      </w:r>
      <w:r w:rsidRPr="00E351E5">
        <w:rPr>
          <w:color w:val="000080"/>
          <w:rtl/>
        </w:rPr>
        <w:t xml:space="preserve"> </w:t>
      </w:r>
      <w:r w:rsidRPr="00E351E5">
        <w:rPr>
          <w:rFonts w:hint="cs"/>
          <w:color w:val="000080"/>
          <w:rtl/>
        </w:rPr>
        <w:t>عليه</w:t>
      </w:r>
      <w:r w:rsidRPr="00E351E5">
        <w:rPr>
          <w:color w:val="000080"/>
          <w:rtl/>
        </w:rPr>
        <w:t xml:space="preserve"> </w:t>
      </w:r>
      <w:r w:rsidRPr="00E351E5">
        <w:rPr>
          <w:rFonts w:hint="cs"/>
          <w:color w:val="000080"/>
          <w:rtl/>
        </w:rPr>
        <w:t>السلام،</w:t>
      </w:r>
      <w:r w:rsidRPr="00E351E5">
        <w:rPr>
          <w:color w:val="000080"/>
          <w:rtl/>
        </w:rPr>
        <w:t xml:space="preserve"> </w:t>
      </w:r>
      <w:r w:rsidRPr="00E351E5">
        <w:rPr>
          <w:rFonts w:hint="cs"/>
          <w:color w:val="000080"/>
          <w:rtl/>
        </w:rPr>
        <w:t>و</w:t>
      </w:r>
      <w:r w:rsidRPr="00E351E5">
        <w:rPr>
          <w:color w:val="000080"/>
          <w:rtl/>
        </w:rPr>
        <w:t xml:space="preserve"> </w:t>
      </w:r>
      <w:r w:rsidRPr="00E351E5">
        <w:rPr>
          <w:rFonts w:hint="cs"/>
          <w:color w:val="000080"/>
          <w:rtl/>
        </w:rPr>
        <w:t>ذكرت</w:t>
      </w:r>
      <w:r w:rsidRPr="00E351E5">
        <w:rPr>
          <w:color w:val="000080"/>
          <w:rtl/>
        </w:rPr>
        <w:t xml:space="preserve"> </w:t>
      </w:r>
      <w:r w:rsidRPr="00E351E5">
        <w:rPr>
          <w:rFonts w:hint="cs"/>
          <w:color w:val="000080"/>
          <w:rtl/>
        </w:rPr>
        <w:t>أنه</w:t>
      </w:r>
      <w:r w:rsidRPr="00E351E5">
        <w:rPr>
          <w:color w:val="000080"/>
          <w:rtl/>
        </w:rPr>
        <w:t xml:space="preserve"> </w:t>
      </w:r>
      <w:r w:rsidRPr="00E351E5">
        <w:rPr>
          <w:rFonts w:hint="cs"/>
          <w:color w:val="000080"/>
          <w:rtl/>
        </w:rPr>
        <w:t>لا</w:t>
      </w:r>
      <w:r w:rsidRPr="00E351E5">
        <w:rPr>
          <w:color w:val="000080"/>
          <w:rtl/>
        </w:rPr>
        <w:t xml:space="preserve"> </w:t>
      </w:r>
      <w:r w:rsidRPr="00E351E5">
        <w:rPr>
          <w:rFonts w:hint="cs"/>
          <w:color w:val="000080"/>
          <w:rtl/>
        </w:rPr>
        <w:t>ينفق</w:t>
      </w:r>
      <w:r w:rsidRPr="00E351E5">
        <w:rPr>
          <w:color w:val="000080"/>
          <w:rtl/>
        </w:rPr>
        <w:t xml:space="preserve"> </w:t>
      </w:r>
      <w:r w:rsidRPr="00E351E5">
        <w:rPr>
          <w:rFonts w:hint="cs"/>
          <w:color w:val="000080"/>
          <w:rtl/>
        </w:rPr>
        <w:t>عليها،</w:t>
      </w:r>
      <w:r w:rsidRPr="00E351E5">
        <w:rPr>
          <w:color w:val="000080"/>
          <w:rtl/>
        </w:rPr>
        <w:t xml:space="preserve"> </w:t>
      </w:r>
      <w:r w:rsidRPr="00E351E5">
        <w:rPr>
          <w:rFonts w:hint="cs"/>
          <w:color w:val="000080"/>
          <w:rtl/>
        </w:rPr>
        <w:t>فأبى</w:t>
      </w:r>
      <w:r w:rsidRPr="00E351E5">
        <w:rPr>
          <w:color w:val="000080"/>
          <w:rtl/>
        </w:rPr>
        <w:t xml:space="preserve"> </w:t>
      </w:r>
      <w:r w:rsidRPr="00E351E5">
        <w:rPr>
          <w:rFonts w:hint="cs"/>
          <w:color w:val="000080"/>
          <w:rtl/>
        </w:rPr>
        <w:t>أن</w:t>
      </w:r>
      <w:r w:rsidRPr="00E351E5">
        <w:rPr>
          <w:color w:val="000080"/>
          <w:rtl/>
        </w:rPr>
        <w:t xml:space="preserve"> </w:t>
      </w:r>
      <w:r w:rsidRPr="00E351E5">
        <w:rPr>
          <w:rFonts w:hint="cs"/>
          <w:color w:val="000080"/>
          <w:rtl/>
        </w:rPr>
        <w:t>يحبسه،</w:t>
      </w:r>
      <w:r w:rsidRPr="00E351E5">
        <w:rPr>
          <w:color w:val="000080"/>
          <w:rtl/>
        </w:rPr>
        <w:t xml:space="preserve"> </w:t>
      </w:r>
      <w:r w:rsidRPr="00E351E5">
        <w:rPr>
          <w:rFonts w:hint="cs"/>
          <w:color w:val="000080"/>
          <w:rtl/>
        </w:rPr>
        <w:t>و</w:t>
      </w:r>
      <w:r w:rsidRPr="00E351E5">
        <w:rPr>
          <w:color w:val="000080"/>
          <w:rtl/>
        </w:rPr>
        <w:t xml:space="preserve"> </w:t>
      </w:r>
      <w:r w:rsidRPr="00E351E5">
        <w:rPr>
          <w:rFonts w:hint="cs"/>
          <w:color w:val="000080"/>
          <w:rtl/>
        </w:rPr>
        <w:t>قال</w:t>
      </w:r>
      <w:r w:rsidRPr="00E351E5">
        <w:rPr>
          <w:color w:val="000080"/>
          <w:rtl/>
        </w:rPr>
        <w:t xml:space="preserve">: </w:t>
      </w:r>
      <w:r w:rsidRPr="00E351E5">
        <w:rPr>
          <w:rFonts w:hint="cs"/>
          <w:color w:val="000080"/>
          <w:rtl/>
        </w:rPr>
        <w:t>إن</w:t>
      </w:r>
      <w:r w:rsidRPr="00E351E5">
        <w:rPr>
          <w:color w:val="000080"/>
          <w:rtl/>
        </w:rPr>
        <w:t xml:space="preserve"> </w:t>
      </w:r>
      <w:r w:rsidRPr="00E351E5">
        <w:rPr>
          <w:rFonts w:hint="cs"/>
          <w:color w:val="000080"/>
          <w:rtl/>
        </w:rPr>
        <w:t>مع</w:t>
      </w:r>
      <w:r w:rsidRPr="00E351E5">
        <w:rPr>
          <w:color w:val="000080"/>
          <w:rtl/>
        </w:rPr>
        <w:t xml:space="preserve"> </w:t>
      </w:r>
      <w:r w:rsidRPr="00E351E5">
        <w:rPr>
          <w:rFonts w:hint="cs"/>
          <w:color w:val="000080"/>
          <w:rtl/>
        </w:rPr>
        <w:t>العسر</w:t>
      </w:r>
      <w:r w:rsidRPr="00E351E5">
        <w:rPr>
          <w:color w:val="000080"/>
          <w:rtl/>
        </w:rPr>
        <w:t xml:space="preserve"> </w:t>
      </w:r>
      <w:r w:rsidRPr="00E351E5">
        <w:rPr>
          <w:rFonts w:hint="cs"/>
          <w:color w:val="000080"/>
          <w:rtl/>
        </w:rPr>
        <w:t>يسرا</w:t>
      </w:r>
      <w:r w:rsidRPr="00E351E5">
        <w:rPr>
          <w:color w:val="000080"/>
          <w:rtl/>
        </w:rPr>
        <w:t>.</w:t>
      </w:r>
      <w:r w:rsidRPr="00E351E5">
        <w:rPr>
          <w:rStyle w:val="FootnoteReference"/>
          <w:color w:val="000080"/>
          <w:rtl/>
        </w:rPr>
        <w:footnoteReference w:id="14"/>
      </w:r>
    </w:p>
    <w:p w:rsidR="00E351E5" w:rsidRDefault="00E351E5" w:rsidP="00463896">
      <w:pPr>
        <w:jc w:val="both"/>
        <w:rPr>
          <w:rtl/>
        </w:rPr>
      </w:pPr>
      <w:r>
        <w:rPr>
          <w:rFonts w:hint="cs"/>
          <w:rtl/>
        </w:rPr>
        <w:t>حضرت علی ع به واسطه شکایت زن، مرد را حبس نکرده و فرموده: «ان مع العسر یسرا»</w:t>
      </w:r>
    </w:p>
    <w:p w:rsidR="00E351E5" w:rsidRPr="00E351E5" w:rsidRDefault="00E351E5" w:rsidP="00463896">
      <w:pPr>
        <w:jc w:val="both"/>
        <w:rPr>
          <w:color w:val="000080"/>
          <w:rtl/>
        </w:rPr>
      </w:pPr>
      <w:r w:rsidRPr="00E351E5">
        <w:rPr>
          <w:color w:val="000080"/>
          <w:rtl/>
        </w:rPr>
        <w:t>و أما قوله: يلزم منه الإضرار بالزوجة، و الضرر منفي بقوله عليه السلام: لا ضرر و لإضرار، فنقول: ليس كل ضرر بمنفي إلا مع سلامته عن وجوب التحمل، و قد بينا ذلك بالآية و الرواية.</w:t>
      </w:r>
    </w:p>
    <w:p w:rsidR="0043272F" w:rsidRDefault="00624239" w:rsidP="00463896">
      <w:pPr>
        <w:jc w:val="both"/>
        <w:rPr>
          <w:rtl/>
        </w:rPr>
      </w:pPr>
      <w:r>
        <w:rPr>
          <w:rFonts w:hint="cs"/>
          <w:rtl/>
        </w:rPr>
        <w:t xml:space="preserve">فهم از این عبارت این است که در صورتی ضرر منفی است که دلیلی بر وجوب تحمّل ضرر نداشته باشیم. گویا «لا ضرر و لا ضرار» عامی است که قابل تخصیص است و از آیه و روایات، تخصیص این عام استفاده می شود. بنابراین به شرطی که دلیل بر وجوب تحمّل نباشد، ضرر منفی است. دلیل بر وجوب تحمّل نیز این آیه شریفه و روایت است. </w:t>
      </w:r>
    </w:p>
    <w:p w:rsidR="0043272F" w:rsidRDefault="0043272F" w:rsidP="00463896">
      <w:pPr>
        <w:jc w:val="both"/>
        <w:rPr>
          <w:rtl/>
        </w:rPr>
      </w:pPr>
    </w:p>
    <w:p w:rsidR="0043272F" w:rsidRPr="0043272F" w:rsidRDefault="0043272F" w:rsidP="00463896">
      <w:pPr>
        <w:jc w:val="both"/>
        <w:rPr>
          <w:color w:val="000000"/>
        </w:rPr>
      </w:pPr>
    </w:p>
    <w:sectPr w:rsidR="0043272F" w:rsidRPr="0043272F"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60B" w:rsidRDefault="0013460B" w:rsidP="008B750B">
      <w:pPr>
        <w:spacing w:line="240" w:lineRule="auto"/>
      </w:pPr>
      <w:r>
        <w:separator/>
      </w:r>
    </w:p>
  </w:endnote>
  <w:endnote w:type="continuationSeparator" w:id="0">
    <w:p w:rsidR="0013460B" w:rsidRDefault="0013460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F4E13" w:rsidRPr="007F4E13">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C35E4C" w:rsidP="001B6799">
          <w:pPr>
            <w:pStyle w:val="Footer"/>
            <w:bidi w:val="0"/>
            <w:rPr>
              <w:color w:val="808080" w:themeColor="background1" w:themeShade="80"/>
              <w:rtl/>
            </w:rPr>
          </w:pPr>
          <w:bookmarkStart w:id="16" w:name="BokAdres"/>
          <w:bookmarkEnd w:id="16"/>
          <w:r>
            <w:rPr>
              <w:color w:val="808080" w:themeColor="background1" w:themeShade="80"/>
            </w:rPr>
            <w:t>U1js1_13990701-012_ga1_mfeb.ir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60B" w:rsidRDefault="0013460B" w:rsidP="008B750B">
      <w:pPr>
        <w:spacing w:line="240" w:lineRule="auto"/>
      </w:pPr>
      <w:r>
        <w:separator/>
      </w:r>
    </w:p>
  </w:footnote>
  <w:footnote w:type="continuationSeparator" w:id="0">
    <w:p w:rsidR="0013460B" w:rsidRDefault="0013460B" w:rsidP="008B750B">
      <w:pPr>
        <w:spacing w:line="240" w:lineRule="auto"/>
      </w:pPr>
      <w:r>
        <w:continuationSeparator/>
      </w:r>
    </w:p>
  </w:footnote>
  <w:footnote w:id="1">
    <w:p w:rsidR="00A463F3" w:rsidRDefault="00A463F3" w:rsidP="00A463F3">
      <w:pPr>
        <w:pStyle w:val="FootnoteText"/>
      </w:pPr>
      <w:r>
        <w:rPr>
          <w:rStyle w:val="FootnoteReference"/>
        </w:rPr>
        <w:footnoteRef/>
      </w:r>
      <w:r>
        <w:rPr>
          <w:rtl/>
        </w:rPr>
        <w:t xml:space="preserve"> </w:t>
      </w:r>
      <w:r w:rsidRPr="006F1978">
        <w:rPr>
          <w:rtl/>
        </w:rPr>
        <w:t>تهذيب الأحكام (تحقيق خرسان) ؛ ج‏6 ؛ ص293</w:t>
      </w:r>
    </w:p>
  </w:footnote>
  <w:footnote w:id="2">
    <w:p w:rsidR="00A463F3" w:rsidRDefault="00A463F3">
      <w:pPr>
        <w:pStyle w:val="FootnoteText"/>
      </w:pPr>
      <w:r>
        <w:rPr>
          <w:rStyle w:val="FootnoteReference"/>
        </w:rPr>
        <w:footnoteRef/>
      </w:r>
      <w:r>
        <w:rPr>
          <w:rtl/>
        </w:rPr>
        <w:t xml:space="preserve"> </w:t>
      </w:r>
      <w:r w:rsidRPr="00A463F3">
        <w:rPr>
          <w:rtl/>
        </w:rPr>
        <w:t>معجم‏رجال‏الحديث ج : 4  ص :  102</w:t>
      </w:r>
    </w:p>
  </w:footnote>
  <w:footnote w:id="3">
    <w:p w:rsidR="00A463F3" w:rsidRDefault="00A463F3" w:rsidP="00A463F3">
      <w:pPr>
        <w:pStyle w:val="FootnoteText"/>
      </w:pPr>
      <w:r>
        <w:rPr>
          <w:rStyle w:val="FootnoteReference"/>
        </w:rPr>
        <w:footnoteRef/>
      </w:r>
      <w:r>
        <w:rPr>
          <w:rtl/>
        </w:rPr>
        <w:t xml:space="preserve"> </w:t>
      </w:r>
      <w:r w:rsidRPr="006F1978">
        <w:rPr>
          <w:rtl/>
        </w:rPr>
        <w:t>تهذيب الأحكام (تحقيق خرسان) ؛ ج‏6 ؛ ص347</w:t>
      </w:r>
    </w:p>
  </w:footnote>
  <w:footnote w:id="4">
    <w:p w:rsidR="00E24FF4" w:rsidRDefault="00E24FF4" w:rsidP="00E24FF4">
      <w:pPr>
        <w:pStyle w:val="FootnoteText"/>
      </w:pPr>
      <w:r>
        <w:rPr>
          <w:rStyle w:val="FootnoteReference"/>
        </w:rPr>
        <w:footnoteRef/>
      </w:r>
      <w:r>
        <w:rPr>
          <w:rtl/>
        </w:rPr>
        <w:t xml:space="preserve"> </w:t>
      </w:r>
      <w:r>
        <w:rPr>
          <w:rFonts w:hint="cs"/>
          <w:rtl/>
        </w:rPr>
        <w:t>سند اول نیز پس از جمیل مرسل است (مقرّر)</w:t>
      </w:r>
    </w:p>
  </w:footnote>
  <w:footnote w:id="5">
    <w:p w:rsidR="00876A1E" w:rsidRDefault="00876A1E" w:rsidP="00876A1E">
      <w:pPr>
        <w:pStyle w:val="FootnoteText"/>
      </w:pPr>
      <w:r>
        <w:rPr>
          <w:rStyle w:val="FootnoteReference"/>
        </w:rPr>
        <w:footnoteRef/>
      </w:r>
      <w:r>
        <w:rPr>
          <w:rtl/>
        </w:rPr>
        <w:t xml:space="preserve"> </w:t>
      </w:r>
      <w:r w:rsidRPr="00876A1E">
        <w:rPr>
          <w:rtl/>
        </w:rPr>
        <w:t>الكافي (ط - الإسلامية)، ج‏5، ص: 512</w:t>
      </w:r>
    </w:p>
  </w:footnote>
  <w:footnote w:id="6">
    <w:p w:rsidR="00876A1E" w:rsidRDefault="00876A1E" w:rsidP="00876A1E">
      <w:pPr>
        <w:pStyle w:val="FootnoteText"/>
      </w:pPr>
      <w:r>
        <w:rPr>
          <w:rStyle w:val="FootnoteReference"/>
        </w:rPr>
        <w:footnoteRef/>
      </w:r>
      <w:r>
        <w:rPr>
          <w:rFonts w:hint="cs"/>
          <w:rtl/>
        </w:rPr>
        <w:t xml:space="preserve"> </w:t>
      </w:r>
      <w:r w:rsidRPr="00876A1E">
        <w:rPr>
          <w:rtl/>
        </w:rPr>
        <w:t>جامع أحاديث الشيعة (للبروجردي)، ج‏26، ص: 938</w:t>
      </w:r>
      <w:r>
        <w:rPr>
          <w:rFonts w:hint="cs"/>
          <w:rtl/>
        </w:rPr>
        <w:t>، ح 39890</w:t>
      </w:r>
    </w:p>
  </w:footnote>
  <w:footnote w:id="7">
    <w:p w:rsidR="00C6462F" w:rsidRDefault="00C6462F">
      <w:pPr>
        <w:pStyle w:val="FootnoteText"/>
      </w:pPr>
      <w:r>
        <w:rPr>
          <w:rStyle w:val="FootnoteReference"/>
        </w:rPr>
        <w:footnoteRef/>
      </w:r>
      <w:r>
        <w:rPr>
          <w:rtl/>
        </w:rPr>
        <w:t xml:space="preserve"> </w:t>
      </w:r>
      <w:r w:rsidRPr="00C6462F">
        <w:rPr>
          <w:rtl/>
        </w:rPr>
        <w:t>قاعدة لا ضرر و لا ضرار (للسيستاني)؛ ص: 306</w:t>
      </w:r>
    </w:p>
  </w:footnote>
  <w:footnote w:id="8">
    <w:p w:rsidR="00E24FF4" w:rsidRDefault="00E24FF4" w:rsidP="00E24FF4">
      <w:pPr>
        <w:pStyle w:val="FootnoteText"/>
      </w:pPr>
      <w:r>
        <w:rPr>
          <w:rStyle w:val="FootnoteReference"/>
        </w:rPr>
        <w:footnoteRef/>
      </w:r>
      <w:r>
        <w:rPr>
          <w:rtl/>
        </w:rPr>
        <w:t xml:space="preserve"> </w:t>
      </w:r>
      <w:r>
        <w:rPr>
          <w:rFonts w:hint="cs"/>
          <w:rtl/>
        </w:rPr>
        <w:t xml:space="preserve">ظاهرا مراد استاد دام ظله، طرح جدایی بین زن و مرد در فرض اعسار است و گرنه مطابق نقل خود استاد، شیخ طوسی پیش از ابن ادریس در فرض موسر بودن، طلاق را مطرح کرده است. (مقرّر) </w:t>
      </w:r>
    </w:p>
  </w:footnote>
  <w:footnote w:id="9">
    <w:p w:rsidR="00C6462F" w:rsidRDefault="00C6462F">
      <w:pPr>
        <w:pStyle w:val="FootnoteText"/>
      </w:pPr>
      <w:r>
        <w:rPr>
          <w:rStyle w:val="FootnoteReference"/>
        </w:rPr>
        <w:footnoteRef/>
      </w:r>
      <w:r>
        <w:rPr>
          <w:rtl/>
        </w:rPr>
        <w:t xml:space="preserve"> </w:t>
      </w:r>
      <w:r w:rsidRPr="00C6462F">
        <w:rPr>
          <w:rtl/>
        </w:rPr>
        <w:t>السرائر الحاوي لتحرير الفتاوى؛ ج‌2، ص: 592</w:t>
      </w:r>
    </w:p>
  </w:footnote>
  <w:footnote w:id="10">
    <w:p w:rsidR="00C6462F" w:rsidRDefault="00C6462F" w:rsidP="00C6462F">
      <w:pPr>
        <w:pStyle w:val="FootnoteText"/>
      </w:pPr>
      <w:r>
        <w:rPr>
          <w:rStyle w:val="FootnoteReference"/>
        </w:rPr>
        <w:footnoteRef/>
      </w:r>
      <w:r>
        <w:rPr>
          <w:rtl/>
        </w:rPr>
        <w:t xml:space="preserve"> النهاية في مجرد الفقه و الفتاوى؛ ص: 475</w:t>
      </w:r>
      <w:r>
        <w:rPr>
          <w:rFonts w:hint="cs"/>
          <w:rtl/>
        </w:rPr>
        <w:t xml:space="preserve"> </w:t>
      </w:r>
      <w:r>
        <w:rPr>
          <w:rtl/>
        </w:rPr>
        <w:t>و متى لم يقم الرّجل بنفقة زوجته و بكسوتها، و كان متمكّنا من ذلك، ألزمه الإمام النّفقة أو الطّلاق. و إن لم يكن متمكّنا، أنظر حتّى يوسّع اللّه عليه، إن شاء اللّ</w:t>
      </w:r>
      <w:r>
        <w:rPr>
          <w:rFonts w:hint="cs"/>
          <w:rtl/>
        </w:rPr>
        <w:t>ه</w:t>
      </w:r>
    </w:p>
  </w:footnote>
  <w:footnote w:id="11">
    <w:p w:rsidR="00C6462F" w:rsidRDefault="00C6462F">
      <w:pPr>
        <w:pStyle w:val="FootnoteText"/>
      </w:pPr>
      <w:r>
        <w:rPr>
          <w:rStyle w:val="FootnoteReference"/>
        </w:rPr>
        <w:footnoteRef/>
      </w:r>
      <w:r>
        <w:rPr>
          <w:rtl/>
        </w:rPr>
        <w:t xml:space="preserve"> </w:t>
      </w:r>
      <w:r w:rsidRPr="00C6462F">
        <w:rPr>
          <w:rtl/>
        </w:rPr>
        <w:t>إيضاح الفوائد في شرح مشكلات القواعد؛ ج‌3، ص: 24</w:t>
      </w:r>
    </w:p>
  </w:footnote>
  <w:footnote w:id="12">
    <w:p w:rsidR="00EE315F" w:rsidRDefault="00EE315F" w:rsidP="00EE315F">
      <w:pPr>
        <w:pStyle w:val="FootnoteText"/>
      </w:pPr>
      <w:r>
        <w:rPr>
          <w:rStyle w:val="FootnoteReference"/>
        </w:rPr>
        <w:footnoteRef/>
      </w:r>
      <w:r>
        <w:rPr>
          <w:rtl/>
        </w:rPr>
        <w:t xml:space="preserve"> </w:t>
      </w:r>
      <w:r w:rsidRPr="0043272F">
        <w:rPr>
          <w:rtl/>
        </w:rPr>
        <w:t>الخلاف؛ ج‌5، ص: 117</w:t>
      </w:r>
    </w:p>
  </w:footnote>
  <w:footnote w:id="13">
    <w:p w:rsidR="00E351E5" w:rsidRPr="00E351E5" w:rsidRDefault="00E351E5" w:rsidP="00E351E5">
      <w:pPr>
        <w:pStyle w:val="FootnoteText"/>
      </w:pPr>
      <w:r>
        <w:rPr>
          <w:rStyle w:val="FootnoteReference"/>
        </w:rPr>
        <w:footnoteRef/>
      </w:r>
      <w:r>
        <w:rPr>
          <w:rtl/>
        </w:rPr>
        <w:t xml:space="preserve"> </w:t>
      </w:r>
      <w:r w:rsidRPr="00E351E5">
        <w:rPr>
          <w:rtl/>
        </w:rPr>
        <w:t>النهاية في مجرد الفقه و الفتاوى؛ ص: 475</w:t>
      </w:r>
    </w:p>
  </w:footnote>
  <w:footnote w:id="14">
    <w:p w:rsidR="00E351E5" w:rsidRDefault="00E351E5">
      <w:pPr>
        <w:pStyle w:val="FootnoteText"/>
      </w:pPr>
      <w:r>
        <w:rPr>
          <w:rStyle w:val="FootnoteReference"/>
        </w:rPr>
        <w:footnoteRef/>
      </w:r>
      <w:r>
        <w:rPr>
          <w:rtl/>
        </w:rPr>
        <w:t xml:space="preserve"> </w:t>
      </w:r>
      <w:r w:rsidRPr="00E351E5">
        <w:rPr>
          <w:rtl/>
        </w:rPr>
        <w:t>نكت النهاية؛ ج‌2، ص: 334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C35E4C">
      <w:rPr>
        <w:b/>
        <w:bCs/>
        <w:sz w:val="20"/>
        <w:szCs w:val="24"/>
        <w:rtl/>
      </w:rPr>
      <w:t>012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C35E4C">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C35E4C">
      <w:rPr>
        <w:b/>
        <w:bCs/>
        <w:color w:val="632423" w:themeColor="accent2" w:themeShade="80"/>
        <w:sz w:val="20"/>
        <w:szCs w:val="24"/>
        <w:rtl/>
      </w:rPr>
      <w:t>س</w:t>
    </w:r>
    <w:r w:rsidR="00C35E4C">
      <w:rPr>
        <w:rFonts w:hint="cs"/>
        <w:b/>
        <w:bCs/>
        <w:color w:val="632423" w:themeColor="accent2" w:themeShade="80"/>
        <w:sz w:val="20"/>
        <w:szCs w:val="24"/>
        <w:rtl/>
      </w:rPr>
      <w:t>ی</w:t>
    </w:r>
    <w:r w:rsidR="00C35E4C">
      <w:rPr>
        <w:rFonts w:hint="eastAsia"/>
        <w:b/>
        <w:bCs/>
        <w:color w:val="632423" w:themeColor="accent2" w:themeShade="80"/>
        <w:sz w:val="20"/>
        <w:szCs w:val="24"/>
        <w:rtl/>
      </w:rPr>
      <w:t>د</w:t>
    </w:r>
    <w:r w:rsidR="00C35E4C">
      <w:rPr>
        <w:b/>
        <w:bCs/>
        <w:color w:val="632423" w:themeColor="accent2" w:themeShade="80"/>
        <w:sz w:val="20"/>
        <w:szCs w:val="24"/>
        <w:rtl/>
      </w:rPr>
      <w:t xml:space="preserve"> محمد جواد شب</w:t>
    </w:r>
    <w:r w:rsidR="00C35E4C">
      <w:rPr>
        <w:rFonts w:hint="cs"/>
        <w:b/>
        <w:bCs/>
        <w:color w:val="632423" w:themeColor="accent2" w:themeShade="80"/>
        <w:sz w:val="20"/>
        <w:szCs w:val="24"/>
        <w:rtl/>
      </w:rPr>
      <w:t>ی</w:t>
    </w:r>
    <w:r w:rsidR="00C35E4C">
      <w:rPr>
        <w:rFonts w:hint="eastAsia"/>
        <w:b/>
        <w:bCs/>
        <w:color w:val="632423" w:themeColor="accent2" w:themeShade="80"/>
        <w:sz w:val="20"/>
        <w:szCs w:val="24"/>
        <w:rtl/>
      </w:rPr>
      <w:t>ر</w:t>
    </w:r>
    <w:r w:rsidR="00C35E4C">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C35E4C">
      <w:rPr>
        <w:sz w:val="24"/>
        <w:szCs w:val="24"/>
        <w:rtl/>
      </w:rPr>
      <w:t>1 /7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C35E4C">
      <w:rPr>
        <w:color w:val="000000" w:themeColor="text1"/>
        <w:sz w:val="24"/>
        <w:szCs w:val="24"/>
        <w:rtl/>
      </w:rPr>
      <w:t>تنب</w:t>
    </w:r>
    <w:r w:rsidR="00C35E4C">
      <w:rPr>
        <w:rFonts w:hint="cs"/>
        <w:color w:val="000000" w:themeColor="text1"/>
        <w:sz w:val="24"/>
        <w:szCs w:val="24"/>
        <w:rtl/>
      </w:rPr>
      <w:t>ی</w:t>
    </w:r>
    <w:r w:rsidR="00C35E4C">
      <w:rPr>
        <w:rFonts w:hint="eastAsia"/>
        <w:color w:val="000000" w:themeColor="text1"/>
        <w:sz w:val="24"/>
        <w:szCs w:val="24"/>
        <w:rtl/>
      </w:rPr>
      <w:t>هات</w:t>
    </w:r>
    <w:r w:rsidR="00C35E4C">
      <w:rPr>
        <w:color w:val="000000" w:themeColor="text1"/>
        <w:sz w:val="24"/>
        <w:szCs w:val="24"/>
        <w:rtl/>
      </w:rPr>
      <w:t xml:space="preserve"> </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C35E4C">
      <w:rPr>
        <w:sz w:val="24"/>
        <w:szCs w:val="24"/>
        <w:rtl/>
      </w:rPr>
      <w:t>غلامرضا احسن</w:t>
    </w:r>
    <w:r w:rsidR="00C35E4C">
      <w:rPr>
        <w:rFonts w:hint="cs"/>
        <w:sz w:val="24"/>
        <w:szCs w:val="24"/>
        <w:rtl/>
      </w:rPr>
      <w:t>ی</w:t>
    </w:r>
    <w:r w:rsidR="00C35E4C">
      <w:rPr>
        <w:sz w:val="24"/>
        <w:szCs w:val="24"/>
        <w:rtl/>
      </w:rPr>
      <w:t xml:space="preserve"> آران</w:t>
    </w:r>
    <w:r w:rsidR="00C35E4C">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C35E4C">
      <w:rPr>
        <w:sz w:val="24"/>
        <w:szCs w:val="24"/>
        <w:rtl/>
      </w:rPr>
      <w:t>شمول لا ضرر نسبت به احکام عدم</w:t>
    </w:r>
    <w:r w:rsidR="00C35E4C">
      <w:rPr>
        <w:rFonts w:hint="cs"/>
        <w:sz w:val="24"/>
        <w:szCs w:val="24"/>
        <w:rtl/>
      </w:rPr>
      <w:t>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60B"/>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3272F"/>
    <w:rsid w:val="00441B6D"/>
    <w:rsid w:val="004556EF"/>
    <w:rsid w:val="00462B07"/>
    <w:rsid w:val="00463896"/>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261DA"/>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24239"/>
    <w:rsid w:val="0063256E"/>
    <w:rsid w:val="00633F04"/>
    <w:rsid w:val="00635219"/>
    <w:rsid w:val="00635EC0"/>
    <w:rsid w:val="00640B58"/>
    <w:rsid w:val="00651B02"/>
    <w:rsid w:val="00651B19"/>
    <w:rsid w:val="00660A29"/>
    <w:rsid w:val="00695519"/>
    <w:rsid w:val="006A4134"/>
    <w:rsid w:val="006A5DDA"/>
    <w:rsid w:val="006A6701"/>
    <w:rsid w:val="006A73FB"/>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7F4E13"/>
    <w:rsid w:val="0080091D"/>
    <w:rsid w:val="00804108"/>
    <w:rsid w:val="00804FC4"/>
    <w:rsid w:val="00816367"/>
    <w:rsid w:val="00816A0B"/>
    <w:rsid w:val="00824B22"/>
    <w:rsid w:val="00830C53"/>
    <w:rsid w:val="00837FAA"/>
    <w:rsid w:val="00841F77"/>
    <w:rsid w:val="0085276D"/>
    <w:rsid w:val="00863390"/>
    <w:rsid w:val="0086385C"/>
    <w:rsid w:val="00871916"/>
    <w:rsid w:val="00876A1E"/>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3F3"/>
    <w:rsid w:val="00A46AD0"/>
    <w:rsid w:val="00A47063"/>
    <w:rsid w:val="00A473A8"/>
    <w:rsid w:val="00A513F0"/>
    <w:rsid w:val="00A61AC8"/>
    <w:rsid w:val="00A6366F"/>
    <w:rsid w:val="00A65656"/>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83BED"/>
    <w:rsid w:val="00B96F38"/>
    <w:rsid w:val="00BC716B"/>
    <w:rsid w:val="00BD0E74"/>
    <w:rsid w:val="00BD5F8C"/>
    <w:rsid w:val="00BE29DD"/>
    <w:rsid w:val="00C066AF"/>
    <w:rsid w:val="00C10E06"/>
    <w:rsid w:val="00C145B8"/>
    <w:rsid w:val="00C2438F"/>
    <w:rsid w:val="00C31AF0"/>
    <w:rsid w:val="00C32A7E"/>
    <w:rsid w:val="00C34F28"/>
    <w:rsid w:val="00C35E4C"/>
    <w:rsid w:val="00C368DF"/>
    <w:rsid w:val="00C442C5"/>
    <w:rsid w:val="00C57B5C"/>
    <w:rsid w:val="00C57C7C"/>
    <w:rsid w:val="00C61049"/>
    <w:rsid w:val="00C63FFE"/>
    <w:rsid w:val="00C6462F"/>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4FF4"/>
    <w:rsid w:val="00E25E10"/>
    <w:rsid w:val="00E351E5"/>
    <w:rsid w:val="00E50B41"/>
    <w:rsid w:val="00E5219B"/>
    <w:rsid w:val="00E52D07"/>
    <w:rsid w:val="00E5518B"/>
    <w:rsid w:val="00E5602A"/>
    <w:rsid w:val="00E609FE"/>
    <w:rsid w:val="00E630BE"/>
    <w:rsid w:val="00E75920"/>
    <w:rsid w:val="00E80D96"/>
    <w:rsid w:val="00E871FA"/>
    <w:rsid w:val="00E936A4"/>
    <w:rsid w:val="00E954BB"/>
    <w:rsid w:val="00EA2530"/>
    <w:rsid w:val="00EA45E7"/>
    <w:rsid w:val="00EB78E3"/>
    <w:rsid w:val="00EB7BE3"/>
    <w:rsid w:val="00EC1C4B"/>
    <w:rsid w:val="00EC735A"/>
    <w:rsid w:val="00ED5F38"/>
    <w:rsid w:val="00EE315F"/>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494C"/>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656"/>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9515489">
      <w:bodyDiv w:val="1"/>
      <w:marLeft w:val="0"/>
      <w:marRight w:val="0"/>
      <w:marTop w:val="0"/>
      <w:marBottom w:val="0"/>
      <w:divBdr>
        <w:top w:val="none" w:sz="0" w:space="0" w:color="auto"/>
        <w:left w:val="none" w:sz="0" w:space="0" w:color="auto"/>
        <w:bottom w:val="none" w:sz="0" w:space="0" w:color="auto"/>
        <w:right w:val="none" w:sz="0" w:space="0" w:color="auto"/>
      </w:divBdr>
    </w:div>
    <w:div w:id="185097743">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1938341">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2107787">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55436182">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7423309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7375343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F6041-C825-44BC-8184-2B502D664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136</TotalTime>
  <Pages>7</Pages>
  <Words>1673</Words>
  <Characters>9539</Characters>
  <Application>Microsoft Office Word</Application>
  <DocSecurity>0</DocSecurity>
  <Lines>79</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11190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9</cp:revision>
  <dcterms:created xsi:type="dcterms:W3CDTF">2020-09-23T00:45:00Z</dcterms:created>
  <dcterms:modified xsi:type="dcterms:W3CDTF">2020-12-07T05:35:00Z</dcterms:modified>
  <cp:contentStatus>ویرایش 2.5</cp:contentStatus>
  <cp:version>2.7</cp:version>
</cp:coreProperties>
</file>