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62" w:rsidRDefault="002D6B62" w:rsidP="002D6B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D6B62" w:rsidRDefault="002D6B62" w:rsidP="002D6B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9F2044">
      <w:pPr>
        <w:jc w:val="both"/>
        <w:rPr>
          <w:rStyle w:val="Emphasis"/>
          <w:b/>
          <w:bCs w:val="0"/>
          <w:rtl/>
        </w:rPr>
      </w:pPr>
      <w:r w:rsidRPr="009C66D5">
        <w:rPr>
          <w:rStyle w:val="Emphasis"/>
          <w:rFonts w:hint="cs"/>
          <w:b/>
          <w:bCs w:val="0"/>
          <w:rtl/>
        </w:rPr>
        <w:t>خلاصه مباحث گذشته:</w:t>
      </w:r>
    </w:p>
    <w:p w:rsidR="003A6148" w:rsidRDefault="008D5624" w:rsidP="009F2044">
      <w:pPr>
        <w:jc w:val="both"/>
        <w:rPr>
          <w:rtl/>
        </w:rPr>
      </w:pPr>
      <w:r>
        <w:rPr>
          <w:rFonts w:hint="cs"/>
          <w:rtl/>
        </w:rPr>
        <w:t>بحث در شمول لا ضرر نسبت به احکام عدمیه بود . یکی از مثالهای مطرح شده در این بحث نفقه ندادن زوج است که چنانچه شارع به غیر زوج اجازۀ فسخ و طلاق را ندهد از عدم جعل حق طلاق یا فسخ توسط شارع برای غیر زوج، زوجه متضرر می شود. آقای سیستانی در این مثال بحث را در سه مرحله دنبال کرده اند :</w:t>
      </w:r>
    </w:p>
    <w:p w:rsidR="008D5624" w:rsidRDefault="008D5624" w:rsidP="009F2044">
      <w:pPr>
        <w:pStyle w:val="ListParagraph"/>
        <w:numPr>
          <w:ilvl w:val="0"/>
          <w:numId w:val="16"/>
        </w:numPr>
        <w:jc w:val="both"/>
      </w:pPr>
      <w:r w:rsidRPr="008D5624">
        <w:rPr>
          <w:rFonts w:hint="cs"/>
          <w:rtl/>
        </w:rPr>
        <w:t xml:space="preserve">مرحلۀ اول اقتضای </w:t>
      </w:r>
      <w:r>
        <w:rPr>
          <w:rFonts w:hint="cs"/>
          <w:rtl/>
        </w:rPr>
        <w:t>طبیعت عقد نکاح بود که بحث از آن گذشت .</w:t>
      </w:r>
    </w:p>
    <w:p w:rsidR="008D5624" w:rsidRDefault="008D5624" w:rsidP="009F2044">
      <w:pPr>
        <w:pStyle w:val="ListParagraph"/>
        <w:numPr>
          <w:ilvl w:val="0"/>
          <w:numId w:val="16"/>
        </w:numPr>
        <w:jc w:val="both"/>
      </w:pPr>
      <w:r>
        <w:rPr>
          <w:rFonts w:hint="cs"/>
          <w:rtl/>
        </w:rPr>
        <w:t>مرحلۀ دوم بحث از شمول لا ضرر نسبت به این مثال است که هم اکنون در مورد آن بحث می کنیم.</w:t>
      </w:r>
    </w:p>
    <w:p w:rsidR="008D5624" w:rsidRDefault="008D5624" w:rsidP="009F2044">
      <w:pPr>
        <w:pStyle w:val="ListParagraph"/>
        <w:numPr>
          <w:ilvl w:val="0"/>
          <w:numId w:val="16"/>
        </w:numPr>
        <w:jc w:val="both"/>
      </w:pPr>
      <w:r>
        <w:rPr>
          <w:rFonts w:hint="cs"/>
          <w:rtl/>
        </w:rPr>
        <w:t>مرحلۀ سوم بحث از ادلۀ خاصه در این باب است که در آینده خواهد آمد.</w:t>
      </w:r>
    </w:p>
    <w:p w:rsidR="008D5624" w:rsidRPr="008D5624" w:rsidRDefault="008D5624" w:rsidP="009F2044">
      <w:pPr>
        <w:jc w:val="both"/>
        <w:rPr>
          <w:rtl/>
        </w:rPr>
      </w:pPr>
      <w:r>
        <w:rPr>
          <w:rFonts w:hint="cs"/>
          <w:rtl/>
        </w:rPr>
        <w:t>در مرحلۀ دوم در جلسۀ گذشته دو تقریب از آقای سیستانی نقل کردیم برای این که حدیث لا ضرر بتواند حق طلاق یا فسخ را برای زوجه یا حاکم ثابت کند .</w:t>
      </w:r>
    </w:p>
    <w:p w:rsidR="00247D2F" w:rsidRPr="003A6148" w:rsidRDefault="00247D2F" w:rsidP="009F2044">
      <w:pPr>
        <w:pBdr>
          <w:bottom w:val="double" w:sz="6" w:space="1" w:color="auto"/>
        </w:pBdr>
        <w:jc w:val="both"/>
      </w:pPr>
    </w:p>
    <w:p w:rsidR="008F5B4D" w:rsidRDefault="008F5B4D" w:rsidP="009F2044">
      <w:pPr>
        <w:jc w:val="both"/>
      </w:pPr>
    </w:p>
    <w:p w:rsidR="00B239E4" w:rsidRDefault="00B239E4" w:rsidP="009F2044">
      <w:pPr>
        <w:pStyle w:val="Heading1"/>
        <w:jc w:val="both"/>
        <w:rPr>
          <w:rtl/>
        </w:rPr>
      </w:pPr>
      <w:bookmarkStart w:id="1" w:name="_Toc51504833"/>
      <w:r>
        <w:rPr>
          <w:rFonts w:hint="cs"/>
          <w:rtl/>
        </w:rPr>
        <w:t>اشکالی به کلام آقای سیستانی و پاسخ به آن</w:t>
      </w:r>
      <w:bookmarkEnd w:id="1"/>
    </w:p>
    <w:p w:rsidR="00B239E4" w:rsidRDefault="00B239E4" w:rsidP="009F2044">
      <w:pPr>
        <w:jc w:val="both"/>
        <w:rPr>
          <w:rtl/>
        </w:rPr>
      </w:pPr>
      <w:r>
        <w:rPr>
          <w:rFonts w:hint="cs"/>
          <w:rtl/>
        </w:rPr>
        <w:t>در جلسۀ گذشته به اشکالی به کلام آقای سیستانی اشاره شد که عبارتست از این که اگر چنانچه شارع برای عدم تضرر زوجه</w:t>
      </w:r>
      <w:r w:rsidR="006353BB">
        <w:rPr>
          <w:rFonts w:hint="cs"/>
          <w:rtl/>
        </w:rPr>
        <w:t>،</w:t>
      </w:r>
      <w:r>
        <w:rPr>
          <w:rFonts w:hint="cs"/>
          <w:rtl/>
        </w:rPr>
        <w:t xml:space="preserve"> حق طلاق یا فسخ را برای حاکم یا خود زوجه جعل نکند زوجه متضرر می شود و اگر جعل کند زوج متضرر می شود بنابراین این بحث از مصادیق تزاحم ضررین است خصوصا در حالت عدم تمکن زوجه چون اگر متمکن باشد ممکن است گفته شود مقصر خود اوست </w:t>
      </w:r>
      <w:r w:rsidR="006353BB">
        <w:rPr>
          <w:rFonts w:hint="cs"/>
          <w:rtl/>
        </w:rPr>
        <w:t>و لا ضرر در حقش جاری نمی شود</w:t>
      </w:r>
      <w:r>
        <w:rPr>
          <w:rFonts w:hint="cs"/>
          <w:rtl/>
        </w:rPr>
        <w:t>.</w:t>
      </w:r>
    </w:p>
    <w:p w:rsidR="009F2044" w:rsidRDefault="00B239E4" w:rsidP="009F2044">
      <w:pPr>
        <w:jc w:val="both"/>
        <w:rPr>
          <w:rtl/>
        </w:rPr>
      </w:pPr>
      <w:r>
        <w:rPr>
          <w:rFonts w:hint="cs"/>
          <w:rtl/>
        </w:rPr>
        <w:t xml:space="preserve">پاسخ به این اشکال عبارتست از این که اگر در ذهن عقلای متشرعه حق زوج و </w:t>
      </w:r>
      <w:r w:rsidR="006353BB">
        <w:rPr>
          <w:rFonts w:hint="cs"/>
          <w:rtl/>
        </w:rPr>
        <w:t>قوام بودن</w:t>
      </w:r>
      <w:r>
        <w:rPr>
          <w:rFonts w:hint="cs"/>
          <w:rtl/>
        </w:rPr>
        <w:t xml:space="preserve"> او به نحو مطلق باشد ، شارع با جعل حق طلاق یا فسخ این حق را محدود ساخته و به وی ضرر وارد می </w:t>
      </w:r>
      <w:r w:rsidR="006353BB">
        <w:rPr>
          <w:rFonts w:hint="cs"/>
          <w:rtl/>
        </w:rPr>
        <w:t>کند</w:t>
      </w:r>
      <w:r>
        <w:rPr>
          <w:rFonts w:hint="cs"/>
          <w:rtl/>
        </w:rPr>
        <w:t xml:space="preserve"> چون ضرر در جاییست که جلوی اقتضای ذاتی حق شخص را بگیریم و لکن در اینجا </w:t>
      </w:r>
      <w:r w:rsidR="006353BB">
        <w:rPr>
          <w:rFonts w:hint="cs"/>
          <w:rtl/>
        </w:rPr>
        <w:t xml:space="preserve">چنین حقی برای زوج ثابت نیست چون </w:t>
      </w:r>
      <w:r>
        <w:rPr>
          <w:rFonts w:hint="cs"/>
          <w:rtl/>
        </w:rPr>
        <w:t xml:space="preserve">اصل اولی بر آزادی زن و عدم سلطۀ زوج بر </w:t>
      </w:r>
      <w:r>
        <w:rPr>
          <w:rFonts w:hint="cs"/>
          <w:rtl/>
        </w:rPr>
        <w:lastRenderedPageBreak/>
        <w:t xml:space="preserve">اوست که این آزادی به خاطر تحقق نکاح محدود شده و این زن تحت </w:t>
      </w:r>
      <w:r w:rsidR="00E42106" w:rsidRPr="006353BB">
        <w:rPr>
          <w:rFonts w:hint="cs"/>
          <w:rtl/>
        </w:rPr>
        <w:t>قیمومیت</w:t>
      </w:r>
      <w:r>
        <w:rPr>
          <w:rFonts w:hint="cs"/>
          <w:rtl/>
        </w:rPr>
        <w:t xml:space="preserve"> مرد در می آید ولی به ا</w:t>
      </w:r>
      <w:r w:rsidR="00260D37">
        <w:rPr>
          <w:rFonts w:hint="cs"/>
          <w:rtl/>
        </w:rPr>
        <w:t xml:space="preserve">زای این سلب آزادی مرد موظف است </w:t>
      </w:r>
      <w:r>
        <w:rPr>
          <w:rFonts w:hint="cs"/>
          <w:rtl/>
        </w:rPr>
        <w:t xml:space="preserve">حقوق این زن را ادا کند چرا که زن بردۀ شوهر محسوب نمی شود تا در هر شرائطی ولو بدون ادای حقش موظف باشد تحت اختیار شوهرش باشد لذا با عدم پرداخت نفقه به زن حقش ادا نشده </w:t>
      </w:r>
      <w:r w:rsidR="006353BB">
        <w:rPr>
          <w:rFonts w:hint="cs"/>
          <w:rtl/>
        </w:rPr>
        <w:t xml:space="preserve">و او متضرر می شود؛ </w:t>
      </w:r>
      <w:r w:rsidR="00260D37">
        <w:rPr>
          <w:rFonts w:hint="cs"/>
          <w:rtl/>
        </w:rPr>
        <w:t>از طرفی وجود حق در چنین ظرفی نه شرعاً و نه عقلائیاً برای مرد ثابت نیست تا ضرر در مورد وی محقق شو</w:t>
      </w:r>
      <w:r w:rsidR="00A359DD">
        <w:rPr>
          <w:rFonts w:hint="cs"/>
          <w:rtl/>
        </w:rPr>
        <w:t>د.</w:t>
      </w:r>
      <w:r w:rsidR="00260D37">
        <w:rPr>
          <w:rFonts w:hint="cs"/>
          <w:rtl/>
        </w:rPr>
        <w:t>خداوند که در قرآن می فرماید :</w:t>
      </w:r>
    </w:p>
    <w:p w:rsidR="00260D37" w:rsidRPr="009F2044" w:rsidRDefault="00260D37" w:rsidP="009F2044">
      <w:pPr>
        <w:jc w:val="both"/>
        <w:rPr>
          <w:rFonts w:ascii="Sakkal Majalla" w:hAnsi="Sakkal Majalla" w:cs="Sakkal Majalla"/>
          <w:color w:val="000000"/>
          <w:rtl/>
        </w:rPr>
      </w:pPr>
      <w:r w:rsidRPr="00260D37">
        <w:rPr>
          <w:rFonts w:ascii="Sakkal Majalla" w:hAnsi="Sakkal Majalla" w:cs="Sakkal Majalla" w:hint="cs"/>
          <w:color w:val="008000"/>
          <w:rtl/>
        </w:rPr>
        <w:t>﴿</w:t>
      </w:r>
      <w:r w:rsidRPr="00260D37">
        <w:rPr>
          <w:rFonts w:hint="cs"/>
          <w:color w:val="008000"/>
          <w:rtl/>
        </w:rPr>
        <w:t>الرِّجالُ قَوَّامُونَ عَلَى النِّساءِ بِما فَضَّلَ اللَّهُ بَعْضَهُمْ عَلى‏ بَعْضٍ وَ بِما أَنْفَقُوا مِنْ أَمْوالِه</w:t>
      </w:r>
      <w:r>
        <w:rPr>
          <w:rFonts w:hint="cs"/>
          <w:color w:val="008000"/>
          <w:rtl/>
        </w:rPr>
        <w:t>...</w:t>
      </w:r>
      <w:r w:rsidRPr="00260D37">
        <w:rPr>
          <w:rFonts w:ascii="Sakkal Majalla" w:hAnsi="Sakkal Majalla" w:cs="Sakkal Majalla" w:hint="cs"/>
          <w:color w:val="008000"/>
          <w:rtl/>
        </w:rPr>
        <w:t xml:space="preserve"> ﴾</w:t>
      </w:r>
      <w:r>
        <w:rPr>
          <w:rStyle w:val="FootnoteReference"/>
          <w:rFonts w:ascii="Sakkal Majalla" w:hAnsi="Sakkal Majalla" w:cs="Sakkal Majalla"/>
          <w:color w:val="008000"/>
          <w:rtl/>
        </w:rPr>
        <w:footnoteReference w:id="1"/>
      </w:r>
    </w:p>
    <w:p w:rsidR="00260D37" w:rsidRPr="00260D37" w:rsidRDefault="00260D37" w:rsidP="009F2044">
      <w:pPr>
        <w:jc w:val="both"/>
        <w:rPr>
          <w:rFonts w:ascii="Sakkal Majalla" w:hAnsi="Sakkal Majalla" w:cs="Sakkal Majalla"/>
          <w:color w:val="008000"/>
        </w:rPr>
      </w:pPr>
      <w:r>
        <w:rPr>
          <w:rFonts w:ascii="Sakkal Majalla" w:hAnsi="Sakkal Majalla" w:cs="Sakkal Majalla" w:hint="cs"/>
          <w:color w:val="008000"/>
          <w:rtl/>
        </w:rPr>
        <w:t>﴿</w:t>
      </w:r>
      <w:r w:rsidRPr="00260D37">
        <w:rPr>
          <w:rFonts w:hint="cs"/>
          <w:color w:val="008000"/>
          <w:rtl/>
        </w:rPr>
        <w:t xml:space="preserve"> الطَّلاقُ مَرَّتانِ فَإِمْساكٌ بِمَعْرُوفٍ أَوْ تَسْريحٌ بِإِحْسان ...‏</w:t>
      </w:r>
      <w:r w:rsidRPr="00260D37">
        <w:rPr>
          <w:rFonts w:ascii="Sakkal Majalla" w:hAnsi="Sakkal Majalla" w:cs="Sakkal Majalla"/>
          <w:color w:val="008000"/>
          <w:rtl/>
        </w:rPr>
        <w:t>﴾</w:t>
      </w:r>
      <w:r>
        <w:rPr>
          <w:rStyle w:val="FootnoteReference"/>
          <w:rFonts w:ascii="Sakkal Majalla" w:hAnsi="Sakkal Majalla" w:cs="Sakkal Majalla"/>
          <w:color w:val="008000"/>
        </w:rPr>
        <w:footnoteReference w:id="2"/>
      </w:r>
    </w:p>
    <w:p w:rsidR="005A0025" w:rsidRDefault="00260D37" w:rsidP="009F2044">
      <w:pPr>
        <w:jc w:val="both"/>
        <w:rPr>
          <w:color w:val="000000"/>
          <w:rtl/>
        </w:rPr>
      </w:pPr>
      <w:r>
        <w:rPr>
          <w:rFonts w:hint="cs"/>
          <w:rtl/>
        </w:rPr>
        <w:t xml:space="preserve">ممکن است </w:t>
      </w:r>
      <w:r w:rsidR="009F2044">
        <w:rPr>
          <w:rFonts w:hint="cs"/>
          <w:rtl/>
        </w:rPr>
        <w:t xml:space="preserve">این دو آیه </w:t>
      </w:r>
      <w:r>
        <w:rPr>
          <w:rFonts w:hint="cs"/>
          <w:rtl/>
        </w:rPr>
        <w:t>ناظر به همین مطلب باش</w:t>
      </w:r>
      <w:r w:rsidR="009F2044">
        <w:rPr>
          <w:rFonts w:hint="cs"/>
          <w:rtl/>
        </w:rPr>
        <w:t>ن</w:t>
      </w:r>
      <w:r>
        <w:rPr>
          <w:rFonts w:hint="cs"/>
          <w:rtl/>
        </w:rPr>
        <w:t>د که قوامیت رجال در ازای انفاق است و در نتیجه در فرض عدم انفاق چنین حقی نداشته و لا ضرر در مورد ایشان جاری نمی شود تا تزاحم ضررین رخ دهد .</w:t>
      </w:r>
    </w:p>
    <w:p w:rsidR="005A0025" w:rsidRDefault="005A0025" w:rsidP="009F2044">
      <w:pPr>
        <w:pStyle w:val="Heading2"/>
        <w:jc w:val="both"/>
        <w:rPr>
          <w:rtl/>
        </w:rPr>
      </w:pPr>
      <w:bookmarkStart w:id="2" w:name="_Toc51504834"/>
      <w:r>
        <w:rPr>
          <w:rFonts w:hint="cs"/>
          <w:rtl/>
        </w:rPr>
        <w:t>تذکر چند نکته</w:t>
      </w:r>
      <w:bookmarkEnd w:id="2"/>
    </w:p>
    <w:p w:rsidR="00260D37" w:rsidRPr="005A0025" w:rsidRDefault="00A359DD" w:rsidP="009F2044">
      <w:pPr>
        <w:pStyle w:val="ListParagraph"/>
        <w:numPr>
          <w:ilvl w:val="0"/>
          <w:numId w:val="17"/>
        </w:numPr>
        <w:jc w:val="both"/>
        <w:rPr>
          <w:color w:val="000000"/>
        </w:rPr>
      </w:pPr>
      <w:r w:rsidRPr="005A0025">
        <w:rPr>
          <w:rFonts w:hint="cs"/>
          <w:color w:val="000000"/>
          <w:rtl/>
        </w:rPr>
        <w:t>ما نمی خواهیم مستقیماً به خود این آیات تمسک کنیم بلکه این آیات زمینه ساز فهم عرف متشرعه و ذهنیت مردم بوده که با این ذهنیت حقی</w:t>
      </w:r>
      <w:r w:rsidR="00E42106">
        <w:rPr>
          <w:rFonts w:hint="cs"/>
          <w:color w:val="000000"/>
          <w:rtl/>
        </w:rPr>
        <w:t xml:space="preserve"> و لو اقتضاءاً</w:t>
      </w:r>
      <w:r w:rsidRPr="005A0025">
        <w:rPr>
          <w:rFonts w:hint="cs"/>
          <w:color w:val="000000"/>
          <w:rtl/>
        </w:rPr>
        <w:t xml:space="preserve"> برای زوج قائل نیستند تا لا ضرر را شامل وی بدانند .</w:t>
      </w:r>
    </w:p>
    <w:p w:rsidR="00B239E4" w:rsidRDefault="005A0025" w:rsidP="009F2044">
      <w:pPr>
        <w:pStyle w:val="ListParagraph"/>
        <w:numPr>
          <w:ilvl w:val="0"/>
          <w:numId w:val="17"/>
        </w:numPr>
        <w:jc w:val="both"/>
      </w:pPr>
      <w:r>
        <w:rPr>
          <w:rFonts w:hint="cs"/>
          <w:rtl/>
        </w:rPr>
        <w:t>این بیانات در خصوص نفقه است و لکن در غیر نفقه باید به</w:t>
      </w:r>
      <w:r w:rsidR="00E42106">
        <w:rPr>
          <w:rFonts w:hint="cs"/>
          <w:rtl/>
        </w:rPr>
        <w:t xml:space="preserve"> مجموع</w:t>
      </w:r>
      <w:r>
        <w:rPr>
          <w:rFonts w:hint="cs"/>
          <w:rtl/>
        </w:rPr>
        <w:t xml:space="preserve"> ادله رجوع نمود تا روشن شود شارع توسعه ای برای زوج قائل شده یا نه </w:t>
      </w:r>
      <w:r w:rsidR="006353BB">
        <w:rPr>
          <w:rFonts w:hint="cs"/>
          <w:rtl/>
        </w:rPr>
        <w:t>و این که</w:t>
      </w:r>
      <w:r>
        <w:rPr>
          <w:rFonts w:hint="cs"/>
          <w:rtl/>
        </w:rPr>
        <w:t xml:space="preserve"> چه ذهنیتی در مورد زوجیت وجود </w:t>
      </w:r>
      <w:r w:rsidR="006353BB">
        <w:rPr>
          <w:rFonts w:hint="cs"/>
          <w:rtl/>
        </w:rPr>
        <w:t>داشته است</w:t>
      </w:r>
      <w:r>
        <w:rPr>
          <w:rFonts w:hint="cs"/>
          <w:rtl/>
        </w:rPr>
        <w:t xml:space="preserve"> .</w:t>
      </w:r>
    </w:p>
    <w:p w:rsidR="005A0025" w:rsidRDefault="005A0025" w:rsidP="009F2044">
      <w:pPr>
        <w:pStyle w:val="ListParagraph"/>
        <w:numPr>
          <w:ilvl w:val="0"/>
          <w:numId w:val="17"/>
        </w:numPr>
        <w:jc w:val="both"/>
      </w:pPr>
      <w:r>
        <w:rPr>
          <w:rFonts w:hint="cs"/>
          <w:rtl/>
        </w:rPr>
        <w:t>به دلیل وجود یک سری از نکات</w:t>
      </w:r>
      <w:r w:rsidR="006353BB">
        <w:rPr>
          <w:rFonts w:hint="cs"/>
          <w:rtl/>
        </w:rPr>
        <w:t>،</w:t>
      </w:r>
      <w:r>
        <w:rPr>
          <w:rFonts w:hint="cs"/>
          <w:rtl/>
        </w:rPr>
        <w:t xml:space="preserve"> نکاح نباید به راحتی</w:t>
      </w:r>
      <w:r w:rsidR="00E42106">
        <w:rPr>
          <w:rFonts w:hint="cs"/>
          <w:rtl/>
        </w:rPr>
        <w:t xml:space="preserve"> و یدون سبب شرعی</w:t>
      </w:r>
      <w:r>
        <w:rPr>
          <w:rFonts w:hint="cs"/>
          <w:rtl/>
        </w:rPr>
        <w:t xml:space="preserve"> از بین برود لذا عقلاء به زن این اجازه را نمی دهند که به محض عدم پرداخت نفقه توسط شوهر فردای آن روز برای طلاق یا فسخ اقدام نماید و معنای امساک بمعروف یا تسریح به احسان و ... هم چنین چیزی نیست بنابراین باید زن به تعبیری به بن بست برسد تا بتواند برای طلاق و فسخ اقدام کند و در این گونه موارد می توان </w:t>
      </w:r>
      <w:r w:rsidR="009F2044">
        <w:rPr>
          <w:rFonts w:hint="cs"/>
          <w:rtl/>
        </w:rPr>
        <w:t xml:space="preserve">به نحوی </w:t>
      </w:r>
      <w:r>
        <w:rPr>
          <w:rFonts w:hint="cs"/>
          <w:rtl/>
        </w:rPr>
        <w:t xml:space="preserve">تزاحم ضررین </w:t>
      </w:r>
      <w:r w:rsidR="009F2044">
        <w:rPr>
          <w:rFonts w:hint="cs"/>
          <w:rtl/>
        </w:rPr>
        <w:t xml:space="preserve">نبودن را </w:t>
      </w:r>
      <w:r>
        <w:rPr>
          <w:rFonts w:hint="cs"/>
          <w:rtl/>
        </w:rPr>
        <w:t xml:space="preserve"> تصویر کرد چون اگر قرار باشد شارع به محض عدم انفاق سریعاً به زن حق طلاق یا فسخ دهد مرد متضرر میشود </w:t>
      </w:r>
      <w:r w:rsidR="00E42106">
        <w:rPr>
          <w:rFonts w:hint="cs"/>
          <w:rtl/>
        </w:rPr>
        <w:t>و حقش ضایع میشود</w:t>
      </w:r>
      <w:r>
        <w:rPr>
          <w:rFonts w:hint="cs"/>
          <w:rtl/>
        </w:rPr>
        <w:t xml:space="preserve">. آنچه حق </w:t>
      </w:r>
      <w:r w:rsidR="00E42106" w:rsidRPr="00E42106">
        <w:rPr>
          <w:rFonts w:cs="B Badr" w:hint="cs"/>
          <w:rtl/>
        </w:rPr>
        <w:t>قیمومیت</w:t>
      </w:r>
      <w:r>
        <w:rPr>
          <w:rFonts w:hint="cs"/>
          <w:rtl/>
        </w:rPr>
        <w:t xml:space="preserve"> مرد را مقید می کند این مقدار عدم پرداخت نفقه نیست بلکه باید به گونه ای باشد که زن دیگر راهی برای استیفاء حقش نداشته باشد</w:t>
      </w:r>
      <w:r w:rsidR="00E42106">
        <w:rPr>
          <w:rFonts w:hint="cs"/>
          <w:rtl/>
        </w:rPr>
        <w:t xml:space="preserve"> و زن مستأصل شود  ولو بخاطر عدم تمکن زوج از انفاق</w:t>
      </w:r>
      <w:r>
        <w:rPr>
          <w:rFonts w:hint="cs"/>
          <w:rtl/>
        </w:rPr>
        <w:t>.</w:t>
      </w:r>
    </w:p>
    <w:p w:rsidR="00447D6D" w:rsidRDefault="00447D6D" w:rsidP="009F2044">
      <w:pPr>
        <w:ind w:left="180"/>
        <w:jc w:val="both"/>
        <w:rPr>
          <w:rtl/>
        </w:rPr>
      </w:pPr>
      <w:r>
        <w:rPr>
          <w:rFonts w:hint="cs"/>
          <w:rtl/>
        </w:rPr>
        <w:lastRenderedPageBreak/>
        <w:t>البته همانطور که گفته شد لا ضرر نسبت به این که چگونه این ضرر دفع شود ساکت بوده و بیان زائدی می طلبد چرا که رفع ضرر می تواند به انحاء مختلفی صورت گیرد .</w:t>
      </w:r>
    </w:p>
    <w:p w:rsidR="00447D6D" w:rsidRDefault="00447D6D" w:rsidP="009F2044">
      <w:pPr>
        <w:ind w:left="180"/>
        <w:jc w:val="both"/>
        <w:rPr>
          <w:rtl/>
        </w:rPr>
      </w:pPr>
      <w:r>
        <w:rPr>
          <w:rFonts w:hint="cs"/>
          <w:rtl/>
        </w:rPr>
        <w:t>سئوال : لا ضرر می تواند به زن اجازه دهد خودش به سر کار برود و نفقه خود را تامین کند و مثلا حق بیرون رفتن از خانه بدون اجازه شوهر را دارا شود لذا لزومی ندارد طلاق یا فسخ صورت گیرد .</w:t>
      </w:r>
    </w:p>
    <w:p w:rsidR="00447D6D" w:rsidRDefault="00447D6D" w:rsidP="009F2044">
      <w:pPr>
        <w:ind w:left="180"/>
        <w:jc w:val="both"/>
        <w:rPr>
          <w:rtl/>
        </w:rPr>
      </w:pPr>
      <w:r>
        <w:rPr>
          <w:rFonts w:hint="cs"/>
          <w:rtl/>
        </w:rPr>
        <w:t xml:space="preserve">پاسخ : </w:t>
      </w:r>
      <w:r w:rsidR="00E42106">
        <w:rPr>
          <w:rFonts w:hint="cs"/>
          <w:rtl/>
        </w:rPr>
        <w:t xml:space="preserve">برخی عامه شبیه این حرفها را دارند و لکن </w:t>
      </w:r>
      <w:r>
        <w:rPr>
          <w:rFonts w:hint="cs"/>
          <w:rtl/>
        </w:rPr>
        <w:t>باید در فضای ادله</w:t>
      </w:r>
      <w:r w:rsidR="006353BB">
        <w:rPr>
          <w:rFonts w:hint="cs"/>
          <w:rtl/>
        </w:rPr>
        <w:t xml:space="preserve"> ای مثل آیات مذک</w:t>
      </w:r>
      <w:r w:rsidR="00E42106">
        <w:rPr>
          <w:rFonts w:hint="cs"/>
          <w:rtl/>
        </w:rPr>
        <w:t>ور</w:t>
      </w:r>
      <w:r>
        <w:rPr>
          <w:rFonts w:hint="cs"/>
          <w:rtl/>
        </w:rPr>
        <w:t xml:space="preserve"> مفهوم زوجیت را تحلیل کرد که به نظر می رسد</w:t>
      </w:r>
      <w:r w:rsidR="00E42106">
        <w:rPr>
          <w:rFonts w:hint="cs"/>
          <w:rtl/>
        </w:rPr>
        <w:t xml:space="preserve"> از منظرعقلای متشرع</w:t>
      </w:r>
      <w:r>
        <w:rPr>
          <w:rFonts w:hint="cs"/>
          <w:rtl/>
        </w:rPr>
        <w:t xml:space="preserve"> قوام نکاح به انفاق است و در صورت عدم انفاق اصل نکاح متزلزل میشود .</w:t>
      </w:r>
    </w:p>
    <w:p w:rsidR="00B239E4" w:rsidRDefault="00447D6D" w:rsidP="009F2044">
      <w:pPr>
        <w:jc w:val="both"/>
        <w:rPr>
          <w:rtl/>
        </w:rPr>
      </w:pPr>
      <w:r>
        <w:rPr>
          <w:rFonts w:hint="cs"/>
          <w:rtl/>
        </w:rPr>
        <w:t>خلاصه این که اشکال مذکور به کلام آقای سیستانی وارد نیست چرا که ثبوت چنین حقی برای زوج ثابت نیست همانطور که در قضیۀ سمره ایشان به این اشکال اینگونه پاسخ دادند که سلطنت سمره نسبت به درخت خود چنین اطلاقی ندارد که بتواند به واسطۀ آن به دیگران ضرر بزند.</w:t>
      </w:r>
    </w:p>
    <w:p w:rsidR="00447D6D" w:rsidRDefault="00447D6D" w:rsidP="009F2044">
      <w:pPr>
        <w:pStyle w:val="ListParagraph"/>
        <w:numPr>
          <w:ilvl w:val="0"/>
          <w:numId w:val="17"/>
        </w:numPr>
        <w:jc w:val="both"/>
        <w:rPr>
          <w:rtl/>
        </w:rPr>
      </w:pPr>
      <w:r>
        <w:rPr>
          <w:rFonts w:hint="cs"/>
          <w:rtl/>
        </w:rPr>
        <w:t xml:space="preserve">این بیان با شرط ارتکازی بودن هم متفاوت است چون در اینجا این گونه نیست که بگوئیم طرفین </w:t>
      </w:r>
      <w:r w:rsidR="009F2044">
        <w:rPr>
          <w:rFonts w:hint="cs"/>
          <w:rtl/>
        </w:rPr>
        <w:t>علقه‌ی</w:t>
      </w:r>
      <w:r>
        <w:rPr>
          <w:rFonts w:hint="cs"/>
          <w:rtl/>
        </w:rPr>
        <w:t xml:space="preserve"> زوجیت خود</w:t>
      </w:r>
      <w:r w:rsidR="00B0669A">
        <w:rPr>
          <w:rFonts w:hint="cs"/>
          <w:rtl/>
        </w:rPr>
        <w:t xml:space="preserve"> را وابسته به انفاق کرده اند</w:t>
      </w:r>
      <w:r>
        <w:rPr>
          <w:rFonts w:hint="cs"/>
          <w:rtl/>
        </w:rPr>
        <w:t xml:space="preserve"> بلکه علقه</w:t>
      </w:r>
      <w:r w:rsidR="00B0669A">
        <w:rPr>
          <w:rFonts w:hint="cs"/>
          <w:rtl/>
        </w:rPr>
        <w:t xml:space="preserve"> ای</w:t>
      </w:r>
      <w:r w:rsidR="009F2044">
        <w:rPr>
          <w:rFonts w:hint="cs"/>
          <w:rtl/>
        </w:rPr>
        <w:t xml:space="preserve"> که</w:t>
      </w:r>
      <w:r w:rsidR="00B0669A">
        <w:rPr>
          <w:rFonts w:hint="cs"/>
          <w:rtl/>
        </w:rPr>
        <w:t xml:space="preserve"> شارع ایجاد کرده</w:t>
      </w:r>
      <w:r>
        <w:rPr>
          <w:rFonts w:hint="cs"/>
          <w:rtl/>
        </w:rPr>
        <w:t xml:space="preserve"> یک نحو تقییدی به این دارد که باید امساک به معروف در آن رعایت شود .</w:t>
      </w:r>
    </w:p>
    <w:p w:rsidR="006C021D" w:rsidRDefault="006C021D" w:rsidP="009F2044">
      <w:pPr>
        <w:jc w:val="both"/>
        <w:rPr>
          <w:rtl/>
        </w:rPr>
      </w:pPr>
      <w:r>
        <w:rPr>
          <w:rFonts w:hint="cs"/>
          <w:rtl/>
        </w:rPr>
        <w:t>البته اشکال اول ما به آقای سیستانی این بود که بین دو تقریب ایشان فرقی نیست از این جهت که طبق هر دو تقریب راه دفع ضرر متعین نبوده و باید از خارج ثابت شود چر</w:t>
      </w:r>
      <w:r w:rsidR="00004B14">
        <w:rPr>
          <w:rFonts w:hint="cs"/>
          <w:rtl/>
        </w:rPr>
        <w:t>ا</w:t>
      </w:r>
      <w:r>
        <w:rPr>
          <w:rFonts w:hint="cs"/>
          <w:rtl/>
        </w:rPr>
        <w:t xml:space="preserve"> که دفع ضرر می توان</w:t>
      </w:r>
      <w:r w:rsidR="00004B14">
        <w:rPr>
          <w:rFonts w:hint="cs"/>
          <w:rtl/>
        </w:rPr>
        <w:t>د</w:t>
      </w:r>
      <w:r>
        <w:rPr>
          <w:rFonts w:hint="cs"/>
          <w:rtl/>
        </w:rPr>
        <w:t xml:space="preserve"> به جعل حق طلاق برای زوجه یا حاکم یا عدول مؤمنین یا ... باشد .</w:t>
      </w:r>
    </w:p>
    <w:p w:rsidR="006C021D" w:rsidRDefault="006C021D" w:rsidP="009F2044">
      <w:pPr>
        <w:pStyle w:val="ListParagraph"/>
        <w:numPr>
          <w:ilvl w:val="0"/>
          <w:numId w:val="17"/>
        </w:numPr>
        <w:jc w:val="both"/>
      </w:pPr>
      <w:r>
        <w:rPr>
          <w:rFonts w:hint="cs"/>
          <w:rtl/>
        </w:rPr>
        <w:t>نکتۀ دیگر این که همانطور که آقای حائری در حاشیه فرمودند برای ضابطه مند شدن مسأله نباید این گونه باشد که زن هر موقع خودش تشخیص داد بتواند اقدام به طلاق کند چرا که در این صورت ممکن است زن یک ادعایی کند و مرد ادعایی دیگر لذا به حکم عقلاء زن اگر هم می خواهد نکاح را از بین ببرد و ضرر را از خود دفع کند نوعاً باید ادعای خود را به محکمۀ صالحه ببرد و از طریق قانونی اقدام نماید و امر به ید حاکم شرع است .</w:t>
      </w:r>
    </w:p>
    <w:p w:rsidR="006C021D" w:rsidRDefault="006C021D" w:rsidP="009F2044">
      <w:pPr>
        <w:pStyle w:val="Heading1"/>
        <w:jc w:val="both"/>
        <w:rPr>
          <w:rtl/>
        </w:rPr>
      </w:pPr>
      <w:bookmarkStart w:id="3" w:name="_Toc51504835"/>
      <w:r>
        <w:rPr>
          <w:rFonts w:hint="cs"/>
          <w:rtl/>
        </w:rPr>
        <w:t>مرحلۀ سوم بحث : بررسی ادلۀ خاصه</w:t>
      </w:r>
      <w:bookmarkEnd w:id="3"/>
    </w:p>
    <w:p w:rsidR="00B239E4" w:rsidRDefault="00B239E4" w:rsidP="009F2044">
      <w:pPr>
        <w:jc w:val="both"/>
        <w:rPr>
          <w:rtl/>
        </w:rPr>
      </w:pPr>
      <w:r>
        <w:rPr>
          <w:rFonts w:hint="cs"/>
          <w:rtl/>
        </w:rPr>
        <w:t xml:space="preserve">مرحلۀ بعدی بحث </w:t>
      </w:r>
      <w:r w:rsidR="006C021D">
        <w:rPr>
          <w:rFonts w:hint="cs"/>
          <w:rtl/>
        </w:rPr>
        <w:t xml:space="preserve">از </w:t>
      </w:r>
      <w:r>
        <w:rPr>
          <w:rFonts w:hint="cs"/>
          <w:rtl/>
        </w:rPr>
        <w:t xml:space="preserve">ادله خاصه است </w:t>
      </w:r>
      <w:r w:rsidR="006C021D">
        <w:rPr>
          <w:rFonts w:hint="cs"/>
          <w:rtl/>
        </w:rPr>
        <w:t>.</w:t>
      </w:r>
    </w:p>
    <w:p w:rsidR="00AD7255" w:rsidRDefault="00AD7255" w:rsidP="009F2044">
      <w:pPr>
        <w:jc w:val="both"/>
        <w:rPr>
          <w:rtl/>
        </w:rPr>
      </w:pPr>
      <w:r>
        <w:rPr>
          <w:rFonts w:hint="cs"/>
          <w:rtl/>
        </w:rPr>
        <w:t>در جامع احادیث ابواب النفقات جلد 26 روایت از روایت نه به بعد مربوط به بحث ماست که روایت اولش را آقای سیستانی تعبیر می کنند «</w:t>
      </w:r>
      <w:r w:rsidRPr="00AD7255">
        <w:rPr>
          <w:rFonts w:hint="cs"/>
          <w:color w:val="000080"/>
          <w:rtl/>
        </w:rPr>
        <w:t>بسند مخدوش</w:t>
      </w:r>
      <w:r>
        <w:rPr>
          <w:rFonts w:hint="cs"/>
          <w:rtl/>
        </w:rPr>
        <w:t>»</w:t>
      </w:r>
      <w:r>
        <w:rPr>
          <w:rStyle w:val="FootnoteReference"/>
          <w:rtl/>
        </w:rPr>
        <w:footnoteReference w:id="3"/>
      </w:r>
      <w:r>
        <w:rPr>
          <w:rFonts w:hint="cs"/>
          <w:rtl/>
        </w:rPr>
        <w:t xml:space="preserve"> .</w:t>
      </w:r>
    </w:p>
    <w:p w:rsidR="00AD7255" w:rsidRDefault="00AD7255" w:rsidP="009F2044">
      <w:pPr>
        <w:jc w:val="both"/>
        <w:rPr>
          <w:rtl/>
        </w:rPr>
      </w:pPr>
      <w:r>
        <w:rPr>
          <w:rFonts w:hint="cs"/>
          <w:rtl/>
        </w:rPr>
        <w:t>در اینجا به ذکر روای</w:t>
      </w:r>
      <w:r w:rsidR="00004B14">
        <w:rPr>
          <w:rFonts w:hint="cs"/>
          <w:rtl/>
        </w:rPr>
        <w:t>ا</w:t>
      </w:r>
      <w:r>
        <w:rPr>
          <w:rFonts w:hint="cs"/>
          <w:rtl/>
        </w:rPr>
        <w:t>ت می پردازیم :</w:t>
      </w:r>
    </w:p>
    <w:p w:rsidR="00AD7255" w:rsidRPr="009F2044" w:rsidRDefault="00AD7255" w:rsidP="009F2044">
      <w:pPr>
        <w:pStyle w:val="NormalWeb"/>
        <w:bidi/>
        <w:jc w:val="both"/>
        <w:rPr>
          <w:rFonts w:cs="B Badr"/>
          <w:color w:val="008000"/>
          <w:rtl/>
        </w:rPr>
      </w:pPr>
      <w:r w:rsidRPr="009F2044">
        <w:rPr>
          <w:rFonts w:ascii="Noor_Nazli" w:hAnsi="Noor_Nazli" w:cs="B Badr" w:hint="cs"/>
          <w:color w:val="008000"/>
          <w:sz w:val="30"/>
          <w:szCs w:val="30"/>
          <w:rtl/>
        </w:rPr>
        <w:t>1605- 39887- (9) كافى‏ 5/ 512: أبو على الأشعرى عن محمد بن عبد الجبار أو غيره عن ابن فضال عن غالب بن عثمان عن روح بن عبد الرحيم قال قلت لأبى عبدالله عليه السلام قوله عزوجل‏ «و من قدر عليه رزقه فلينفق مما آتاه الله» قال إذا أنفق عليها ما يقيم ظهرها مع كسوة وإلا فرق بينهما</w:t>
      </w:r>
      <w:r w:rsidR="00B32E00" w:rsidRPr="009F2044">
        <w:rPr>
          <w:rFonts w:ascii="Noor_Nazli" w:hAnsi="Noor_Nazli" w:cs="B Badr" w:hint="cs"/>
          <w:color w:val="008000"/>
          <w:sz w:val="30"/>
          <w:szCs w:val="30"/>
          <w:rtl/>
        </w:rPr>
        <w:t xml:space="preserve"> . تفسير القمى‏ 2/ 375: أخبرنا أحمد بن إدريس عن أحمد ابن محمد عن الحسين بن سعيد عن النضر بن سويد عن عاصم بن حميد عن أبى بصير عن أبى عبدالله عليه السلام فى قول الله عزوجل‏ «و من قدر عليه رزقه فلينفق مما آتاه الله» وذكر نحوه.</w:t>
      </w:r>
      <w:r w:rsidR="00B32E00" w:rsidRPr="009F2044">
        <w:rPr>
          <w:rStyle w:val="FootnoteReference"/>
          <w:rFonts w:ascii="Noor_Nazli" w:hAnsi="Noor_Nazli" w:cs="B Badr"/>
          <w:color w:val="008000"/>
          <w:sz w:val="30"/>
          <w:szCs w:val="30"/>
          <w:rtl/>
        </w:rPr>
        <w:footnoteReference w:id="4"/>
      </w:r>
    </w:p>
    <w:p w:rsidR="00AD7255" w:rsidRDefault="00AD7255" w:rsidP="009F2044">
      <w:pPr>
        <w:pStyle w:val="Heading2"/>
        <w:jc w:val="both"/>
        <w:rPr>
          <w:rtl/>
        </w:rPr>
      </w:pPr>
      <w:bookmarkStart w:id="4" w:name="_Toc51504836"/>
      <w:r>
        <w:rPr>
          <w:rFonts w:hint="cs"/>
          <w:rtl/>
        </w:rPr>
        <w:t xml:space="preserve">چند </w:t>
      </w:r>
      <w:r w:rsidR="006353BB">
        <w:rPr>
          <w:rFonts w:hint="cs"/>
          <w:rtl/>
        </w:rPr>
        <w:t>نکته در مورد حدیث مذکور</w:t>
      </w:r>
      <w:bookmarkEnd w:id="4"/>
    </w:p>
    <w:p w:rsidR="00AD7255" w:rsidRDefault="009F2044" w:rsidP="009F2044">
      <w:pPr>
        <w:pStyle w:val="ListParagraph"/>
        <w:numPr>
          <w:ilvl w:val="0"/>
          <w:numId w:val="19"/>
        </w:numPr>
        <w:jc w:val="both"/>
      </w:pPr>
      <w:r>
        <w:rPr>
          <w:rFonts w:hint="cs"/>
          <w:rtl/>
        </w:rPr>
        <w:t>شاید</w:t>
      </w:r>
      <w:r w:rsidR="003172F2">
        <w:rPr>
          <w:rFonts w:hint="cs"/>
          <w:rtl/>
        </w:rPr>
        <w:t xml:space="preserve"> </w:t>
      </w:r>
      <w:r w:rsidR="00AD7255">
        <w:rPr>
          <w:rFonts w:hint="cs"/>
          <w:rtl/>
        </w:rPr>
        <w:t xml:space="preserve">این روایت می گوید زوج اگر هم تنگدست است باید به </w:t>
      </w:r>
      <w:r>
        <w:rPr>
          <w:rFonts w:hint="cs"/>
          <w:rtl/>
        </w:rPr>
        <w:t>حد</w:t>
      </w:r>
      <w:r w:rsidR="00DC64D5">
        <w:rPr>
          <w:rFonts w:hint="cs"/>
          <w:rtl/>
        </w:rPr>
        <w:t>اقلی که خدا به وی داده و</w:t>
      </w:r>
      <w:r w:rsidR="00AD7255">
        <w:rPr>
          <w:rFonts w:hint="cs"/>
          <w:rtl/>
        </w:rPr>
        <w:t xml:space="preserve"> در توانش است انفاق کند و </w:t>
      </w:r>
      <w:r w:rsidR="00AD7255" w:rsidRPr="00AD7255">
        <w:rPr>
          <w:rFonts w:hint="cs"/>
          <w:rtl/>
        </w:rPr>
        <w:t>از قضا مورد روایت هم کسی است که تنگدست است .</w:t>
      </w:r>
    </w:p>
    <w:p w:rsidR="00AD7255" w:rsidRDefault="00AD7255" w:rsidP="009F2044">
      <w:pPr>
        <w:pStyle w:val="ListParagraph"/>
        <w:numPr>
          <w:ilvl w:val="0"/>
          <w:numId w:val="19"/>
        </w:numPr>
        <w:jc w:val="both"/>
      </w:pPr>
      <w:r>
        <w:rPr>
          <w:rFonts w:hint="cs"/>
          <w:rtl/>
        </w:rPr>
        <w:t>تعبیر روایت ما یقیم ظهرها است</w:t>
      </w:r>
      <w:r w:rsidR="003172F2">
        <w:rPr>
          <w:rFonts w:hint="cs"/>
          <w:rtl/>
        </w:rPr>
        <w:t xml:space="preserve"> که</w:t>
      </w:r>
      <w:r>
        <w:rPr>
          <w:rFonts w:hint="cs"/>
          <w:rtl/>
        </w:rPr>
        <w:t xml:space="preserve"> </w:t>
      </w:r>
      <w:r w:rsidR="009F2044">
        <w:rPr>
          <w:rFonts w:hint="cs"/>
          <w:rtl/>
        </w:rPr>
        <w:t>شاید اشاره به حد</w:t>
      </w:r>
      <w:r w:rsidR="00DC64D5">
        <w:rPr>
          <w:rFonts w:hint="cs"/>
          <w:rtl/>
        </w:rPr>
        <w:t xml:space="preserve">اقل ما یحتاج زن باشد </w:t>
      </w:r>
      <w:r>
        <w:rPr>
          <w:rFonts w:hint="cs"/>
          <w:rtl/>
        </w:rPr>
        <w:t>یعنی تا وقتی زن مستأصل نشده نمی تواند جدا شود.</w:t>
      </w:r>
    </w:p>
    <w:p w:rsidR="00AD7255" w:rsidRDefault="009F2044" w:rsidP="009F2044">
      <w:pPr>
        <w:pStyle w:val="ListParagraph"/>
        <w:numPr>
          <w:ilvl w:val="0"/>
          <w:numId w:val="19"/>
        </w:numPr>
        <w:jc w:val="both"/>
      </w:pPr>
      <w:r>
        <w:rPr>
          <w:rFonts w:hint="cs"/>
          <w:rtl/>
        </w:rPr>
        <w:t xml:space="preserve">در این روایت </w:t>
      </w:r>
      <w:r w:rsidR="00AD7255">
        <w:rPr>
          <w:rFonts w:hint="cs"/>
          <w:rtl/>
        </w:rPr>
        <w:t xml:space="preserve">تعبیر </w:t>
      </w:r>
      <w:r>
        <w:rPr>
          <w:rFonts w:hint="cs"/>
          <w:rtl/>
        </w:rPr>
        <w:t>«</w:t>
      </w:r>
      <w:r w:rsidR="00AD7255">
        <w:rPr>
          <w:rFonts w:hint="cs"/>
          <w:rtl/>
        </w:rPr>
        <w:t>فرق بینهما</w:t>
      </w:r>
      <w:r>
        <w:rPr>
          <w:rFonts w:hint="cs"/>
          <w:rtl/>
        </w:rPr>
        <w:t>»</w:t>
      </w:r>
      <w:r w:rsidR="00AD7255">
        <w:rPr>
          <w:rFonts w:hint="cs"/>
          <w:rtl/>
        </w:rPr>
        <w:t xml:space="preserve"> آمده ولی نگفته چه کسی باید این دو را جدا ک</w:t>
      </w:r>
      <w:r w:rsidR="00DC64D5">
        <w:rPr>
          <w:rFonts w:hint="cs"/>
          <w:rtl/>
        </w:rPr>
        <w:t>ند که باید این قرینۀ خارجی را به آن ضمیمه کنیم که حاکم شرع مسئول تفریق بوده و به او واگذار شده است .</w:t>
      </w:r>
    </w:p>
    <w:p w:rsidR="001A1EA5" w:rsidRDefault="00B32E00" w:rsidP="009F2044">
      <w:pPr>
        <w:pStyle w:val="ListParagraph"/>
        <w:numPr>
          <w:ilvl w:val="0"/>
          <w:numId w:val="19"/>
        </w:numPr>
        <w:jc w:val="both"/>
      </w:pPr>
      <w:r>
        <w:rPr>
          <w:rFonts w:hint="cs"/>
          <w:rtl/>
        </w:rPr>
        <w:t>جامع احادیث با سبکی که دارد این دو حدیث را به دلیل اتحاد متن از هم جدا نکرده است و یک آدرس داده ولی بهتر این بود که این دو به دلیل تفاوت روات از هم جدا شود و برای هر یک رقم جداگانه بزند البته در کنار هم ذکر شود . در اینجا اگر چه احتمال وحدت مجلس صدور روایت هست و لکن چون دو راوی این را نقل کردند بهتر است جدا شود البته یک بحث مفصل در جای خودش وجود دارد که آثار وحدت و تعدد روایت مربوط به وحدت و تعدد مجلس است و یا مربوط به راوی است که باید در جای خود بحث شود . البته مقصود بنده جایی نیست که دو راوی بصورت معطوف روایت را نقل کرده اند بلکه در جایی است که مربوط به دو منبع است .</w:t>
      </w:r>
    </w:p>
    <w:p w:rsidR="006353BB" w:rsidRDefault="00B32E00" w:rsidP="009F2044">
      <w:pPr>
        <w:pStyle w:val="ListParagraph"/>
        <w:numPr>
          <w:ilvl w:val="0"/>
          <w:numId w:val="19"/>
        </w:numPr>
        <w:jc w:val="both"/>
      </w:pPr>
      <w:r>
        <w:rPr>
          <w:rFonts w:hint="cs"/>
          <w:rtl/>
        </w:rPr>
        <w:t>این روایت از تفسیر</w:t>
      </w:r>
      <w:r w:rsidR="00B71CE4">
        <w:rPr>
          <w:rFonts w:hint="cs"/>
          <w:rtl/>
        </w:rPr>
        <w:t xml:space="preserve"> علی بن ابرهیم</w:t>
      </w:r>
      <w:r>
        <w:rPr>
          <w:rFonts w:hint="cs"/>
          <w:rtl/>
        </w:rPr>
        <w:t xml:space="preserve"> قمی نقل شده است که لازم به ذکر است این تفسیر برای علی بن ابراهیم قمی نیست بلکه برای علی بن حاتم قزوینی است که مطالبش گاه از تفسیر قمی و گاه از غیر او اخذ شده و مورد مذکور از مواردی ا</w:t>
      </w:r>
      <w:r w:rsidR="00B71CE4">
        <w:rPr>
          <w:rFonts w:hint="cs"/>
          <w:rtl/>
        </w:rPr>
        <w:t xml:space="preserve">ست که از غیر تفسیر قمی </w:t>
      </w:r>
      <w:r w:rsidR="003172F2">
        <w:rPr>
          <w:rFonts w:hint="cs"/>
          <w:rtl/>
        </w:rPr>
        <w:t>اخذ</w:t>
      </w:r>
      <w:r w:rsidR="00B71CE4">
        <w:rPr>
          <w:rFonts w:hint="cs"/>
          <w:rtl/>
        </w:rPr>
        <w:t xml:space="preserve"> شده است .</w:t>
      </w:r>
    </w:p>
    <w:p w:rsidR="00B32E00" w:rsidRPr="00B239E4" w:rsidRDefault="006353BB" w:rsidP="009F2044">
      <w:pPr>
        <w:ind w:left="360"/>
        <w:jc w:val="both"/>
        <w:rPr>
          <w:rtl/>
        </w:rPr>
      </w:pPr>
      <w:r>
        <w:rPr>
          <w:rFonts w:hint="cs"/>
          <w:rtl/>
        </w:rPr>
        <w:t>در جلسۀ آینده بیش تر در این زمینه صحبت می کنیم .</w:t>
      </w:r>
    </w:p>
    <w:sectPr w:rsidR="00B32E00" w:rsidRPr="00B239E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79" w:rsidRDefault="006C1A79" w:rsidP="008B750B">
      <w:pPr>
        <w:spacing w:line="240" w:lineRule="auto"/>
      </w:pPr>
      <w:r>
        <w:separator/>
      </w:r>
    </w:p>
  </w:endnote>
  <w:endnote w:type="continuationSeparator" w:id="0">
    <w:p w:rsidR="006C1A79" w:rsidRDefault="006C1A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D6B62" w:rsidRPr="002D6B6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9337A" w:rsidP="001B6799">
          <w:pPr>
            <w:pStyle w:val="Footer"/>
            <w:bidi w:val="0"/>
            <w:rPr>
              <w:color w:val="808080" w:themeColor="background1" w:themeShade="80"/>
              <w:rtl/>
            </w:rPr>
          </w:pPr>
          <w:bookmarkStart w:id="12" w:name="BokAdres"/>
          <w:bookmarkEnd w:id="12"/>
          <w:r>
            <w:rPr>
              <w:color w:val="808080" w:themeColor="background1" w:themeShade="80"/>
            </w:rPr>
            <w:t>U1js1_13990610-010_ga1_mfeb.ir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79" w:rsidRDefault="006C1A79" w:rsidP="008B750B">
      <w:pPr>
        <w:spacing w:line="240" w:lineRule="auto"/>
      </w:pPr>
      <w:r>
        <w:separator/>
      </w:r>
    </w:p>
  </w:footnote>
  <w:footnote w:type="continuationSeparator" w:id="0">
    <w:p w:rsidR="006C1A79" w:rsidRDefault="006C1A79" w:rsidP="008B750B">
      <w:pPr>
        <w:spacing w:line="240" w:lineRule="auto"/>
      </w:pPr>
      <w:r>
        <w:continuationSeparator/>
      </w:r>
    </w:p>
  </w:footnote>
  <w:footnote w:id="1">
    <w:p w:rsidR="00260D37" w:rsidRDefault="00260D37" w:rsidP="00A359DD">
      <w:pPr>
        <w:pStyle w:val="FootnoteText"/>
        <w:rPr>
          <w:rtl/>
        </w:rPr>
      </w:pPr>
      <w:r>
        <w:rPr>
          <w:rStyle w:val="FootnoteReference"/>
        </w:rPr>
        <w:footnoteRef/>
      </w:r>
      <w:r>
        <w:rPr>
          <w:rtl/>
        </w:rPr>
        <w:t xml:space="preserve"> </w:t>
      </w:r>
      <w:r>
        <w:rPr>
          <w:rFonts w:hint="cs"/>
          <w:rtl/>
        </w:rPr>
        <w:t>النساء:</w:t>
      </w:r>
      <w:r w:rsidR="00A359DD">
        <w:rPr>
          <w:rFonts w:hint="cs"/>
          <w:rtl/>
        </w:rPr>
        <w:t>34</w:t>
      </w:r>
    </w:p>
  </w:footnote>
  <w:footnote w:id="2">
    <w:p w:rsidR="00260D37" w:rsidRDefault="00260D37">
      <w:pPr>
        <w:pStyle w:val="FootnoteText"/>
        <w:rPr>
          <w:rtl/>
        </w:rPr>
      </w:pPr>
      <w:r>
        <w:rPr>
          <w:rStyle w:val="FootnoteReference"/>
        </w:rPr>
        <w:footnoteRef/>
      </w:r>
      <w:r>
        <w:rPr>
          <w:rtl/>
        </w:rPr>
        <w:t xml:space="preserve"> </w:t>
      </w:r>
      <w:r w:rsidR="00A359DD">
        <w:rPr>
          <w:rFonts w:hint="cs"/>
          <w:rtl/>
        </w:rPr>
        <w:t>البقره:229</w:t>
      </w:r>
    </w:p>
  </w:footnote>
  <w:footnote w:id="3">
    <w:p w:rsidR="00AD7255" w:rsidRDefault="00AD7255">
      <w:pPr>
        <w:pStyle w:val="FootnoteText"/>
        <w:rPr>
          <w:rtl/>
        </w:rPr>
      </w:pPr>
      <w:r>
        <w:rPr>
          <w:rStyle w:val="FootnoteReference"/>
        </w:rPr>
        <w:footnoteRef/>
      </w:r>
      <w:r>
        <w:rPr>
          <w:rtl/>
        </w:rPr>
        <w:t xml:space="preserve"> </w:t>
      </w:r>
      <w:r w:rsidRPr="00AD7255">
        <w:rPr>
          <w:rFonts w:hint="cs"/>
          <w:rtl/>
        </w:rPr>
        <w:t>قاعدة</w:t>
      </w:r>
      <w:r w:rsidRPr="00AD7255">
        <w:rPr>
          <w:rtl/>
        </w:rPr>
        <w:t xml:space="preserve"> </w:t>
      </w:r>
      <w:r w:rsidRPr="00AD7255">
        <w:rPr>
          <w:rFonts w:hint="cs"/>
          <w:rtl/>
        </w:rPr>
        <w:t>لا</w:t>
      </w:r>
      <w:r w:rsidRPr="00AD7255">
        <w:rPr>
          <w:rtl/>
        </w:rPr>
        <w:t xml:space="preserve"> </w:t>
      </w:r>
      <w:r w:rsidRPr="00AD7255">
        <w:rPr>
          <w:rFonts w:hint="cs"/>
          <w:rtl/>
        </w:rPr>
        <w:t>ضرر</w:t>
      </w:r>
      <w:r w:rsidRPr="00AD7255">
        <w:rPr>
          <w:rtl/>
        </w:rPr>
        <w:t xml:space="preserve"> </w:t>
      </w:r>
      <w:r w:rsidRPr="00AD7255">
        <w:rPr>
          <w:rFonts w:hint="cs"/>
          <w:rtl/>
        </w:rPr>
        <w:t>و</w:t>
      </w:r>
      <w:r w:rsidRPr="00AD7255">
        <w:rPr>
          <w:rtl/>
        </w:rPr>
        <w:t xml:space="preserve"> </w:t>
      </w:r>
      <w:r w:rsidRPr="00AD7255">
        <w:rPr>
          <w:rFonts w:hint="cs"/>
          <w:rtl/>
        </w:rPr>
        <w:t>لا</w:t>
      </w:r>
      <w:r w:rsidRPr="00AD7255">
        <w:rPr>
          <w:rtl/>
        </w:rPr>
        <w:t xml:space="preserve"> </w:t>
      </w:r>
      <w:r w:rsidRPr="00AD7255">
        <w:rPr>
          <w:rFonts w:hint="cs"/>
          <w:rtl/>
        </w:rPr>
        <w:t>ضرار</w:t>
      </w:r>
      <w:r w:rsidRPr="00AD7255">
        <w:rPr>
          <w:rtl/>
        </w:rPr>
        <w:t xml:space="preserve"> (</w:t>
      </w:r>
      <w:r w:rsidRPr="00AD7255">
        <w:rPr>
          <w:rFonts w:hint="cs"/>
          <w:rtl/>
        </w:rPr>
        <w:t>للسيستاني</w:t>
      </w:r>
      <w:r w:rsidRPr="00AD7255">
        <w:rPr>
          <w:rtl/>
        </w:rPr>
        <w:t>)</w:t>
      </w:r>
      <w:r w:rsidRPr="00AD7255">
        <w:rPr>
          <w:rFonts w:hint="cs"/>
          <w:rtl/>
        </w:rPr>
        <w:t>،</w:t>
      </w:r>
      <w:r w:rsidRPr="00AD7255">
        <w:rPr>
          <w:rtl/>
        </w:rPr>
        <w:t xml:space="preserve"> </w:t>
      </w:r>
      <w:r w:rsidRPr="00AD7255">
        <w:rPr>
          <w:rFonts w:hint="cs"/>
          <w:rtl/>
        </w:rPr>
        <w:t>ص</w:t>
      </w:r>
      <w:r w:rsidRPr="00AD7255">
        <w:rPr>
          <w:rtl/>
        </w:rPr>
        <w:t>:</w:t>
      </w:r>
      <w:r>
        <w:rPr>
          <w:rFonts w:hint="cs"/>
          <w:rtl/>
        </w:rPr>
        <w:t>306</w:t>
      </w:r>
    </w:p>
  </w:footnote>
  <w:footnote w:id="4">
    <w:p w:rsidR="00B32E00" w:rsidRDefault="00B32E00" w:rsidP="00B32E00">
      <w:pPr>
        <w:pStyle w:val="FootnoteText"/>
        <w:rPr>
          <w:rtl/>
        </w:rPr>
      </w:pPr>
      <w:r>
        <w:rPr>
          <w:rStyle w:val="FootnoteReference"/>
        </w:rPr>
        <w:footnoteRef/>
      </w:r>
      <w:r>
        <w:rPr>
          <w:rtl/>
        </w:rPr>
        <w:t xml:space="preserve"> </w:t>
      </w:r>
      <w:r w:rsidRPr="00AD7255">
        <w:rPr>
          <w:rFonts w:hint="cs"/>
          <w:rtl/>
        </w:rPr>
        <w:t>جامع</w:t>
      </w:r>
      <w:r w:rsidRPr="00AD7255">
        <w:rPr>
          <w:rtl/>
        </w:rPr>
        <w:t xml:space="preserve"> </w:t>
      </w:r>
      <w:r w:rsidRPr="00AD7255">
        <w:rPr>
          <w:rFonts w:hint="cs"/>
          <w:rtl/>
        </w:rPr>
        <w:t>أحاديث</w:t>
      </w:r>
      <w:r w:rsidRPr="00AD7255">
        <w:rPr>
          <w:rtl/>
        </w:rPr>
        <w:t xml:space="preserve"> </w:t>
      </w:r>
      <w:r w:rsidRPr="00AD7255">
        <w:rPr>
          <w:rFonts w:hint="cs"/>
          <w:rtl/>
        </w:rPr>
        <w:t>الشيعة</w:t>
      </w:r>
      <w:r w:rsidRPr="00AD7255">
        <w:rPr>
          <w:rtl/>
        </w:rPr>
        <w:t xml:space="preserve"> (</w:t>
      </w:r>
      <w:r w:rsidRPr="00AD7255">
        <w:rPr>
          <w:rFonts w:hint="cs"/>
          <w:rtl/>
        </w:rPr>
        <w:t>للبروجردي</w:t>
      </w:r>
      <w:r w:rsidRPr="00AD7255">
        <w:rPr>
          <w:rtl/>
        </w:rPr>
        <w:t xml:space="preserve">) </w:t>
      </w:r>
      <w:r w:rsidRPr="00AD7255">
        <w:rPr>
          <w:rFonts w:hint="cs"/>
          <w:rtl/>
        </w:rPr>
        <w:t>؛</w:t>
      </w:r>
      <w:r w:rsidRPr="00AD7255">
        <w:rPr>
          <w:rtl/>
        </w:rPr>
        <w:t xml:space="preserve"> </w:t>
      </w:r>
      <w:r w:rsidRPr="00AD7255">
        <w:rPr>
          <w:rFonts w:hint="cs"/>
          <w:rtl/>
        </w:rPr>
        <w:t>ج‏</w:t>
      </w:r>
      <w:r w:rsidRPr="00AD7255">
        <w:rPr>
          <w:rtl/>
        </w:rPr>
        <w:t xml:space="preserve">26 </w:t>
      </w:r>
      <w:r w:rsidRPr="00AD7255">
        <w:rPr>
          <w:rFonts w:hint="cs"/>
          <w:rtl/>
        </w:rPr>
        <w:t>؛</w:t>
      </w:r>
      <w:r w:rsidRPr="00AD7255">
        <w:rPr>
          <w:rtl/>
        </w:rPr>
        <w:t xml:space="preserve"> </w:t>
      </w:r>
      <w:r w:rsidRPr="00AD7255">
        <w:rPr>
          <w:rFonts w:hint="cs"/>
          <w:rtl/>
        </w:rPr>
        <w:t>ص</w:t>
      </w:r>
      <w:r w:rsidRPr="00AD7255">
        <w:rPr>
          <w:rtl/>
        </w:rPr>
        <w:t>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A341F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E9337A">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E9337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E9337A">
      <w:rPr>
        <w:rFonts w:hint="cs"/>
        <w:b/>
        <w:bCs/>
        <w:color w:val="632423" w:themeColor="accent2" w:themeShade="80"/>
        <w:sz w:val="20"/>
        <w:szCs w:val="24"/>
        <w:rtl/>
      </w:rPr>
      <w:t>سید</w:t>
    </w:r>
    <w:r w:rsidR="00E9337A">
      <w:rPr>
        <w:b/>
        <w:bCs/>
        <w:color w:val="632423" w:themeColor="accent2" w:themeShade="80"/>
        <w:sz w:val="20"/>
        <w:szCs w:val="24"/>
        <w:rtl/>
      </w:rPr>
      <w:t xml:space="preserve"> </w:t>
    </w:r>
    <w:r w:rsidR="00E9337A">
      <w:rPr>
        <w:rFonts w:hint="cs"/>
        <w:b/>
        <w:bCs/>
        <w:color w:val="632423" w:themeColor="accent2" w:themeShade="80"/>
        <w:sz w:val="20"/>
        <w:szCs w:val="24"/>
        <w:rtl/>
      </w:rPr>
      <w:t>محمد</w:t>
    </w:r>
    <w:r w:rsidR="00E9337A">
      <w:rPr>
        <w:b/>
        <w:bCs/>
        <w:color w:val="632423" w:themeColor="accent2" w:themeShade="80"/>
        <w:sz w:val="20"/>
        <w:szCs w:val="24"/>
        <w:rtl/>
      </w:rPr>
      <w:t xml:space="preserve"> </w:t>
    </w:r>
    <w:r w:rsidR="00E9337A">
      <w:rPr>
        <w:rFonts w:hint="cs"/>
        <w:b/>
        <w:bCs/>
        <w:color w:val="632423" w:themeColor="accent2" w:themeShade="80"/>
        <w:sz w:val="20"/>
        <w:szCs w:val="24"/>
        <w:rtl/>
      </w:rPr>
      <w:t>جواد</w:t>
    </w:r>
    <w:r w:rsidR="00E9337A">
      <w:rPr>
        <w:b/>
        <w:bCs/>
        <w:color w:val="632423" w:themeColor="accent2" w:themeShade="80"/>
        <w:sz w:val="20"/>
        <w:szCs w:val="24"/>
        <w:rtl/>
      </w:rPr>
      <w:t xml:space="preserve"> </w:t>
    </w:r>
    <w:r w:rsidR="00E9337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A341FA">
      <w:rPr>
        <w:rFonts w:hint="cs"/>
        <w:sz w:val="24"/>
        <w:szCs w:val="24"/>
        <w:rtl/>
      </w:rPr>
      <w:t>30</w:t>
    </w:r>
    <w:r w:rsidR="00E9337A">
      <w:rPr>
        <w:sz w:val="24"/>
        <w:szCs w:val="24"/>
        <w:rtl/>
      </w:rPr>
      <w:t xml:space="preserve">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E9337A">
      <w:rPr>
        <w:rFonts w:hint="cs"/>
        <w:color w:val="000000" w:themeColor="text1"/>
        <w:sz w:val="24"/>
        <w:szCs w:val="24"/>
        <w:rtl/>
      </w:rPr>
      <w:t>تنبیهات</w:t>
    </w:r>
    <w:r w:rsidR="00E9337A">
      <w:rPr>
        <w:color w:val="000000" w:themeColor="text1"/>
        <w:sz w:val="24"/>
        <w:szCs w:val="24"/>
        <w:rtl/>
      </w:rPr>
      <w:t xml:space="preserve"> </w:t>
    </w:r>
    <w:r w:rsidR="00E9337A">
      <w:rPr>
        <w:rFonts w:hint="cs"/>
        <w:color w:val="000000" w:themeColor="text1"/>
        <w:sz w:val="24"/>
        <w:szCs w:val="24"/>
        <w:rtl/>
      </w:rPr>
      <w:t>لا</w:t>
    </w:r>
    <w:r w:rsidR="00E9337A">
      <w:rPr>
        <w:color w:val="000000" w:themeColor="text1"/>
        <w:sz w:val="24"/>
        <w:szCs w:val="24"/>
        <w:rtl/>
      </w:rPr>
      <w:t xml:space="preserve"> </w:t>
    </w:r>
    <w:r w:rsidR="00E9337A">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D221CB">
      <w:rPr>
        <w:rFonts w:hint="cs"/>
        <w:sz w:val="24"/>
        <w:szCs w:val="24"/>
        <w:rtl/>
      </w:rPr>
      <w:t xml:space="preserve"> </w:t>
    </w:r>
    <w:r w:rsidR="00C93309">
      <w:rPr>
        <w:rFonts w:hint="cs"/>
        <w:sz w:val="24"/>
        <w:szCs w:val="24"/>
        <w:rtl/>
      </w:rPr>
      <w:t>مسعود عطارمنش</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E9337A">
      <w:rPr>
        <w:rFonts w:hint="cs"/>
        <w:sz w:val="24"/>
        <w:szCs w:val="24"/>
        <w:rtl/>
      </w:rPr>
      <w:t>شمول</w:t>
    </w:r>
    <w:r w:rsidR="00E9337A">
      <w:rPr>
        <w:sz w:val="24"/>
        <w:szCs w:val="24"/>
        <w:rtl/>
      </w:rPr>
      <w:t xml:space="preserve"> </w:t>
    </w:r>
    <w:r w:rsidR="00E9337A">
      <w:rPr>
        <w:rFonts w:hint="cs"/>
        <w:sz w:val="24"/>
        <w:szCs w:val="24"/>
        <w:rtl/>
      </w:rPr>
      <w:t>لا</w:t>
    </w:r>
    <w:r w:rsidR="00E9337A">
      <w:rPr>
        <w:sz w:val="24"/>
        <w:szCs w:val="24"/>
        <w:rtl/>
      </w:rPr>
      <w:t xml:space="preserve"> </w:t>
    </w:r>
    <w:r w:rsidR="00E9337A">
      <w:rPr>
        <w:rFonts w:hint="cs"/>
        <w:sz w:val="24"/>
        <w:szCs w:val="24"/>
        <w:rtl/>
      </w:rPr>
      <w:t>ضرر</w:t>
    </w:r>
    <w:r w:rsidR="00E9337A">
      <w:rPr>
        <w:sz w:val="24"/>
        <w:szCs w:val="24"/>
        <w:rtl/>
      </w:rPr>
      <w:t xml:space="preserve"> </w:t>
    </w:r>
    <w:r w:rsidR="00E9337A">
      <w:rPr>
        <w:rFonts w:hint="cs"/>
        <w:sz w:val="24"/>
        <w:szCs w:val="24"/>
        <w:rtl/>
      </w:rPr>
      <w:t>نسبت</w:t>
    </w:r>
    <w:r w:rsidR="00E9337A">
      <w:rPr>
        <w:sz w:val="24"/>
        <w:szCs w:val="24"/>
        <w:rtl/>
      </w:rPr>
      <w:t xml:space="preserve"> </w:t>
    </w:r>
    <w:r w:rsidR="00E9337A">
      <w:rPr>
        <w:rFonts w:hint="cs"/>
        <w:sz w:val="24"/>
        <w:szCs w:val="24"/>
        <w:rtl/>
      </w:rPr>
      <w:t>به</w:t>
    </w:r>
    <w:r w:rsidR="00E9337A">
      <w:rPr>
        <w:sz w:val="24"/>
        <w:szCs w:val="24"/>
        <w:rtl/>
      </w:rPr>
      <w:t xml:space="preserve"> </w:t>
    </w:r>
    <w:r w:rsidR="00E9337A">
      <w:rPr>
        <w:rFonts w:hint="cs"/>
        <w:sz w:val="24"/>
        <w:szCs w:val="24"/>
        <w:rtl/>
      </w:rPr>
      <w:t>احکام</w:t>
    </w:r>
    <w:r w:rsidR="00E9337A">
      <w:rPr>
        <w:sz w:val="24"/>
        <w:szCs w:val="24"/>
        <w:rtl/>
      </w:rPr>
      <w:t xml:space="preserve"> </w:t>
    </w:r>
    <w:r w:rsidR="00E9337A">
      <w:rPr>
        <w:rFonts w:hint="cs"/>
        <w:sz w:val="24"/>
        <w:szCs w:val="24"/>
        <w:rtl/>
      </w:rPr>
      <w:t>عدمیه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00E63"/>
    <w:multiLevelType w:val="hybridMultilevel"/>
    <w:tmpl w:val="663EBE08"/>
    <w:lvl w:ilvl="0" w:tplc="DD6061F4">
      <w:start w:val="1"/>
      <w:numFmt w:val="decimal"/>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E6FE4"/>
    <w:multiLevelType w:val="hybridMultilevel"/>
    <w:tmpl w:val="1C7AF1E2"/>
    <w:lvl w:ilvl="0" w:tplc="DD6061F4">
      <w:start w:val="1"/>
      <w:numFmt w:val="decimal"/>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E002A32"/>
    <w:multiLevelType w:val="hybridMultilevel"/>
    <w:tmpl w:val="959AA25C"/>
    <w:lvl w:ilvl="0" w:tplc="B4025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15E47"/>
    <w:multiLevelType w:val="hybridMultilevel"/>
    <w:tmpl w:val="D2CA4008"/>
    <w:lvl w:ilvl="0" w:tplc="5456F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7"/>
  </w:num>
  <w:num w:numId="17">
    <w:abstractNumId w:val="1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B14"/>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0D37"/>
    <w:rsid w:val="0027605E"/>
    <w:rsid w:val="00281E00"/>
    <w:rsid w:val="00294A52"/>
    <w:rsid w:val="002B575F"/>
    <w:rsid w:val="002B729B"/>
    <w:rsid w:val="002C23B5"/>
    <w:rsid w:val="002C53A2"/>
    <w:rsid w:val="002D0040"/>
    <w:rsid w:val="002D2FA8"/>
    <w:rsid w:val="002D6B62"/>
    <w:rsid w:val="002E220F"/>
    <w:rsid w:val="00307311"/>
    <w:rsid w:val="003172F2"/>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7D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0025"/>
    <w:rsid w:val="005A2E26"/>
    <w:rsid w:val="005B7BCA"/>
    <w:rsid w:val="005C0DAE"/>
    <w:rsid w:val="005C188E"/>
    <w:rsid w:val="005D2349"/>
    <w:rsid w:val="005E1B60"/>
    <w:rsid w:val="005E5507"/>
    <w:rsid w:val="005E607B"/>
    <w:rsid w:val="005F0A8D"/>
    <w:rsid w:val="00601229"/>
    <w:rsid w:val="00603B67"/>
    <w:rsid w:val="0061327F"/>
    <w:rsid w:val="006162A2"/>
    <w:rsid w:val="006240DA"/>
    <w:rsid w:val="0063256E"/>
    <w:rsid w:val="00633F04"/>
    <w:rsid w:val="00635219"/>
    <w:rsid w:val="006353BB"/>
    <w:rsid w:val="00635EC0"/>
    <w:rsid w:val="00640B58"/>
    <w:rsid w:val="00651B02"/>
    <w:rsid w:val="00651B19"/>
    <w:rsid w:val="00660A29"/>
    <w:rsid w:val="00695519"/>
    <w:rsid w:val="006A4134"/>
    <w:rsid w:val="006A5DDA"/>
    <w:rsid w:val="006A6701"/>
    <w:rsid w:val="006B21F4"/>
    <w:rsid w:val="006B3753"/>
    <w:rsid w:val="006B7AD6"/>
    <w:rsid w:val="006C021D"/>
    <w:rsid w:val="006C1A79"/>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624"/>
    <w:rsid w:val="008E3924"/>
    <w:rsid w:val="008F13F7"/>
    <w:rsid w:val="008F5B4D"/>
    <w:rsid w:val="00907425"/>
    <w:rsid w:val="00922E49"/>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044"/>
    <w:rsid w:val="009F7E07"/>
    <w:rsid w:val="00A01522"/>
    <w:rsid w:val="00A10A11"/>
    <w:rsid w:val="00A13C6A"/>
    <w:rsid w:val="00A17B09"/>
    <w:rsid w:val="00A341FA"/>
    <w:rsid w:val="00A359D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7255"/>
    <w:rsid w:val="00AF3925"/>
    <w:rsid w:val="00B0669A"/>
    <w:rsid w:val="00B1296B"/>
    <w:rsid w:val="00B2292F"/>
    <w:rsid w:val="00B239E4"/>
    <w:rsid w:val="00B32E00"/>
    <w:rsid w:val="00B43169"/>
    <w:rsid w:val="00B501A8"/>
    <w:rsid w:val="00B55AE4"/>
    <w:rsid w:val="00B70B46"/>
    <w:rsid w:val="00B71CE4"/>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309"/>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64D5"/>
    <w:rsid w:val="00DE1070"/>
    <w:rsid w:val="00E00219"/>
    <w:rsid w:val="00E0316B"/>
    <w:rsid w:val="00E25E10"/>
    <w:rsid w:val="00E42106"/>
    <w:rsid w:val="00E50B41"/>
    <w:rsid w:val="00E5219B"/>
    <w:rsid w:val="00E52D07"/>
    <w:rsid w:val="00E5518B"/>
    <w:rsid w:val="00E609FE"/>
    <w:rsid w:val="00E630BE"/>
    <w:rsid w:val="00E75920"/>
    <w:rsid w:val="00E80D96"/>
    <w:rsid w:val="00E871FA"/>
    <w:rsid w:val="00E9337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971"/>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204171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60633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467735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611D-16EA-470E-9F39-1ECC703A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142</TotalTime>
  <Pages>4</Pages>
  <Words>1062</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7108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cp:revision>
  <dcterms:created xsi:type="dcterms:W3CDTF">2020-09-20T07:51:00Z</dcterms:created>
  <dcterms:modified xsi:type="dcterms:W3CDTF">2020-12-07T05:29:00Z</dcterms:modified>
  <cp:contentStatus>ویرایش 2.5</cp:contentStatus>
  <cp:version>2.7</cp:version>
</cp:coreProperties>
</file>