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2DA" w:rsidRDefault="00E852DA" w:rsidP="00E852DA">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E852DA" w:rsidRDefault="00E852DA" w:rsidP="00E852DA">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جلسه27</w:t>
      </w:r>
      <w:r>
        <w:rPr>
          <w:rFonts w:ascii="IRANSans" w:hAnsi="IRANSans" w:cs="IRANSans" w:hint="cs"/>
          <w:b/>
          <w:bCs/>
          <w:color w:val="0101FF"/>
          <w:sz w:val="24"/>
          <w:szCs w:val="24"/>
          <w:shd w:val="clear" w:color="auto" w:fill="FFFFFF"/>
          <w:rtl/>
        </w:rPr>
        <w:t>3</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1</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4</w:t>
      </w:r>
      <w:r>
        <w:rPr>
          <w:rFonts w:ascii="IRANSans" w:hAnsi="IRANSans" w:cs="IRANSans"/>
          <w:b/>
          <w:bCs/>
          <w:color w:val="0101FF"/>
          <w:sz w:val="24"/>
          <w:szCs w:val="24"/>
          <w:shd w:val="clear" w:color="auto" w:fill="FFFFFF"/>
          <w:rtl/>
        </w:rPr>
        <w:t>/ 1399 عده‌ی وطی به شبهه</w:t>
      </w:r>
      <w:r w:rsidR="008238E5">
        <w:rPr>
          <w:rFonts w:ascii="IRANSans" w:hAnsi="IRANSans" w:cs="IRANSans" w:hint="cs"/>
          <w:b/>
          <w:bCs/>
          <w:color w:val="0101FF"/>
          <w:sz w:val="24"/>
          <w:szCs w:val="24"/>
          <w:shd w:val="clear" w:color="auto" w:fill="FFFFFF"/>
          <w:rtl/>
        </w:rPr>
        <w:t xml:space="preserve"> </w:t>
      </w:r>
      <w:r w:rsidR="008238E5" w:rsidRPr="008238E5">
        <w:rPr>
          <w:rFonts w:ascii="IRANSans" w:hAnsi="IRANSans" w:cs="IRANSans" w:hint="cs"/>
          <w:b/>
          <w:bCs/>
          <w:color w:val="0101FF"/>
          <w:sz w:val="24"/>
          <w:szCs w:val="24"/>
          <w:shd w:val="clear" w:color="auto" w:fill="FFFFFF"/>
          <w:rtl/>
        </w:rPr>
        <w:t>به تصور عقد انقطاعی</w:t>
      </w:r>
      <w:r>
        <w:rPr>
          <w:rFonts w:ascii="IRANSans" w:hAnsi="IRANSans" w:cs="IRANSans"/>
          <w:b/>
          <w:bCs/>
          <w:color w:val="0101FF"/>
          <w:sz w:val="24"/>
          <w:szCs w:val="24"/>
          <w:shd w:val="clear" w:color="auto" w:fill="FFFFFF"/>
          <w:rtl/>
        </w:rPr>
        <w:t xml:space="preserve"> /مساله‌ی یازدهم /متن تکمله‌ی عروه /اقوال فقها</w:t>
      </w:r>
    </w:p>
    <w:bookmarkEnd w:id="0"/>
    <w:p w:rsidR="008F5B4D" w:rsidRPr="009C66D5" w:rsidRDefault="008F5B4D" w:rsidP="008F5B4D">
      <w:pPr>
        <w:rPr>
          <w:rStyle w:val="Emphasis"/>
          <w:b/>
          <w:bCs w:val="0"/>
          <w:rtl/>
        </w:rPr>
      </w:pPr>
      <w:r w:rsidRPr="009C66D5">
        <w:rPr>
          <w:rStyle w:val="Emphasis"/>
          <w:rFonts w:hint="cs"/>
          <w:b/>
          <w:bCs w:val="0"/>
          <w:rtl/>
        </w:rPr>
        <w:t>خلاصه</w:t>
      </w:r>
      <w:r w:rsidR="00342381">
        <w:rPr>
          <w:rStyle w:val="Emphasis"/>
          <w:rFonts w:hint="eastAsia"/>
          <w:b/>
          <w:bCs w:val="0"/>
          <w:rtl/>
        </w:rPr>
        <w:t>‌</w:t>
      </w:r>
      <w:r w:rsidR="00342381">
        <w:rPr>
          <w:rStyle w:val="Emphasis"/>
          <w:rFonts w:hint="cs"/>
          <w:b/>
          <w:bCs w:val="0"/>
          <w:rtl/>
        </w:rPr>
        <w:t>ی</w:t>
      </w:r>
      <w:r w:rsidRPr="009C66D5">
        <w:rPr>
          <w:rStyle w:val="Emphasis"/>
          <w:rFonts w:hint="cs"/>
          <w:b/>
          <w:bCs w:val="0"/>
          <w:rtl/>
        </w:rPr>
        <w:t xml:space="preserve"> مباحث گذشته:</w:t>
      </w:r>
    </w:p>
    <w:p w:rsidR="003A6148" w:rsidRDefault="007F6D64" w:rsidP="00055FC9">
      <w:pPr>
        <w:jc w:val="both"/>
        <w:rPr>
          <w:rtl/>
        </w:rPr>
      </w:pPr>
      <w:r>
        <w:rPr>
          <w:rFonts w:hint="cs"/>
          <w:rtl/>
        </w:rPr>
        <w:t>بحث در عده</w:t>
      </w:r>
      <w:r>
        <w:rPr>
          <w:rFonts w:hint="eastAsia"/>
          <w:rtl/>
        </w:rPr>
        <w:t>‌</w:t>
      </w:r>
      <w:r>
        <w:rPr>
          <w:rFonts w:hint="cs"/>
          <w:rtl/>
        </w:rPr>
        <w:t>ی وطی به شبهه بود. به مناسبت وارد بحث استبراء در زانیه شدیم که مباحث آن به پایان رسید.</w:t>
      </w:r>
    </w:p>
    <w:p w:rsidR="00055FC9" w:rsidRDefault="00055FC9" w:rsidP="006974C7">
      <w:pPr>
        <w:jc w:val="both"/>
        <w:rPr>
          <w:rtl/>
        </w:rPr>
      </w:pPr>
      <w:r>
        <w:rPr>
          <w:rFonts w:hint="cs"/>
          <w:rtl/>
        </w:rPr>
        <w:t>مرحوم سید بحث عده</w:t>
      </w:r>
      <w:r>
        <w:rPr>
          <w:rFonts w:hint="eastAsia"/>
          <w:rtl/>
        </w:rPr>
        <w:t>‌</w:t>
      </w:r>
      <w:r>
        <w:rPr>
          <w:rFonts w:hint="cs"/>
          <w:rtl/>
        </w:rPr>
        <w:t>ی وطی به شبهه و بحث مزنی بها را به تفصیل در فصل پنجم با عنوان «</w:t>
      </w:r>
      <w:r w:rsidRPr="00FF5B29">
        <w:rPr>
          <w:rFonts w:hint="cs"/>
          <w:rtl/>
        </w:rPr>
        <w:t>الفصل الخامس في جملة من المسائل المتعلقة بالعدة</w:t>
      </w:r>
      <w:r w:rsidRPr="00FF5B29">
        <w:rPr>
          <w:rFonts w:hint="cs"/>
        </w:rPr>
        <w:t>‌</w:t>
      </w:r>
      <w:r>
        <w:rPr>
          <w:rFonts w:hint="cs"/>
          <w:rtl/>
        </w:rPr>
        <w:t>» بحث کرده است. در این جلسه به مساله</w:t>
      </w:r>
      <w:r>
        <w:rPr>
          <w:rFonts w:hint="eastAsia"/>
          <w:rtl/>
        </w:rPr>
        <w:t>‌</w:t>
      </w:r>
      <w:r w:rsidR="006974C7">
        <w:rPr>
          <w:rFonts w:hint="cs"/>
          <w:rtl/>
        </w:rPr>
        <w:t>ی سوم از این فصل می پردازیم و وارد بحث عده</w:t>
      </w:r>
      <w:r w:rsidR="006974C7">
        <w:rPr>
          <w:rFonts w:hint="eastAsia"/>
          <w:rtl/>
        </w:rPr>
        <w:t>‌</w:t>
      </w:r>
      <w:r w:rsidR="006974C7">
        <w:rPr>
          <w:rFonts w:hint="cs"/>
          <w:rtl/>
        </w:rPr>
        <w:t>ی عقد انقطاعی فاسد می شویم.</w:t>
      </w:r>
    </w:p>
    <w:p w:rsidR="00247D2F" w:rsidRPr="003A6148" w:rsidRDefault="00247D2F" w:rsidP="00342381">
      <w:pPr>
        <w:pBdr>
          <w:bottom w:val="double" w:sz="6" w:space="1" w:color="auto"/>
        </w:pBdr>
        <w:jc w:val="both"/>
      </w:pPr>
    </w:p>
    <w:p w:rsidR="008F5B4D" w:rsidRDefault="008F5B4D" w:rsidP="00342381">
      <w:pPr>
        <w:jc w:val="both"/>
      </w:pPr>
    </w:p>
    <w:p w:rsidR="003E6650" w:rsidRDefault="00C825E9" w:rsidP="00C825E9">
      <w:pPr>
        <w:pStyle w:val="Heading1"/>
        <w:rPr>
          <w:rtl/>
        </w:rPr>
      </w:pPr>
      <w:bookmarkStart w:id="1" w:name="_Toc44180762"/>
      <w:r>
        <w:rPr>
          <w:rFonts w:hint="cs"/>
          <w:rtl/>
        </w:rPr>
        <w:t>مساله</w:t>
      </w:r>
      <w:r>
        <w:rPr>
          <w:rFonts w:hint="eastAsia"/>
          <w:rtl/>
        </w:rPr>
        <w:t>‌</w:t>
      </w:r>
      <w:r>
        <w:rPr>
          <w:rFonts w:hint="cs"/>
          <w:rtl/>
        </w:rPr>
        <w:t>ی سوم از فصل پنجم کتاب العدد تکمله</w:t>
      </w:r>
      <w:r>
        <w:rPr>
          <w:rFonts w:hint="eastAsia"/>
          <w:rtl/>
        </w:rPr>
        <w:t>‌</w:t>
      </w:r>
      <w:r>
        <w:rPr>
          <w:rFonts w:hint="cs"/>
          <w:rtl/>
        </w:rPr>
        <w:t>ی عروه</w:t>
      </w:r>
      <w:bookmarkEnd w:id="1"/>
    </w:p>
    <w:p w:rsidR="00C825E9" w:rsidRPr="00C825E9" w:rsidRDefault="00C825E9" w:rsidP="00C825E9">
      <w:pPr>
        <w:jc w:val="both"/>
        <w:rPr>
          <w:color w:val="0000FF"/>
        </w:rPr>
      </w:pPr>
      <w:r w:rsidRPr="00C825E9">
        <w:rPr>
          <w:rFonts w:hint="cs"/>
          <w:color w:val="0000FF"/>
          <w:rtl/>
        </w:rPr>
        <w:t>مسألة 3: تجب العدة للوطء بالشبهة</w:t>
      </w:r>
      <w:r w:rsidRPr="00C825E9">
        <w:rPr>
          <w:rFonts w:hint="cs"/>
          <w:color w:val="0000FF"/>
        </w:rPr>
        <w:t>‌</w:t>
      </w:r>
    </w:p>
    <w:p w:rsidR="00C825E9" w:rsidRPr="00C825E9" w:rsidRDefault="00C825E9" w:rsidP="00C825E9">
      <w:pPr>
        <w:jc w:val="both"/>
        <w:rPr>
          <w:color w:val="0000FF"/>
          <w:rtl/>
        </w:rPr>
      </w:pPr>
      <w:r w:rsidRPr="00C825E9">
        <w:rPr>
          <w:rFonts w:hint="cs"/>
          <w:color w:val="0000FF"/>
          <w:rtl/>
        </w:rPr>
        <w:t>كما أشرنا إليه سابقا سواء كانت المرأة مزوجة أو خلية و إنّ عدتها عدة الطلاق للأخبار الواردة فيمن تزوجت في عدتها من قوله (ع</w:t>
      </w:r>
      <w:r>
        <w:rPr>
          <w:rFonts w:hint="cs"/>
          <w:color w:val="0000FF"/>
          <w:rtl/>
        </w:rPr>
        <w:t>لیه السلام</w:t>
      </w:r>
      <w:r w:rsidRPr="00C825E9">
        <w:rPr>
          <w:rFonts w:hint="cs"/>
          <w:color w:val="0000FF"/>
          <w:rtl/>
        </w:rPr>
        <w:t>):</w:t>
      </w:r>
    </w:p>
    <w:p w:rsidR="00C825E9" w:rsidRPr="00C825E9" w:rsidRDefault="00C825E9" w:rsidP="00C825E9">
      <w:pPr>
        <w:jc w:val="both"/>
        <w:rPr>
          <w:rtl/>
        </w:rPr>
      </w:pPr>
      <w:r w:rsidRPr="00C825E9">
        <w:rPr>
          <w:rFonts w:hint="cs"/>
          <w:color w:val="0000FF"/>
          <w:rtl/>
        </w:rPr>
        <w:t>«و إن دخل بها فرق بينهما و تأخذ ببقية العدّة من الأول ثمّ تأتي عن الثاني ثلاثة أقراء مستقبلة». نعم إذا كانت معقودة بالعقد الانقطاعى ثمّ تبين فساده يمكن أن يقال: تعتد عدة المتعة هذا إذا كانت حرّة و أمّا إذا كانت أمة فيكفي فيها الاستبراء و لو كانت ذات زوج و مبدؤها آخر وطء وطئت شبهة، و يحتمل كونه من حين ارتفاع الشبهة، و يحتمل التفصيل بين الوطء المجرد عن العقد فمن حين الوطء و الوطء بالعقد الفاسد فمن حين ارتفاع الشبهة، بدعوى ظهور الأخبار الواردة في عدم التداخل في الاعتداد من حين ارتفاع الشبهة إذا وطئت بالعقد الفاسد ثمّ طلقها زوجها.</w:t>
      </w:r>
      <w:r>
        <w:rPr>
          <w:rStyle w:val="FootnoteReference"/>
          <w:color w:val="0000FF"/>
          <w:rtl/>
        </w:rPr>
        <w:footnoteReference w:id="1"/>
      </w:r>
    </w:p>
    <w:p w:rsidR="00F777D7" w:rsidRDefault="00F777D7" w:rsidP="00F777D7">
      <w:pPr>
        <w:pStyle w:val="Heading2"/>
        <w:rPr>
          <w:rtl/>
        </w:rPr>
      </w:pPr>
      <w:bookmarkStart w:id="2" w:name="_Toc44180763"/>
      <w:r>
        <w:rPr>
          <w:rFonts w:hint="cs"/>
          <w:rtl/>
        </w:rPr>
        <w:lastRenderedPageBreak/>
        <w:t>عده</w:t>
      </w:r>
      <w:r>
        <w:rPr>
          <w:rFonts w:hint="eastAsia"/>
          <w:rtl/>
        </w:rPr>
        <w:t>‌</w:t>
      </w:r>
      <w:r>
        <w:rPr>
          <w:rFonts w:hint="cs"/>
          <w:rtl/>
        </w:rPr>
        <w:t>ی عقد انقطاعی فاسد</w:t>
      </w:r>
      <w:bookmarkEnd w:id="2"/>
    </w:p>
    <w:p w:rsidR="00C825E9" w:rsidRDefault="00D37BB8" w:rsidP="00342381">
      <w:pPr>
        <w:jc w:val="both"/>
        <w:rPr>
          <w:rtl/>
        </w:rPr>
      </w:pPr>
      <w:r>
        <w:rPr>
          <w:rFonts w:hint="cs"/>
          <w:rtl/>
        </w:rPr>
        <w:t>مرحوم سید می فرماید: اگر زنی معقود به عقد انقطاعی باشد، سپس مشخص شود این عقد انقطاعی باطل بوده است، ممکن است بگوییم عده</w:t>
      </w:r>
      <w:r>
        <w:rPr>
          <w:rFonts w:hint="eastAsia"/>
          <w:rtl/>
        </w:rPr>
        <w:t>‌</w:t>
      </w:r>
      <w:r>
        <w:rPr>
          <w:rFonts w:hint="cs"/>
          <w:rtl/>
        </w:rPr>
        <w:t>ی این زن، عده</w:t>
      </w:r>
      <w:r>
        <w:rPr>
          <w:rFonts w:hint="eastAsia"/>
          <w:rtl/>
        </w:rPr>
        <w:t>‌</w:t>
      </w:r>
      <w:r>
        <w:rPr>
          <w:rFonts w:hint="cs"/>
          <w:rtl/>
        </w:rPr>
        <w:t>ی متعه باشد؛ نه عده</w:t>
      </w:r>
      <w:r>
        <w:rPr>
          <w:rFonts w:hint="eastAsia"/>
          <w:rtl/>
        </w:rPr>
        <w:t>‌</w:t>
      </w:r>
      <w:r>
        <w:rPr>
          <w:rFonts w:hint="cs"/>
          <w:rtl/>
        </w:rPr>
        <w:t>ی طلاق.</w:t>
      </w:r>
    </w:p>
    <w:p w:rsidR="008D5609" w:rsidRDefault="008D5609" w:rsidP="00342381">
      <w:pPr>
        <w:jc w:val="both"/>
        <w:rPr>
          <w:rtl/>
        </w:rPr>
      </w:pPr>
      <w:r>
        <w:rPr>
          <w:rFonts w:hint="cs"/>
          <w:rtl/>
        </w:rPr>
        <w:t>مشابه این مطلب را در جلسات گذشته از میر</w:t>
      </w:r>
      <w:r w:rsidR="00537496">
        <w:rPr>
          <w:rFonts w:hint="cs"/>
          <w:rtl/>
        </w:rPr>
        <w:t>زای قمی هم نقل کردیم؛ اما عبارت میرزای قمی کمی متفاوت است و می فرماید: باید ملاحظه کرد تخیل واطی در مورد موطوئه چیست؟ اگر معقوده</w:t>
      </w:r>
      <w:r w:rsidR="00537496">
        <w:rPr>
          <w:rFonts w:hint="eastAsia"/>
          <w:rtl/>
        </w:rPr>
        <w:t>‌</w:t>
      </w:r>
      <w:r w:rsidR="00537496">
        <w:rPr>
          <w:rFonts w:hint="cs"/>
          <w:rtl/>
        </w:rPr>
        <w:t>ی دائمه می داند، عده اش، عده</w:t>
      </w:r>
      <w:r w:rsidR="00537496">
        <w:rPr>
          <w:rFonts w:hint="eastAsia"/>
          <w:rtl/>
        </w:rPr>
        <w:t>‌</w:t>
      </w:r>
      <w:r w:rsidR="00537496">
        <w:rPr>
          <w:rFonts w:hint="cs"/>
          <w:rtl/>
        </w:rPr>
        <w:t>ی طلاق است؛ اما اگر معقوده</w:t>
      </w:r>
      <w:r w:rsidR="00537496">
        <w:rPr>
          <w:rFonts w:hint="eastAsia"/>
          <w:rtl/>
        </w:rPr>
        <w:t>‌</w:t>
      </w:r>
      <w:r w:rsidR="00537496">
        <w:rPr>
          <w:rFonts w:hint="cs"/>
          <w:rtl/>
        </w:rPr>
        <w:t>ی منقطعه می داند، عده اش، عده</w:t>
      </w:r>
      <w:r w:rsidR="00537496">
        <w:rPr>
          <w:rFonts w:hint="eastAsia"/>
          <w:rtl/>
        </w:rPr>
        <w:t>‌</w:t>
      </w:r>
      <w:r w:rsidR="00537496">
        <w:rPr>
          <w:rFonts w:hint="cs"/>
          <w:rtl/>
        </w:rPr>
        <w:t>ی</w:t>
      </w:r>
      <w:r w:rsidR="000E64A4">
        <w:rPr>
          <w:rFonts w:hint="cs"/>
          <w:rtl/>
        </w:rPr>
        <w:t xml:space="preserve"> عقد انقطاعی است؛ بنابراین اگر شخصی با زنی مباشرت کند و عقدی هم نسبت به این زن نخوانده باشد؛ اما خیال می کند این زن معقوده</w:t>
      </w:r>
      <w:r w:rsidR="000E64A4">
        <w:rPr>
          <w:rFonts w:hint="eastAsia"/>
          <w:rtl/>
        </w:rPr>
        <w:t>‌</w:t>
      </w:r>
      <w:r w:rsidR="000E64A4">
        <w:rPr>
          <w:rFonts w:hint="cs"/>
          <w:rtl/>
        </w:rPr>
        <w:t>ی به عقد انقطاعی او می باشد، سپس مشخص می شود، معقوده</w:t>
      </w:r>
      <w:r w:rsidR="000E64A4">
        <w:rPr>
          <w:rFonts w:hint="eastAsia"/>
          <w:rtl/>
        </w:rPr>
        <w:t>‌</w:t>
      </w:r>
      <w:r w:rsidR="000E64A4">
        <w:rPr>
          <w:rFonts w:hint="cs"/>
          <w:rtl/>
        </w:rPr>
        <w:t>ی او نبوده است. در این صورت عده</w:t>
      </w:r>
      <w:r w:rsidR="000E64A4">
        <w:rPr>
          <w:rFonts w:hint="eastAsia"/>
          <w:rtl/>
        </w:rPr>
        <w:t>‌</w:t>
      </w:r>
      <w:r w:rsidR="000E64A4">
        <w:rPr>
          <w:rFonts w:hint="cs"/>
          <w:rtl/>
        </w:rPr>
        <w:t>ی متعه بر زن واجب است.</w:t>
      </w:r>
    </w:p>
    <w:p w:rsidR="005B4FAC" w:rsidRDefault="002C6133" w:rsidP="00342381">
      <w:pPr>
        <w:jc w:val="both"/>
        <w:rPr>
          <w:rtl/>
        </w:rPr>
      </w:pPr>
      <w:r>
        <w:rPr>
          <w:rFonts w:hint="cs"/>
          <w:rtl/>
        </w:rPr>
        <w:t>مرحوم سید یزدی صورتی را بیان می کند که مرد با این زن عقدی را خوانده اند؛ اما مشخص می شود که این عقد، عقد باطلی بوده است.</w:t>
      </w:r>
    </w:p>
    <w:p w:rsidR="002A7CAF" w:rsidRDefault="002A7CAF" w:rsidP="00342381">
      <w:pPr>
        <w:jc w:val="both"/>
        <w:rPr>
          <w:rtl/>
        </w:rPr>
      </w:pPr>
      <w:r>
        <w:rPr>
          <w:rFonts w:hint="cs"/>
          <w:rtl/>
        </w:rPr>
        <w:t>عبارات عامه را هم در جلسات گذشته بیان کردیم و ملاحظه شد که آن ها دو صورت را بیان کرده اند: یک</w:t>
      </w:r>
      <w:r w:rsidR="00BF71D1">
        <w:rPr>
          <w:rFonts w:hint="cs"/>
          <w:rtl/>
        </w:rPr>
        <w:t>ی</w:t>
      </w:r>
      <w:r>
        <w:rPr>
          <w:rFonts w:hint="cs"/>
          <w:rtl/>
        </w:rPr>
        <w:t xml:space="preserve"> وطی به شبهه و دیگری وطی به نکاح فاسد.</w:t>
      </w:r>
      <w:r w:rsidR="00822363">
        <w:rPr>
          <w:rFonts w:hint="cs"/>
          <w:rtl/>
        </w:rPr>
        <w:t xml:space="preserve"> وطی به شبهه را در مقابل وطی به نکاح فاسد قرار داده اند.</w:t>
      </w:r>
    </w:p>
    <w:p w:rsidR="004A0403" w:rsidRDefault="004A0403" w:rsidP="00342381">
      <w:pPr>
        <w:jc w:val="both"/>
        <w:rPr>
          <w:rtl/>
        </w:rPr>
      </w:pPr>
      <w:r>
        <w:rPr>
          <w:rFonts w:hint="cs"/>
          <w:rtl/>
        </w:rPr>
        <w:t>در روایات نیز هر دو صورت بیان شده بود. در بعضی روایات عده</w:t>
      </w:r>
      <w:r>
        <w:rPr>
          <w:rFonts w:hint="eastAsia"/>
          <w:rtl/>
        </w:rPr>
        <w:t>‌</w:t>
      </w:r>
      <w:r>
        <w:rPr>
          <w:rFonts w:hint="cs"/>
          <w:rtl/>
        </w:rPr>
        <w:t>ی وطی به شبهه مطرح شده بود و در بعضی روایات وطی به نکاح فاسد؛ مثل زنی که به تصور فوت همسر پس از عده ازدواج کرده است؛ سپس مشخص می شود، شوهرش زنده است؛ در این صورت عده</w:t>
      </w:r>
      <w:r>
        <w:rPr>
          <w:rFonts w:hint="eastAsia"/>
          <w:rtl/>
        </w:rPr>
        <w:t>‌</w:t>
      </w:r>
      <w:r>
        <w:rPr>
          <w:rFonts w:hint="cs"/>
          <w:rtl/>
        </w:rPr>
        <w:t>ی نکاح فاسد بر این زن واجب است.</w:t>
      </w:r>
    </w:p>
    <w:p w:rsidR="005E1D1D" w:rsidRDefault="005E1D1D" w:rsidP="00F777D7">
      <w:pPr>
        <w:pStyle w:val="Heading3"/>
        <w:rPr>
          <w:rtl/>
        </w:rPr>
      </w:pPr>
      <w:bookmarkStart w:id="3" w:name="_Toc44180764"/>
      <w:r>
        <w:rPr>
          <w:rFonts w:hint="cs"/>
          <w:rtl/>
        </w:rPr>
        <w:t>دلیل مساله</w:t>
      </w:r>
      <w:bookmarkEnd w:id="3"/>
    </w:p>
    <w:p w:rsidR="005E1D1D" w:rsidRDefault="005E1D1D" w:rsidP="00F777D7">
      <w:pPr>
        <w:jc w:val="both"/>
        <w:rPr>
          <w:rtl/>
        </w:rPr>
      </w:pPr>
      <w:r>
        <w:rPr>
          <w:rFonts w:hint="cs"/>
          <w:rtl/>
        </w:rPr>
        <w:t>ممکن است دلیل مرحوم سید یزدی ا</w:t>
      </w:r>
      <w:r w:rsidR="00F777D7">
        <w:rPr>
          <w:rFonts w:hint="cs"/>
          <w:rtl/>
        </w:rPr>
        <w:t>ین باشد که روایات</w:t>
      </w:r>
      <w:r>
        <w:rPr>
          <w:rFonts w:hint="cs"/>
          <w:rtl/>
        </w:rPr>
        <w:t xml:space="preserve"> </w:t>
      </w:r>
      <w:r w:rsidR="00F777D7">
        <w:rPr>
          <w:rFonts w:hint="cs"/>
          <w:rtl/>
        </w:rPr>
        <w:t>وجوب</w:t>
      </w:r>
      <w:r>
        <w:rPr>
          <w:rFonts w:hint="cs"/>
          <w:rtl/>
        </w:rPr>
        <w:t xml:space="preserve"> عده</w:t>
      </w:r>
      <w:r>
        <w:rPr>
          <w:rFonts w:hint="eastAsia"/>
          <w:rtl/>
        </w:rPr>
        <w:t>‌</w:t>
      </w:r>
      <w:r w:rsidR="00F777D7">
        <w:rPr>
          <w:rFonts w:hint="cs"/>
          <w:rtl/>
        </w:rPr>
        <w:t>ی طلاق</w:t>
      </w:r>
      <w:r>
        <w:rPr>
          <w:rFonts w:hint="cs"/>
          <w:rtl/>
        </w:rPr>
        <w:t xml:space="preserve">، به عقد دائم منصرف هستند و </w:t>
      </w:r>
      <w:r w:rsidR="00E2211C">
        <w:rPr>
          <w:rFonts w:hint="cs"/>
          <w:rtl/>
        </w:rPr>
        <w:t>شامل عقد موقت</w:t>
      </w:r>
      <w:r>
        <w:rPr>
          <w:rFonts w:hint="cs"/>
          <w:rtl/>
        </w:rPr>
        <w:t xml:space="preserve"> نمی شوند.</w:t>
      </w:r>
    </w:p>
    <w:p w:rsidR="00AD0C39" w:rsidRDefault="00AD0C39" w:rsidP="001A0EE1">
      <w:pPr>
        <w:pStyle w:val="Heading4"/>
        <w:rPr>
          <w:rtl/>
        </w:rPr>
      </w:pPr>
      <w:bookmarkStart w:id="4" w:name="_Toc44180765"/>
      <w:r>
        <w:rPr>
          <w:rFonts w:hint="cs"/>
          <w:rtl/>
        </w:rPr>
        <w:t>مساله</w:t>
      </w:r>
      <w:r>
        <w:rPr>
          <w:rFonts w:hint="eastAsia"/>
          <w:rtl/>
        </w:rPr>
        <w:t>‌</w:t>
      </w:r>
      <w:r>
        <w:rPr>
          <w:rFonts w:hint="cs"/>
          <w:rtl/>
        </w:rPr>
        <w:t>ی ششم از فصل اول ( عده</w:t>
      </w:r>
      <w:r>
        <w:rPr>
          <w:rFonts w:hint="eastAsia"/>
          <w:rtl/>
        </w:rPr>
        <w:t>‌</w:t>
      </w:r>
      <w:r>
        <w:rPr>
          <w:rFonts w:hint="cs"/>
          <w:rtl/>
        </w:rPr>
        <w:t>ی وفات)</w:t>
      </w:r>
      <w:bookmarkEnd w:id="4"/>
    </w:p>
    <w:p w:rsidR="006D0803" w:rsidRDefault="006D0803" w:rsidP="006D0803">
      <w:pPr>
        <w:jc w:val="both"/>
        <w:rPr>
          <w:rtl/>
        </w:rPr>
      </w:pPr>
      <w:r>
        <w:rPr>
          <w:rFonts w:hint="cs"/>
          <w:rtl/>
        </w:rPr>
        <w:t>مرحوم سید در مساله</w:t>
      </w:r>
      <w:r>
        <w:rPr>
          <w:rFonts w:hint="eastAsia"/>
          <w:rtl/>
        </w:rPr>
        <w:t>‌</w:t>
      </w:r>
      <w:r>
        <w:rPr>
          <w:rFonts w:hint="cs"/>
          <w:rtl/>
        </w:rPr>
        <w:t>ی ششم عده</w:t>
      </w:r>
      <w:r>
        <w:rPr>
          <w:rFonts w:hint="eastAsia"/>
          <w:rtl/>
        </w:rPr>
        <w:t>‌</w:t>
      </w:r>
      <w:r>
        <w:rPr>
          <w:rFonts w:hint="cs"/>
          <w:rtl/>
        </w:rPr>
        <w:t>ی وفات ( فصل اول)، می فرماید:</w:t>
      </w:r>
    </w:p>
    <w:p w:rsidR="006D0803" w:rsidRPr="006D0803" w:rsidRDefault="006D0803" w:rsidP="006D0803">
      <w:pPr>
        <w:jc w:val="both"/>
        <w:rPr>
          <w:color w:val="0000FF"/>
        </w:rPr>
      </w:pPr>
      <w:r w:rsidRPr="006D0803">
        <w:rPr>
          <w:rFonts w:hint="cs"/>
          <w:color w:val="0000FF"/>
          <w:rtl/>
        </w:rPr>
        <w:t>مسألة 6: هل الحكم شامل للمتعة أو مختص بعقد الدوام،</w:t>
      </w:r>
    </w:p>
    <w:p w:rsidR="006D0803" w:rsidRPr="006D0803" w:rsidRDefault="006D0803" w:rsidP="006D0803">
      <w:pPr>
        <w:jc w:val="both"/>
        <w:rPr>
          <w:color w:val="0000FF"/>
          <w:rtl/>
        </w:rPr>
      </w:pPr>
      <w:r w:rsidRPr="006D0803">
        <w:rPr>
          <w:rFonts w:hint="cs"/>
          <w:color w:val="0000FF"/>
          <w:rtl/>
        </w:rPr>
        <w:lastRenderedPageBreak/>
        <w:t>اختار في الجواهر الأول للإطلاق، و هو مشكل، إذ يمكن دعوى الانصراف إلى الدوام خصوصا مع قلة الأجل في المتعة بمثل الساعة و الساعتين بل اليوم و اليومين، مع إمكان دعوى انّ مقتضى ما في صحيحة زرارة عن الباقر (ع) «من أنّ على المتعة ما على الأمة» عدم وجوب الحداد عليها لعدم وجوبه على الأمة كما تقدم فتأمل، و لا يبعد التفصيل بين اتخاذها زوجة له مدة معتد بها و بين غير هذه الصورة، كما إذا كانت ساعة أو ساعتين أو يوما أو يومين أو نحو ذلك، بدعوى الانصراف عن نحو ذلك، و يمكن أن يحمل على هذا التفصيل خبر عبد الرحمن بن الحجاج عن أبى عبد اللّه (ع</w:t>
      </w:r>
      <w:r w:rsidR="008F649F">
        <w:rPr>
          <w:rFonts w:hint="cs"/>
          <w:color w:val="0000FF"/>
          <w:rtl/>
        </w:rPr>
        <w:t>لیه السلام</w:t>
      </w:r>
      <w:r w:rsidRPr="006D0803">
        <w:rPr>
          <w:rFonts w:hint="cs"/>
          <w:color w:val="0000FF"/>
          <w:rtl/>
        </w:rPr>
        <w:t>) «عن المرأة يتزوجها الرجل متعة ثم يتوفى عنها زوجها هل عليها العدة، فقال: تعتد أربعة أشهر و عشرا و إذا انقضت أيامها و هو حي فحيضة و نصف مثل ما يجب على الأمة، قال: قلت فتحد قال (ع): نعم إذا مكثت عنده أياما فعليها العدة و تحد، و إذا كانت عنده يوما أو يومين أو ساعة من النهار فقد وجبت العدة كملا و لا تحد».</w:t>
      </w:r>
    </w:p>
    <w:p w:rsidR="006D0803" w:rsidRPr="006D0803" w:rsidRDefault="006D0803" w:rsidP="006D0803">
      <w:pPr>
        <w:jc w:val="both"/>
        <w:rPr>
          <w:rtl/>
        </w:rPr>
      </w:pPr>
      <w:r w:rsidRPr="006D0803">
        <w:rPr>
          <w:rFonts w:hint="cs"/>
          <w:color w:val="0000FF"/>
          <w:rtl/>
        </w:rPr>
        <w:t>و لكنه مشكل إذ المستفاد منه التفصيل بين قلة المكث عنده و كثرته لا قلة المدة و كثرتها، و قد فصل بهذا التفصيل الصدوق في المقنع عملا بهذا الخبر لكنّه أيضا مشكل، و الأحوط الحداد مطلقا.</w:t>
      </w:r>
      <w:r w:rsidR="004A4432">
        <w:rPr>
          <w:rStyle w:val="FootnoteReference"/>
          <w:color w:val="0000FF"/>
          <w:rtl/>
        </w:rPr>
        <w:footnoteReference w:id="2"/>
      </w:r>
    </w:p>
    <w:p w:rsidR="001A0EE1" w:rsidRDefault="001A0EE1" w:rsidP="001A0EE1">
      <w:pPr>
        <w:pStyle w:val="Heading1"/>
        <w:rPr>
          <w:rtl/>
        </w:rPr>
      </w:pPr>
      <w:bookmarkStart w:id="5" w:name="_Toc44180766"/>
      <w:r>
        <w:rPr>
          <w:rFonts w:hint="cs"/>
          <w:rtl/>
        </w:rPr>
        <w:t>انصراف یا عدم انصراف تعبیراتی مثل زوج و زوجه به ازدواج دائم</w:t>
      </w:r>
      <w:bookmarkEnd w:id="5"/>
    </w:p>
    <w:p w:rsidR="00F500DC" w:rsidRDefault="004A4432" w:rsidP="006D0803">
      <w:pPr>
        <w:jc w:val="both"/>
        <w:rPr>
          <w:rtl/>
        </w:rPr>
      </w:pPr>
      <w:r>
        <w:rPr>
          <w:rFonts w:hint="cs"/>
          <w:rtl/>
        </w:rPr>
        <w:t>یک بحث کلی وجود دارد که تعبیراتی مثل زوج، زوجه، تزوجت و ... به زوجه</w:t>
      </w:r>
      <w:r>
        <w:rPr>
          <w:rFonts w:hint="eastAsia"/>
          <w:rtl/>
        </w:rPr>
        <w:t>‌</w:t>
      </w:r>
      <w:r>
        <w:rPr>
          <w:rFonts w:hint="cs"/>
          <w:rtl/>
        </w:rPr>
        <w:t>ی دائمی منصرفند یا منصرف نیستند.</w:t>
      </w:r>
    </w:p>
    <w:p w:rsidR="001A0EE1" w:rsidRDefault="001A0EE1" w:rsidP="001A0EE1">
      <w:pPr>
        <w:pStyle w:val="Heading2"/>
        <w:rPr>
          <w:rtl/>
        </w:rPr>
      </w:pPr>
      <w:bookmarkStart w:id="6" w:name="_Toc44180767"/>
      <w:r>
        <w:rPr>
          <w:rFonts w:hint="cs"/>
          <w:rtl/>
        </w:rPr>
        <w:t>کلام صاحب ریاض</w:t>
      </w:r>
      <w:bookmarkEnd w:id="6"/>
    </w:p>
    <w:p w:rsidR="006D0803" w:rsidRDefault="00F500DC" w:rsidP="006D0803">
      <w:pPr>
        <w:jc w:val="both"/>
        <w:rPr>
          <w:rtl/>
        </w:rPr>
      </w:pPr>
      <w:r>
        <w:rPr>
          <w:rFonts w:hint="cs"/>
          <w:rtl/>
        </w:rPr>
        <w:t>مرحوم صاحب ریاض در ریاض تاکید می کند که</w:t>
      </w:r>
      <w:r w:rsidR="00896D8C">
        <w:rPr>
          <w:rFonts w:hint="cs"/>
          <w:rtl/>
        </w:rPr>
        <w:t xml:space="preserve"> این تعبیرات</w:t>
      </w:r>
      <w:r>
        <w:rPr>
          <w:rFonts w:hint="cs"/>
          <w:rtl/>
        </w:rPr>
        <w:t xml:space="preserve"> به ازدواج دائم انصراف دارند</w:t>
      </w:r>
      <w:r w:rsidR="006671D1">
        <w:rPr>
          <w:rFonts w:hint="cs"/>
          <w:rtl/>
        </w:rPr>
        <w:t>:</w:t>
      </w:r>
    </w:p>
    <w:p w:rsidR="006671D1" w:rsidRPr="006671D1" w:rsidRDefault="006671D1" w:rsidP="006671D1">
      <w:pPr>
        <w:jc w:val="both"/>
        <w:rPr>
          <w:color w:val="000080"/>
        </w:rPr>
      </w:pPr>
      <w:r w:rsidRPr="006671D1">
        <w:rPr>
          <w:rFonts w:hint="cs"/>
          <w:color w:val="000080"/>
          <w:rtl/>
        </w:rPr>
        <w:t>و احترز بالدائمة و غير الناشزة عنها و عن المتمتّع بها؛ لعدم وجوب الإنفاق عليهما اتّفاقاً.</w:t>
      </w:r>
    </w:p>
    <w:p w:rsidR="006671D1" w:rsidRPr="006671D1" w:rsidRDefault="006671D1" w:rsidP="006671D1">
      <w:pPr>
        <w:jc w:val="both"/>
        <w:rPr>
          <w:color w:val="000080"/>
          <w:rtl/>
        </w:rPr>
      </w:pPr>
      <w:r w:rsidRPr="006671D1">
        <w:rPr>
          <w:rFonts w:hint="cs"/>
          <w:color w:val="000080"/>
          <w:rtl/>
        </w:rPr>
        <w:t>و هل يجوز الدفع إليهما؟ الأقوى لا في الناشزة؛ لفسقها، أو تمكّنها من النفقة في كل وقت أرادت الطاعة فتشبه الأغنياء، و في المعتبر عليه الإجماع.</w:t>
      </w:r>
    </w:p>
    <w:p w:rsidR="006671D1" w:rsidRPr="006671D1" w:rsidRDefault="006671D1" w:rsidP="006671D1">
      <w:pPr>
        <w:jc w:val="both"/>
        <w:rPr>
          <w:color w:val="000080"/>
          <w:rtl/>
        </w:rPr>
      </w:pPr>
      <w:r w:rsidRPr="006671D1">
        <w:rPr>
          <w:rFonts w:hint="cs"/>
          <w:color w:val="000080"/>
          <w:rtl/>
        </w:rPr>
        <w:t>نعم في المتمتّع بها؛ للعموم، مع خروجها عن النصوص، لعدم تبادرها من لفظ الزوجة المطلق فيها فلا تدخل فيه، مع أنّها ليست بزوجة حقيقة على الأقوى، بل مستأجرة كما في رواية</w:t>
      </w:r>
      <w:r>
        <w:rPr>
          <w:rStyle w:val="FootnoteReference"/>
          <w:color w:val="000080"/>
          <w:rtl/>
        </w:rPr>
        <w:footnoteReference w:id="3"/>
      </w:r>
    </w:p>
    <w:p w:rsidR="006671D1" w:rsidRDefault="00C86138" w:rsidP="00C86138">
      <w:pPr>
        <w:jc w:val="both"/>
        <w:rPr>
          <w:rtl/>
        </w:rPr>
      </w:pPr>
      <w:r>
        <w:rPr>
          <w:rFonts w:hint="cs"/>
          <w:rtl/>
        </w:rPr>
        <w:t xml:space="preserve">صاحب ریاض </w:t>
      </w:r>
      <w:r w:rsidR="000F2B79">
        <w:rPr>
          <w:rFonts w:hint="cs"/>
          <w:rtl/>
        </w:rPr>
        <w:t xml:space="preserve">حتی </w:t>
      </w:r>
      <w:r>
        <w:rPr>
          <w:rFonts w:hint="cs"/>
          <w:rtl/>
        </w:rPr>
        <w:t>زوجه</w:t>
      </w:r>
      <w:r>
        <w:rPr>
          <w:rFonts w:hint="eastAsia"/>
          <w:rtl/>
        </w:rPr>
        <w:t>‌</w:t>
      </w:r>
      <w:r>
        <w:rPr>
          <w:rFonts w:hint="cs"/>
          <w:rtl/>
        </w:rPr>
        <w:t>ی حقیقی بودن را در متعه انکار می کند.</w:t>
      </w:r>
    </w:p>
    <w:p w:rsidR="000F2B79" w:rsidRDefault="000F2B79" w:rsidP="00C86138">
      <w:pPr>
        <w:jc w:val="both"/>
        <w:rPr>
          <w:rtl/>
        </w:rPr>
      </w:pPr>
      <w:r>
        <w:rPr>
          <w:rFonts w:hint="cs"/>
          <w:rtl/>
        </w:rPr>
        <w:lastRenderedPageBreak/>
        <w:t>یک بیان این است که تبادر ندارد.</w:t>
      </w:r>
    </w:p>
    <w:p w:rsidR="000F2B79" w:rsidRDefault="000F2B79" w:rsidP="00C86138">
      <w:pPr>
        <w:jc w:val="both"/>
        <w:rPr>
          <w:rtl/>
        </w:rPr>
      </w:pPr>
      <w:r>
        <w:rPr>
          <w:rFonts w:hint="cs"/>
          <w:rtl/>
        </w:rPr>
        <w:t>بیان دیگر این</w:t>
      </w:r>
      <w:r w:rsidR="001A0EE1">
        <w:rPr>
          <w:rFonts w:hint="cs"/>
          <w:rtl/>
        </w:rPr>
        <w:t xml:space="preserve"> است</w:t>
      </w:r>
      <w:r>
        <w:rPr>
          <w:rFonts w:hint="cs"/>
          <w:rtl/>
        </w:rPr>
        <w:t xml:space="preserve"> که حقیقتا زوجه نمی باشد.</w:t>
      </w:r>
    </w:p>
    <w:p w:rsidR="004F1961" w:rsidRDefault="004F1961" w:rsidP="00C86138">
      <w:pPr>
        <w:jc w:val="both"/>
        <w:rPr>
          <w:rtl/>
        </w:rPr>
      </w:pPr>
      <w:r>
        <w:rPr>
          <w:rFonts w:hint="cs"/>
          <w:rtl/>
        </w:rPr>
        <w:t>صاحب ریاض در بحث دیگری می فرماید:</w:t>
      </w:r>
    </w:p>
    <w:p w:rsidR="006671D1" w:rsidRPr="006671D1" w:rsidRDefault="006671D1" w:rsidP="006671D1">
      <w:pPr>
        <w:jc w:val="both"/>
        <w:rPr>
          <w:color w:val="000080"/>
        </w:rPr>
      </w:pPr>
      <w:r w:rsidRPr="006671D1">
        <w:rPr>
          <w:rFonts w:hint="cs"/>
          <w:color w:val="000080"/>
          <w:rtl/>
        </w:rPr>
        <w:t>و أما الزوجة فينبغي القطع باختصاص الحكم فيها بالدائم، دون المتعة؛ لعدم تبادرها منها عند الإطلاق، مضافاً إلى قوة احتمال كون صدقها عليها على سبيل المجاز دون الحقيقة.</w:t>
      </w:r>
      <w:r>
        <w:rPr>
          <w:rStyle w:val="FootnoteReference"/>
          <w:color w:val="000080"/>
          <w:rtl/>
        </w:rPr>
        <w:footnoteReference w:id="4"/>
      </w:r>
    </w:p>
    <w:p w:rsidR="006671D1" w:rsidRDefault="00880AE2" w:rsidP="006D0803">
      <w:pPr>
        <w:jc w:val="both"/>
        <w:rPr>
          <w:rtl/>
        </w:rPr>
      </w:pPr>
      <w:r>
        <w:rPr>
          <w:rFonts w:hint="cs"/>
          <w:rtl/>
        </w:rPr>
        <w:t>آقای حکیم در مستمسک</w:t>
      </w:r>
      <w:r>
        <w:rPr>
          <w:rStyle w:val="FootnoteReference"/>
          <w:rtl/>
        </w:rPr>
        <w:footnoteReference w:id="5"/>
      </w:r>
      <w:r>
        <w:rPr>
          <w:rFonts w:hint="cs"/>
          <w:rtl/>
        </w:rPr>
        <w:t xml:space="preserve"> به صاحب ریاض پاسخ داده است و فرموده است که معقوده</w:t>
      </w:r>
      <w:r>
        <w:rPr>
          <w:rFonts w:hint="eastAsia"/>
          <w:rtl/>
        </w:rPr>
        <w:t>‌</w:t>
      </w:r>
      <w:r>
        <w:rPr>
          <w:rFonts w:hint="cs"/>
          <w:rtl/>
        </w:rPr>
        <w:t>ی به عقد انقطاعی حقیقتا زوجه می باشد و ادعای تبادر ممنوع است.</w:t>
      </w:r>
    </w:p>
    <w:p w:rsidR="003D01EE" w:rsidRDefault="003D01EE" w:rsidP="006D0803">
      <w:pPr>
        <w:jc w:val="both"/>
        <w:rPr>
          <w:rtl/>
        </w:rPr>
      </w:pPr>
      <w:r>
        <w:rPr>
          <w:rFonts w:hint="cs"/>
          <w:rtl/>
        </w:rPr>
        <w:t>از جهت روایات بسیار روشن است که زوجه</w:t>
      </w:r>
      <w:r>
        <w:rPr>
          <w:rFonts w:hint="eastAsia"/>
          <w:rtl/>
        </w:rPr>
        <w:t>‌</w:t>
      </w:r>
      <w:r>
        <w:rPr>
          <w:rFonts w:hint="cs"/>
          <w:rtl/>
        </w:rPr>
        <w:t>ی</w:t>
      </w:r>
      <w:r w:rsidR="00F92041">
        <w:rPr>
          <w:rFonts w:hint="cs"/>
          <w:rtl/>
        </w:rPr>
        <w:t xml:space="preserve"> منقطعه، زوجه می باشد و منافاتی با مستاجره بودن ندارد.</w:t>
      </w:r>
      <w:r w:rsidR="00F90623">
        <w:rPr>
          <w:rFonts w:hint="cs"/>
          <w:rtl/>
        </w:rPr>
        <w:t xml:space="preserve"> مستاجره بودن از باب تشبیه از بعضی جهات می باشد</w:t>
      </w:r>
      <w:r w:rsidR="003101CB">
        <w:rPr>
          <w:rFonts w:hint="cs"/>
          <w:rtl/>
        </w:rPr>
        <w:t>؛ در واقع مستاجره بودنش مجازی است؛ نه زوجه بودنش.</w:t>
      </w:r>
    </w:p>
    <w:p w:rsidR="009D4E7A" w:rsidRDefault="009D4E7A" w:rsidP="006D0803">
      <w:pPr>
        <w:jc w:val="both"/>
        <w:rPr>
          <w:rtl/>
        </w:rPr>
      </w:pPr>
      <w:r>
        <w:rPr>
          <w:rFonts w:hint="cs"/>
          <w:rtl/>
        </w:rPr>
        <w:t>مرحوم صاحب ریاض مستاجره بودن را حقیقی گرفته است و زوجه بودن را مجازی گرفته است؛ در حالی که زوجه بودنش حقیقی است و مستاجره بودنش مجازی است.</w:t>
      </w:r>
    </w:p>
    <w:p w:rsidR="002C6133" w:rsidRDefault="001E3F0D" w:rsidP="00342381">
      <w:pPr>
        <w:jc w:val="both"/>
        <w:rPr>
          <w:rtl/>
        </w:rPr>
      </w:pPr>
      <w:r>
        <w:rPr>
          <w:rFonts w:hint="cs"/>
          <w:rtl/>
        </w:rPr>
        <w:t>بحث در واقع این است که آیا زوجه، به زوجه</w:t>
      </w:r>
      <w:r>
        <w:rPr>
          <w:rFonts w:hint="eastAsia"/>
          <w:rtl/>
        </w:rPr>
        <w:t>‌</w:t>
      </w:r>
      <w:r>
        <w:rPr>
          <w:rFonts w:hint="cs"/>
          <w:rtl/>
        </w:rPr>
        <w:t>ی دائم انصراف دارد یا انصراف ندارد؟</w:t>
      </w:r>
    </w:p>
    <w:p w:rsidR="002C6133" w:rsidRDefault="001E3F0D" w:rsidP="00342381">
      <w:pPr>
        <w:jc w:val="both"/>
        <w:rPr>
          <w:rtl/>
        </w:rPr>
      </w:pPr>
      <w:r>
        <w:rPr>
          <w:rFonts w:hint="cs"/>
          <w:rtl/>
        </w:rPr>
        <w:t>صاحب ریاض در این مورد می فرماید:</w:t>
      </w:r>
    </w:p>
    <w:p w:rsidR="001E3F0D" w:rsidRPr="002359A6" w:rsidRDefault="001E3F0D" w:rsidP="001E3F0D">
      <w:pPr>
        <w:jc w:val="both"/>
        <w:rPr>
          <w:color w:val="000080"/>
        </w:rPr>
      </w:pPr>
      <w:r w:rsidRPr="002359A6">
        <w:rPr>
          <w:rFonts w:hint="cs"/>
          <w:color w:val="000080"/>
          <w:rtl/>
        </w:rPr>
        <w:t>لعدم انصراف الإطلاق إلى نحو المتمتع بها و الناشزة.</w:t>
      </w:r>
      <w:r w:rsidR="002359A6">
        <w:rPr>
          <w:rStyle w:val="FootnoteReference"/>
          <w:color w:val="000080"/>
          <w:rtl/>
        </w:rPr>
        <w:footnoteReference w:id="6"/>
      </w:r>
    </w:p>
    <w:p w:rsidR="00C15007" w:rsidRDefault="00C15007" w:rsidP="00C15007">
      <w:pPr>
        <w:pStyle w:val="Heading2"/>
        <w:rPr>
          <w:rtl/>
        </w:rPr>
      </w:pPr>
      <w:bookmarkStart w:id="7" w:name="_Toc44180768"/>
      <w:r>
        <w:rPr>
          <w:rFonts w:hint="cs"/>
          <w:rtl/>
        </w:rPr>
        <w:t>کلام سید محمد مجاهد طباطبایی در کتاب المناهل</w:t>
      </w:r>
      <w:bookmarkEnd w:id="7"/>
    </w:p>
    <w:p w:rsidR="00C825E9" w:rsidRDefault="003E4507" w:rsidP="00342381">
      <w:pPr>
        <w:jc w:val="both"/>
        <w:rPr>
          <w:rtl/>
        </w:rPr>
      </w:pPr>
      <w:r>
        <w:rPr>
          <w:rFonts w:hint="cs"/>
          <w:rtl/>
        </w:rPr>
        <w:t>سید محمد مجاهد طباطبایی حائری در کتاب المناهل می فرماید:</w:t>
      </w:r>
    </w:p>
    <w:p w:rsidR="007550DB" w:rsidRPr="007550DB" w:rsidRDefault="007550DB" w:rsidP="007550DB">
      <w:pPr>
        <w:jc w:val="both"/>
        <w:rPr>
          <w:color w:val="000080"/>
          <w:rtl/>
        </w:rPr>
      </w:pPr>
      <w:r w:rsidRPr="007550DB">
        <w:rPr>
          <w:rFonts w:hint="cs"/>
          <w:color w:val="000080"/>
          <w:rtl/>
        </w:rPr>
        <w:t>هل يلحق بالدّائمة في استحقاق جميع المهر بالعقد المتمتع بها</w:t>
      </w:r>
      <w:r w:rsidRPr="007550DB">
        <w:rPr>
          <w:rFonts w:hint="cs"/>
          <w:color w:val="000080"/>
        </w:rPr>
        <w:t>‌</w:t>
      </w:r>
      <w:r w:rsidRPr="007550DB">
        <w:rPr>
          <w:rFonts w:hint="cs"/>
          <w:color w:val="000080"/>
          <w:rtl/>
        </w:rPr>
        <w:t xml:space="preserve"> فيستحق جميع المهر بنفس العقد او لا بل يختصّ الحكم المذكور بالدائمة لم اجد احدا من الاصحاب تعرض لهذه المسألة بخصوصها و لكن قد يستفاد الاول من اطلاق قولهم في يع و فع و د و الايضاح و اللمعة و التنقيح و المهذب البارع و ضة و لك تملك المراة الصداق بالعقد و مع هذا لو كان المتمتع بها لا تملك تمام </w:t>
      </w:r>
      <w:r w:rsidRPr="007550DB">
        <w:rPr>
          <w:rFonts w:hint="cs"/>
          <w:color w:val="000080"/>
          <w:rtl/>
        </w:rPr>
        <w:lastRenderedPageBreak/>
        <w:t>الصّداق بالعقد لوقع التّنبيه عليه في كلامهم قطعا لأنّه المعروف من طريقتهم و المعهود من سجيّتهم كما لا يخفى فالظاهر انّه لا قائل بالفصل بين الدّائمة و المتمتع بها و لهم مضافا الى ما ذكر وجوه منها عموم قوله تعالى أَوْفُوا بِالْعُقُودِ بناء على ما قدّمناه من كون تملك تمام الصّداق بنفس العقد من مقتضياته عرفا و لغة كما في سائر العقود الناقلة للعين او المنفعة و منها عموم قوله تعالى وَ آتُوا النِّساءَ صَدُقاتِهِنَّ فان لفظى النّساء و الصّدقات يعمان المتمتع بها و مهرها المعيّن في ضمن العقد و لا يمكن دعوى انصرافهما الى الدّائمة و مهرها لأنّهما من الألفاظ الموضوعة للعموم و هى لا تنصرف الى الافراد الشّائعة بل ذلك‌ مختص بالاطلاقات و الالفاظ الموضوعة للمفاهيم الكلّية و منها عموم موثقة عبيد بن زرارة المتقدّمة الناشى من ترك الاستفصال الذى هو من الاسباب المفيدة للعموم بناء على صدق الزّوجة على المتمتّع حقيقة عرفا و لغة الا ان يقال اطلاق الرّواية تنصرف الى الدّائمة لغلبتها و ترك الاستفصال لا يمنع من انصراف المطلق الى الفرد الشّائع و فيه نظر</w:t>
      </w:r>
      <w:r>
        <w:rPr>
          <w:rStyle w:val="FootnoteReference"/>
          <w:color w:val="000080"/>
          <w:rtl/>
        </w:rPr>
        <w:footnoteReference w:id="7"/>
      </w:r>
    </w:p>
    <w:p w:rsidR="00C15007" w:rsidRDefault="00C15007" w:rsidP="00C15007">
      <w:pPr>
        <w:pStyle w:val="Heading2"/>
        <w:rPr>
          <w:rtl/>
        </w:rPr>
      </w:pPr>
      <w:bookmarkStart w:id="8" w:name="_Toc44180769"/>
      <w:r>
        <w:rPr>
          <w:rFonts w:hint="cs"/>
          <w:rtl/>
        </w:rPr>
        <w:t>کلام مولی احمد نراقی در مستند الشیعه</w:t>
      </w:r>
      <w:bookmarkEnd w:id="8"/>
    </w:p>
    <w:p w:rsidR="00C825E9" w:rsidRPr="001A27D7" w:rsidRDefault="00397F73" w:rsidP="00342381">
      <w:pPr>
        <w:jc w:val="both"/>
        <w:rPr>
          <w:rtl/>
        </w:rPr>
      </w:pPr>
      <w:r>
        <w:rPr>
          <w:rFonts w:hint="cs"/>
          <w:rtl/>
        </w:rPr>
        <w:t>مولی احمد نراقی در مستند الشیعه می فرماید:</w:t>
      </w:r>
    </w:p>
    <w:p w:rsidR="00E07DF7" w:rsidRPr="00E07DF7" w:rsidRDefault="00E07DF7" w:rsidP="00E07DF7">
      <w:pPr>
        <w:jc w:val="both"/>
        <w:rPr>
          <w:color w:val="000080"/>
        </w:rPr>
      </w:pPr>
      <w:r w:rsidRPr="00E07DF7">
        <w:rPr>
          <w:rFonts w:hint="cs"/>
          <w:color w:val="000080"/>
          <w:rtl/>
        </w:rPr>
        <w:t>و مقتضى إطلاقهما كفتاوى الأصحاب عدم الفرق بين الصغيرة و الكبيرة، المدخول بها و غيرها، المطيعة و الناشزة، و الدائمة و المنقطعة، و إن كان الشمول للأخيرة محل نظر و تأمل، بل قد ينظر في الناشزة أيضا، لعدم انصراف الإطلاق إلى نحوها.</w:t>
      </w:r>
    </w:p>
    <w:p w:rsidR="00E07DF7" w:rsidRPr="00E07DF7" w:rsidRDefault="00E07DF7" w:rsidP="00E07DF7">
      <w:pPr>
        <w:jc w:val="both"/>
        <w:rPr>
          <w:rtl/>
        </w:rPr>
      </w:pPr>
      <w:r w:rsidRPr="00E07DF7">
        <w:rPr>
          <w:rFonts w:hint="cs"/>
          <w:color w:val="000080"/>
          <w:rtl/>
        </w:rPr>
        <w:t>و فيه: أنّ الموجب للنظر انصرافه إلى غيرها بحيث يتبادر، و هو ممنوع.</w:t>
      </w:r>
      <w:r>
        <w:rPr>
          <w:rStyle w:val="FootnoteReference"/>
          <w:color w:val="000080"/>
          <w:rtl/>
        </w:rPr>
        <w:footnoteReference w:id="8"/>
      </w:r>
    </w:p>
    <w:p w:rsidR="00FB3AAA" w:rsidRDefault="00FB3AAA" w:rsidP="001D0CA6">
      <w:pPr>
        <w:pStyle w:val="Heading2"/>
        <w:rPr>
          <w:rtl/>
        </w:rPr>
      </w:pPr>
      <w:bookmarkStart w:id="9" w:name="_Toc44180770"/>
      <w:r>
        <w:rPr>
          <w:rFonts w:hint="cs"/>
          <w:rtl/>
        </w:rPr>
        <w:t>کلام مرحوم شیخ حسن کاشف الغطاء در انوارالفقاهه</w:t>
      </w:r>
      <w:bookmarkEnd w:id="9"/>
    </w:p>
    <w:p w:rsidR="001A1EA5" w:rsidRDefault="00095082" w:rsidP="00342381">
      <w:pPr>
        <w:jc w:val="both"/>
        <w:rPr>
          <w:rtl/>
        </w:rPr>
      </w:pPr>
      <w:r>
        <w:rPr>
          <w:rFonts w:hint="cs"/>
          <w:rtl/>
        </w:rPr>
        <w:t>مرحوم شیخ حسن کاشف الغطاء در کتاب البیع انوارالفقاهه می فرماید:</w:t>
      </w:r>
    </w:p>
    <w:p w:rsidR="00581328" w:rsidRPr="00581328" w:rsidRDefault="00581328" w:rsidP="00581328">
      <w:pPr>
        <w:jc w:val="both"/>
        <w:rPr>
          <w:color w:val="000080"/>
          <w:u w:val="single"/>
          <w:rtl/>
        </w:rPr>
      </w:pPr>
      <w:r w:rsidRPr="00581328">
        <w:rPr>
          <w:rFonts w:hint="cs"/>
          <w:color w:val="000080"/>
          <w:rtl/>
        </w:rPr>
        <w:t xml:space="preserve">و الظاهر أن الاقتصار على المورد اليقيني في الخروج عما دل على تحريم الربا هو الاقتصار على الولد و الوالد الصلبيين لتبادرهما من الفتوى و الرواية و الاقتصار على الولد النسبي لأنه المتبادر دون الرضاعي و للشك في شمول الرضاع لحمه كلحمة النسب لمثل هذا المقام سيما بعد إعراض الأصحاب عن التسوية‌ و الاقتصار على الوالد المحلل دون الزنا لانصراف الولد إليه عرفاً و لقوله (عليه السلام) (الولد للفراش و للعاهر الحجر) و الاقتصار على الأب دون الأم و </w:t>
      </w:r>
      <w:r w:rsidRPr="00581328">
        <w:rPr>
          <w:rFonts w:hint="cs"/>
          <w:color w:val="000080"/>
          <w:u w:val="single"/>
          <w:rtl/>
        </w:rPr>
        <w:t xml:space="preserve">الاقتصار في الزوجة على الدائمة دون المتمتع بها </w:t>
      </w:r>
      <w:r w:rsidRPr="00581328">
        <w:rPr>
          <w:rFonts w:hint="cs"/>
          <w:color w:val="000080"/>
          <w:u w:val="single"/>
          <w:rtl/>
        </w:rPr>
        <w:lastRenderedPageBreak/>
        <w:t>لانصراف الإطلاق إليها سيما زمن الصدور قيل في الروايات ما يؤذن بخصوص الدائمة كتفويض الزوجة أن يأخذ من مال الرجل المداوم و كتسلط الزوج على مالها</w:t>
      </w:r>
      <w:r w:rsidRPr="00581328">
        <w:rPr>
          <w:rFonts w:hint="cs"/>
          <w:color w:val="000080"/>
          <w:rtl/>
        </w:rPr>
        <w:t xml:space="preserve"> بحيث لا يجوز لها عتق عبدها من دون أذنه و بضميمة ما ورد إنما الربا فيما لا تملك و المتمتع بها كأنها مما لا تملك دون الدائمة يقوى القول بالاقتصار </w:t>
      </w:r>
      <w:r w:rsidRPr="00581328">
        <w:rPr>
          <w:rFonts w:hint="cs"/>
          <w:color w:val="000080"/>
          <w:u w:val="single"/>
          <w:rtl/>
        </w:rPr>
        <w:t>و يحتمل القول بشمول الحكم للمتمتع بها لشمول لفظ الزوجة و الأهل لها و لا يخلو عن قوة</w:t>
      </w:r>
      <w:r>
        <w:rPr>
          <w:rStyle w:val="FootnoteReference"/>
          <w:color w:val="000080"/>
          <w:u w:val="single"/>
          <w:rtl/>
        </w:rPr>
        <w:footnoteReference w:id="9"/>
      </w:r>
    </w:p>
    <w:p w:rsidR="007550DB" w:rsidRDefault="00F952B0" w:rsidP="00342381">
      <w:pPr>
        <w:jc w:val="both"/>
        <w:rPr>
          <w:rtl/>
        </w:rPr>
      </w:pPr>
      <w:r>
        <w:rPr>
          <w:rFonts w:hint="cs"/>
          <w:rtl/>
        </w:rPr>
        <w:t>در کتاب النکاح می فرماید:</w:t>
      </w:r>
    </w:p>
    <w:p w:rsidR="00F952B0" w:rsidRPr="00F952B0" w:rsidRDefault="00F952B0" w:rsidP="00F952B0">
      <w:pPr>
        <w:jc w:val="both"/>
        <w:rPr>
          <w:color w:val="000080"/>
        </w:rPr>
      </w:pPr>
      <w:r w:rsidRPr="00F952B0">
        <w:rPr>
          <w:rFonts w:hint="cs"/>
          <w:color w:val="000080"/>
          <w:rtl/>
        </w:rPr>
        <w:t>و في المتعة وجهان من شمول ما دل على منع النكاح و التزويج لها و من انصراف ذلك إلى الدوام و للخبر المعتبر هل للرجل أن يتمتع من المملوكة بإذن أهلها و له امرأة حرة قال نعم إذا رضيت الحرة قلت فإذا أذنت الحرة يتمتع منها قال نعم و أظهر الوجهين الأول</w:t>
      </w:r>
      <w:r>
        <w:rPr>
          <w:rStyle w:val="FootnoteReference"/>
          <w:color w:val="000080"/>
          <w:rtl/>
        </w:rPr>
        <w:footnoteReference w:id="10"/>
      </w:r>
    </w:p>
    <w:p w:rsidR="006C7AC8" w:rsidRDefault="006C7AC8" w:rsidP="00342381">
      <w:pPr>
        <w:jc w:val="both"/>
        <w:rPr>
          <w:rtl/>
        </w:rPr>
      </w:pPr>
      <w:r>
        <w:rPr>
          <w:rFonts w:hint="cs"/>
          <w:rtl/>
        </w:rPr>
        <w:t>انصراف به عقد دائم را نمی پذیرد.</w:t>
      </w:r>
    </w:p>
    <w:p w:rsidR="00A071BA" w:rsidRDefault="00F952B0" w:rsidP="00342381">
      <w:pPr>
        <w:jc w:val="both"/>
        <w:rPr>
          <w:rtl/>
        </w:rPr>
      </w:pPr>
      <w:r>
        <w:rPr>
          <w:rFonts w:hint="cs"/>
          <w:rtl/>
        </w:rPr>
        <w:t>در کتاب الهبه می فرماید:</w:t>
      </w:r>
    </w:p>
    <w:p w:rsidR="00F952B0" w:rsidRPr="00F952B0" w:rsidRDefault="00F952B0" w:rsidP="00F952B0">
      <w:pPr>
        <w:jc w:val="both"/>
        <w:rPr>
          <w:color w:val="000080"/>
        </w:rPr>
      </w:pPr>
      <w:r w:rsidRPr="00F952B0">
        <w:rPr>
          <w:rFonts w:hint="cs"/>
          <w:color w:val="000080"/>
          <w:rtl/>
        </w:rPr>
        <w:t>و قد يختص الخلاف بما إذا كانت الزوجة دائمة دون المنقطعة لانصراف الزوجة إلى الدائمة و في المطلقة الرجعية بحث.</w:t>
      </w:r>
      <w:r>
        <w:rPr>
          <w:rStyle w:val="FootnoteReference"/>
          <w:color w:val="000080"/>
          <w:rtl/>
        </w:rPr>
        <w:footnoteReference w:id="11"/>
      </w:r>
    </w:p>
    <w:p w:rsidR="00F952B0" w:rsidRDefault="00BE1A67" w:rsidP="00BE1A67">
      <w:pPr>
        <w:pStyle w:val="Heading2"/>
        <w:rPr>
          <w:rtl/>
        </w:rPr>
      </w:pPr>
      <w:bookmarkStart w:id="10" w:name="_Toc44180771"/>
      <w:r>
        <w:rPr>
          <w:rFonts w:hint="cs"/>
          <w:rtl/>
        </w:rPr>
        <w:t>کلام صاحب جواهر</w:t>
      </w:r>
      <w:bookmarkEnd w:id="10"/>
    </w:p>
    <w:p w:rsidR="00F952B0" w:rsidRPr="00F952B0" w:rsidRDefault="00F952B0" w:rsidP="00F952B0">
      <w:pPr>
        <w:jc w:val="both"/>
        <w:rPr>
          <w:color w:val="000080"/>
        </w:rPr>
      </w:pPr>
      <w:r w:rsidRPr="00F952B0">
        <w:rPr>
          <w:rFonts w:hint="cs"/>
          <w:color w:val="000080"/>
          <w:rtl/>
        </w:rPr>
        <w:t xml:space="preserve">و لا فرق في الزوجة بين الحرة و الأمة و لا بين الدائم و المنقطع و لا بين المدخول بها و غيرها، نعم </w:t>
      </w:r>
      <w:r w:rsidRPr="000C2FE6">
        <w:rPr>
          <w:rFonts w:hint="cs"/>
          <w:color w:val="000080"/>
          <w:u w:val="single"/>
          <w:rtl/>
        </w:rPr>
        <w:t>قد يشكل</w:t>
      </w:r>
      <w:r w:rsidRPr="00F952B0">
        <w:rPr>
          <w:rFonts w:hint="cs"/>
          <w:color w:val="000080"/>
          <w:rtl/>
        </w:rPr>
        <w:t xml:space="preserve"> ذلك في المنقطع خصوصا إذا كان قد انقضى الأجل بعد الموت كما لا يخفى على من أحاط خبرا بأحكام المنقطع المذكورة في محلها، و كذا الزوج لإطلاق النصوص و الفتاوى، و لا يقدح فيه سبق بعضها إلى الذهن، لعدم تحقق الندرة المانعة بمجرد ذلك، و المطلقة الرجعية زوجة كما صرح به جماعة من الأصحاب، بل لا أجد فيه خلافا من أحد سوى ما في المنتهى من أنه لو طلق امرأته فإن كان رجعيا ففي جواز تغسيل الآخر له نظر</w:t>
      </w:r>
      <w:r>
        <w:rPr>
          <w:rStyle w:val="FootnoteReference"/>
          <w:color w:val="000080"/>
          <w:rtl/>
        </w:rPr>
        <w:footnoteReference w:id="12"/>
      </w:r>
    </w:p>
    <w:p w:rsidR="00F952B0" w:rsidRDefault="000C2FE6" w:rsidP="00342381">
      <w:pPr>
        <w:jc w:val="both"/>
        <w:rPr>
          <w:rtl/>
        </w:rPr>
      </w:pPr>
      <w:r>
        <w:rPr>
          <w:rFonts w:hint="cs"/>
          <w:rtl/>
        </w:rPr>
        <w:t>در جای دیگر می فرماید:</w:t>
      </w:r>
    </w:p>
    <w:p w:rsidR="00B00D5E" w:rsidRPr="00B00D5E" w:rsidRDefault="00B00D5E" w:rsidP="00B00D5E">
      <w:pPr>
        <w:jc w:val="both"/>
        <w:rPr>
          <w:color w:val="000080"/>
        </w:rPr>
      </w:pPr>
      <w:r w:rsidRPr="00B00D5E">
        <w:rPr>
          <w:rFonts w:hint="cs"/>
          <w:color w:val="000080"/>
          <w:rtl/>
        </w:rPr>
        <w:lastRenderedPageBreak/>
        <w:t>فالعمدة ما سمعته من إطلاق النص المنجبر بمعقد الإجماعات المتقدمة، فكل ما اندرج فيها جرى الحكم عليه، فلا فرق حينئذ بين المدخول بها و غيرها و لا بين الصغيرة و الكبيرة و لا بين الحرة و الأمة و إن كان بين ما دل على كون الكفن على السيد و الزوج عموم من وجه، لظهور حكم ما نحن فيه عليه كالنفقة، و لا بين الناشزة و المطيعة، و لا بين العاقلة و المجنونة، و لا بين الدائمة و المتمتع بها إلا ما شك في اندراجه فيه كما احتمله في المدارك أو غيرها في الأخيرة معللا له بأن المنصرف إلى الذهن عند الإطلاق الدائمة، و عساه الظاهر من البيان و الدروس أيضا، و فيه منع، سيما في التي استعدها الرجل أهلا، و جعل مدة عقدها سنينا متعددة</w:t>
      </w:r>
      <w:r>
        <w:rPr>
          <w:rStyle w:val="FootnoteReference"/>
          <w:color w:val="000080"/>
          <w:rtl/>
        </w:rPr>
        <w:footnoteReference w:id="13"/>
      </w:r>
    </w:p>
    <w:p w:rsidR="00B00D5E" w:rsidRDefault="000E085A" w:rsidP="00342381">
      <w:pPr>
        <w:jc w:val="both"/>
        <w:rPr>
          <w:rtl/>
        </w:rPr>
      </w:pPr>
      <w:r>
        <w:rPr>
          <w:rFonts w:hint="cs"/>
          <w:rtl/>
        </w:rPr>
        <w:t>در جای دیگر می فرماید:</w:t>
      </w:r>
    </w:p>
    <w:p w:rsidR="00B00D5E" w:rsidRPr="00AB1F1C" w:rsidRDefault="00B00D5E" w:rsidP="00B00D5E">
      <w:pPr>
        <w:jc w:val="both"/>
        <w:rPr>
          <w:color w:val="000080"/>
        </w:rPr>
      </w:pPr>
      <w:r w:rsidRPr="00AB1F1C">
        <w:rPr>
          <w:rFonts w:hint="cs"/>
          <w:color w:val="000080"/>
          <w:rtl/>
        </w:rPr>
        <w:t>الى غير ذلك من النصوص التي إطلاقها كالفتاوى يقتضي عدم الفرق في الزوجة بين الدائم و المنقطع و الحرة و الأمة كما صرح به غير واحد لصدق الزوجة و الأهل و الامرأة، لقوله تعالى «إِلّا عَلى أَزْواجِهِمْ» و إن كان ربما يحتمل اختصاص الدائمة لدعوى الانصراف و أصلي الصحة و البراءة إلا أن الأصح ما عرفته.</w:t>
      </w:r>
      <w:r w:rsidR="00AB1F1C">
        <w:rPr>
          <w:rStyle w:val="FootnoteReference"/>
          <w:color w:val="000080"/>
          <w:rtl/>
        </w:rPr>
        <w:footnoteReference w:id="14"/>
      </w:r>
    </w:p>
    <w:p w:rsidR="00AB1F1C" w:rsidRDefault="00A249E3" w:rsidP="00610E7E">
      <w:pPr>
        <w:jc w:val="both"/>
        <w:rPr>
          <w:rtl/>
        </w:rPr>
      </w:pPr>
      <w:r>
        <w:rPr>
          <w:rFonts w:hint="cs"/>
          <w:rtl/>
        </w:rPr>
        <w:t>در این عبارت</w:t>
      </w:r>
      <w:r w:rsidR="00AB1F1C">
        <w:rPr>
          <w:rFonts w:hint="cs"/>
          <w:rtl/>
        </w:rPr>
        <w:t xml:space="preserve"> انصراف</w:t>
      </w:r>
      <w:r>
        <w:rPr>
          <w:rFonts w:hint="cs"/>
          <w:rtl/>
        </w:rPr>
        <w:t xml:space="preserve"> به زوجه</w:t>
      </w:r>
      <w:r>
        <w:rPr>
          <w:rFonts w:hint="eastAsia"/>
          <w:rtl/>
        </w:rPr>
        <w:t>‌</w:t>
      </w:r>
      <w:r>
        <w:rPr>
          <w:rFonts w:hint="cs"/>
          <w:rtl/>
        </w:rPr>
        <w:t>ی دائم را نمی پذیرد.</w:t>
      </w:r>
    </w:p>
    <w:p w:rsidR="00AB1F1C" w:rsidRDefault="004B1FE9" w:rsidP="00610E7E">
      <w:pPr>
        <w:pStyle w:val="Heading2"/>
        <w:rPr>
          <w:rtl/>
        </w:rPr>
      </w:pPr>
      <w:bookmarkStart w:id="11" w:name="_Toc44180772"/>
      <w:r>
        <w:rPr>
          <w:rFonts w:hint="cs"/>
          <w:rtl/>
        </w:rPr>
        <w:t>کلام حاج آقا رضا همدانی در مصباح الفقیه</w:t>
      </w:r>
      <w:bookmarkEnd w:id="11"/>
    </w:p>
    <w:p w:rsidR="004B1FE9" w:rsidRPr="004B1FE9" w:rsidRDefault="004B1FE9" w:rsidP="004B1FE9">
      <w:pPr>
        <w:jc w:val="both"/>
        <w:rPr>
          <w:color w:val="000080"/>
        </w:rPr>
      </w:pPr>
      <w:r w:rsidRPr="004B1FE9">
        <w:rPr>
          <w:rFonts w:hint="cs"/>
          <w:color w:val="000080"/>
          <w:rtl/>
        </w:rPr>
        <w:t>و دعوى انصراف الزوجة عمّا عدا الدائمة الممكّنة- التي يجب الإنفاق عليها- ممنوعة جدّا.</w:t>
      </w:r>
      <w:r>
        <w:rPr>
          <w:rStyle w:val="FootnoteReference"/>
          <w:color w:val="000080"/>
          <w:rtl/>
        </w:rPr>
        <w:footnoteReference w:id="15"/>
      </w:r>
    </w:p>
    <w:p w:rsidR="007550DB" w:rsidRDefault="00610E7E" w:rsidP="00610E7E">
      <w:pPr>
        <w:pStyle w:val="Heading2"/>
        <w:rPr>
          <w:rtl/>
        </w:rPr>
      </w:pPr>
      <w:bookmarkStart w:id="12" w:name="_Toc44180773"/>
      <w:r>
        <w:rPr>
          <w:rFonts w:hint="cs"/>
          <w:rtl/>
        </w:rPr>
        <w:t>کلام آیت الله شبیری زنجانی در کتاب نکاح</w:t>
      </w:r>
      <w:bookmarkEnd w:id="12"/>
    </w:p>
    <w:p w:rsidR="004B1FE9" w:rsidRPr="004B1FE9" w:rsidRDefault="00610E7E" w:rsidP="004B1FE9">
      <w:pPr>
        <w:jc w:val="both"/>
        <w:rPr>
          <w:color w:val="000080"/>
          <w:rtl/>
        </w:rPr>
      </w:pPr>
      <w:r>
        <w:rPr>
          <w:rFonts w:hint="cs"/>
          <w:color w:val="000080"/>
          <w:rtl/>
        </w:rPr>
        <w:t>«</w:t>
      </w:r>
      <w:r w:rsidR="004B1FE9" w:rsidRPr="004B1FE9">
        <w:rPr>
          <w:rFonts w:hint="cs"/>
          <w:color w:val="000080"/>
          <w:rtl/>
        </w:rPr>
        <w:t>با اين همه از صحيحه بزنطى استفاده مى‌شود كه لفظ «نكاح»، عقد متعه را هم‌ شامل مى‌گردد: عن احمد بن محمد بن ابى نصر قال سألت الرضا عليه السلام [أ] يتمتع بالامة باذن اهلها قال: نعم، ان الله تعالى يقول: فَانْكِحُوهُنَّ بِإِذْنِ أَهْلِهِنَّ.</w:t>
      </w:r>
    </w:p>
    <w:p w:rsidR="004B1FE9" w:rsidRPr="004B1FE9" w:rsidRDefault="004B1FE9" w:rsidP="004B1FE9">
      <w:pPr>
        <w:jc w:val="both"/>
        <w:rPr>
          <w:rtl/>
        </w:rPr>
      </w:pPr>
      <w:r w:rsidRPr="004B1FE9">
        <w:rPr>
          <w:rFonts w:hint="cs"/>
          <w:color w:val="000080"/>
          <w:rtl/>
        </w:rPr>
        <w:t>استدلال به آيه فوق براى حكم متعه نشان از ظهور (فَانْكِحُوهُنَّ) در معناى اعم دارد و اين امر اجمال اين گونه آيات يا انصراف نكاح را به نكاح دائم ردّ مى‌كند.</w:t>
      </w:r>
      <w:r w:rsidR="00610E7E">
        <w:rPr>
          <w:rFonts w:hint="cs"/>
          <w:color w:val="000080"/>
          <w:rtl/>
        </w:rPr>
        <w:t>»</w:t>
      </w:r>
      <w:r>
        <w:rPr>
          <w:rStyle w:val="FootnoteReference"/>
          <w:color w:val="000080"/>
          <w:rtl/>
        </w:rPr>
        <w:footnoteReference w:id="16"/>
      </w:r>
    </w:p>
    <w:p w:rsidR="007550DB" w:rsidRDefault="001C55A9" w:rsidP="00342381">
      <w:pPr>
        <w:jc w:val="both"/>
        <w:rPr>
          <w:rtl/>
        </w:rPr>
      </w:pPr>
      <w:r>
        <w:rPr>
          <w:rFonts w:hint="cs"/>
          <w:rtl/>
        </w:rPr>
        <w:t>در جلسات بعد در مورد روایت بزنطی بحث خواهیم کرد.</w:t>
      </w:r>
    </w:p>
    <w:p w:rsidR="008973C5" w:rsidRPr="006162A2" w:rsidRDefault="008973C5" w:rsidP="00342381">
      <w:pPr>
        <w:jc w:val="both"/>
        <w:rPr>
          <w:rtl/>
        </w:rPr>
      </w:pPr>
    </w:p>
    <w:sectPr w:rsidR="008973C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720" w:rsidRDefault="00153720" w:rsidP="008B750B">
      <w:pPr>
        <w:spacing w:line="240" w:lineRule="auto"/>
      </w:pPr>
      <w:r>
        <w:separator/>
      </w:r>
    </w:p>
  </w:endnote>
  <w:endnote w:type="continuationSeparator" w:id="0">
    <w:p w:rsidR="00153720" w:rsidRDefault="0015372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F952B0" w:rsidRPr="006D44C1" w:rsidTr="0020241A">
      <w:tc>
        <w:tcPr>
          <w:tcW w:w="3382" w:type="dxa"/>
          <w:tcBorders>
            <w:top w:val="nil"/>
            <w:left w:val="nil"/>
            <w:bottom w:val="nil"/>
            <w:right w:val="nil"/>
          </w:tcBorders>
        </w:tcPr>
        <w:p w:rsidR="00F952B0" w:rsidRDefault="00F952B0" w:rsidP="006D44C1">
          <w:pPr>
            <w:pStyle w:val="Footer"/>
            <w:rPr>
              <w:rtl/>
            </w:rPr>
          </w:pPr>
        </w:p>
      </w:tc>
      <w:tc>
        <w:tcPr>
          <w:tcW w:w="2252" w:type="dxa"/>
          <w:tcBorders>
            <w:top w:val="nil"/>
            <w:left w:val="nil"/>
            <w:bottom w:val="nil"/>
            <w:right w:val="nil"/>
          </w:tcBorders>
          <w:vAlign w:val="center"/>
        </w:tcPr>
        <w:p w:rsidR="00F952B0" w:rsidRDefault="00F952B0" w:rsidP="006D44C1">
          <w:pPr>
            <w:pStyle w:val="Footer"/>
            <w:jc w:val="right"/>
            <w:rPr>
              <w:rtl/>
            </w:rPr>
          </w:pPr>
          <w:r>
            <w:rPr>
              <w:rFonts w:hint="cs"/>
              <w:rtl/>
            </w:rPr>
            <w:t xml:space="preserve">صفحه </w:t>
          </w:r>
          <w:r>
            <w:fldChar w:fldCharType="begin"/>
          </w:r>
          <w:r>
            <w:instrText>PAGE   \* MERGEFORMAT</w:instrText>
          </w:r>
          <w:r>
            <w:fldChar w:fldCharType="separate"/>
          </w:r>
          <w:r w:rsidR="008238E5" w:rsidRPr="008238E5">
            <w:rPr>
              <w:noProof/>
              <w:rtl/>
              <w:lang w:val="fa-IR"/>
            </w:rPr>
            <w:t>8</w:t>
          </w:r>
          <w:r>
            <w:rPr>
              <w:noProof/>
            </w:rPr>
            <w:fldChar w:fldCharType="end"/>
          </w:r>
        </w:p>
      </w:tc>
      <w:tc>
        <w:tcPr>
          <w:tcW w:w="4786" w:type="dxa"/>
          <w:tcBorders>
            <w:top w:val="nil"/>
            <w:left w:val="nil"/>
            <w:bottom w:val="nil"/>
            <w:right w:val="nil"/>
          </w:tcBorders>
          <w:vAlign w:val="center"/>
        </w:tcPr>
        <w:p w:rsidR="00F952B0" w:rsidRPr="006D44C1" w:rsidRDefault="00F952B0" w:rsidP="001B6799">
          <w:pPr>
            <w:pStyle w:val="Footer"/>
            <w:bidi w:val="0"/>
            <w:rPr>
              <w:color w:val="808080" w:themeColor="background1" w:themeShade="80"/>
              <w:rtl/>
            </w:rPr>
          </w:pPr>
          <w:bookmarkStart w:id="20" w:name="BokAdres"/>
          <w:bookmarkEnd w:id="20"/>
          <w:r>
            <w:rPr>
              <w:color w:val="808080" w:themeColor="background1" w:themeShade="80"/>
            </w:rPr>
            <w:t>F1js1_13990401-105_mk3_mfeb.ir</w:t>
          </w:r>
        </w:p>
      </w:tc>
    </w:tr>
  </w:tbl>
  <w:p w:rsidR="00F952B0" w:rsidRDefault="00F952B0"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720" w:rsidRDefault="00153720" w:rsidP="008B750B">
      <w:pPr>
        <w:spacing w:line="240" w:lineRule="auto"/>
      </w:pPr>
      <w:r>
        <w:separator/>
      </w:r>
    </w:p>
  </w:footnote>
  <w:footnote w:type="continuationSeparator" w:id="0">
    <w:p w:rsidR="00153720" w:rsidRDefault="00153720" w:rsidP="008B750B">
      <w:pPr>
        <w:spacing w:line="240" w:lineRule="auto"/>
      </w:pPr>
      <w:r>
        <w:continuationSeparator/>
      </w:r>
    </w:p>
  </w:footnote>
  <w:footnote w:id="1">
    <w:p w:rsidR="00F952B0" w:rsidRPr="00C825E9" w:rsidRDefault="00F952B0" w:rsidP="00C825E9">
      <w:pPr>
        <w:pStyle w:val="FootnoteText"/>
      </w:pPr>
      <w:r w:rsidRPr="00C825E9">
        <w:footnoteRef/>
      </w:r>
      <w:r w:rsidRPr="00C825E9">
        <w:rPr>
          <w:rtl/>
        </w:rPr>
        <w:t xml:space="preserve"> </w:t>
      </w:r>
      <w:hyperlink r:id="rId1" w:history="1">
        <w:r w:rsidRPr="00C825E9">
          <w:rPr>
            <w:rStyle w:val="Hyperlink"/>
            <w:rtl/>
          </w:rPr>
          <w:t>تکملة العروة الوثق</w:t>
        </w:r>
        <w:r w:rsidRPr="00C825E9">
          <w:rPr>
            <w:rStyle w:val="Hyperlink"/>
            <w:rFonts w:hint="cs"/>
            <w:rtl/>
          </w:rPr>
          <w:t>ی</w:t>
        </w:r>
        <w:r w:rsidRPr="00C825E9">
          <w:rPr>
            <w:rStyle w:val="Hyperlink"/>
            <w:rFonts w:hint="eastAsia"/>
            <w:rtl/>
          </w:rPr>
          <w:t>،</w:t>
        </w:r>
        <w:r w:rsidRPr="00C825E9">
          <w:rPr>
            <w:rStyle w:val="Hyperlink"/>
            <w:rtl/>
          </w:rPr>
          <w:t xml:space="preserve"> الس</w:t>
        </w:r>
        <w:r w:rsidRPr="00C825E9">
          <w:rPr>
            <w:rStyle w:val="Hyperlink"/>
            <w:rFonts w:hint="cs"/>
            <w:rtl/>
          </w:rPr>
          <w:t>ی</w:t>
        </w:r>
        <w:r w:rsidRPr="00C825E9">
          <w:rPr>
            <w:rStyle w:val="Hyperlink"/>
            <w:rFonts w:hint="eastAsia"/>
            <w:rtl/>
          </w:rPr>
          <w:t>د</w:t>
        </w:r>
        <w:r w:rsidRPr="00C825E9">
          <w:rPr>
            <w:rStyle w:val="Hyperlink"/>
            <w:rtl/>
          </w:rPr>
          <w:t xml:space="preserve"> محمد کاظم الطباطبائ</w:t>
        </w:r>
        <w:r w:rsidRPr="00C825E9">
          <w:rPr>
            <w:rStyle w:val="Hyperlink"/>
            <w:rFonts w:hint="cs"/>
            <w:rtl/>
          </w:rPr>
          <w:t>ی</w:t>
        </w:r>
        <w:r w:rsidRPr="00C825E9">
          <w:rPr>
            <w:rStyle w:val="Hyperlink"/>
            <w:rtl/>
          </w:rPr>
          <w:t xml:space="preserve"> ال</w:t>
        </w:r>
        <w:r w:rsidRPr="00C825E9">
          <w:rPr>
            <w:rStyle w:val="Hyperlink"/>
            <w:rFonts w:hint="cs"/>
            <w:rtl/>
          </w:rPr>
          <w:t>ی</w:t>
        </w:r>
        <w:r w:rsidRPr="00C825E9">
          <w:rPr>
            <w:rStyle w:val="Hyperlink"/>
            <w:rFonts w:hint="eastAsia"/>
            <w:rtl/>
          </w:rPr>
          <w:t>زد</w:t>
        </w:r>
        <w:r w:rsidRPr="00C825E9">
          <w:rPr>
            <w:rStyle w:val="Hyperlink"/>
            <w:rFonts w:hint="cs"/>
            <w:rtl/>
          </w:rPr>
          <w:t>ی</w:t>
        </w:r>
        <w:r w:rsidRPr="00C825E9">
          <w:rPr>
            <w:rStyle w:val="Hyperlink"/>
            <w:rFonts w:hint="eastAsia"/>
            <w:rtl/>
          </w:rPr>
          <w:t>،</w:t>
        </w:r>
        <w:r w:rsidRPr="00C825E9">
          <w:rPr>
            <w:rStyle w:val="Hyperlink"/>
            <w:rtl/>
          </w:rPr>
          <w:t xml:space="preserve"> ج1، ص105</w:t>
        </w:r>
        <w:r w:rsidRPr="00C825E9">
          <w:rPr>
            <w:rStyle w:val="Hyperlink"/>
          </w:rPr>
          <w:t>.</w:t>
        </w:r>
      </w:hyperlink>
    </w:p>
  </w:footnote>
  <w:footnote w:id="2">
    <w:p w:rsidR="00F952B0" w:rsidRPr="004A4432" w:rsidRDefault="00F952B0" w:rsidP="004A4432">
      <w:pPr>
        <w:pStyle w:val="FootnoteText"/>
      </w:pPr>
      <w:r w:rsidRPr="004A4432">
        <w:footnoteRef/>
      </w:r>
      <w:r w:rsidRPr="004A4432">
        <w:rPr>
          <w:rtl/>
        </w:rPr>
        <w:t xml:space="preserve"> </w:t>
      </w:r>
      <w:hyperlink r:id="rId2" w:history="1">
        <w:r w:rsidRPr="004A4432">
          <w:rPr>
            <w:rStyle w:val="Hyperlink"/>
            <w:rtl/>
          </w:rPr>
          <w:t>تکملة العروة الوثق</w:t>
        </w:r>
        <w:r w:rsidRPr="004A4432">
          <w:rPr>
            <w:rStyle w:val="Hyperlink"/>
            <w:rFonts w:hint="cs"/>
            <w:rtl/>
          </w:rPr>
          <w:t>ی</w:t>
        </w:r>
        <w:r w:rsidRPr="004A4432">
          <w:rPr>
            <w:rStyle w:val="Hyperlink"/>
            <w:rFonts w:hint="eastAsia"/>
            <w:rtl/>
          </w:rPr>
          <w:t>،</w:t>
        </w:r>
        <w:r w:rsidRPr="004A4432">
          <w:rPr>
            <w:rStyle w:val="Hyperlink"/>
            <w:rtl/>
          </w:rPr>
          <w:t xml:space="preserve"> الس</w:t>
        </w:r>
        <w:r w:rsidRPr="004A4432">
          <w:rPr>
            <w:rStyle w:val="Hyperlink"/>
            <w:rFonts w:hint="cs"/>
            <w:rtl/>
          </w:rPr>
          <w:t>ی</w:t>
        </w:r>
        <w:r w:rsidRPr="004A4432">
          <w:rPr>
            <w:rStyle w:val="Hyperlink"/>
            <w:rFonts w:hint="eastAsia"/>
            <w:rtl/>
          </w:rPr>
          <w:t>د</w:t>
        </w:r>
        <w:r w:rsidRPr="004A4432">
          <w:rPr>
            <w:rStyle w:val="Hyperlink"/>
            <w:rtl/>
          </w:rPr>
          <w:t xml:space="preserve"> محمد کاظم الطباطبائ</w:t>
        </w:r>
        <w:r w:rsidRPr="004A4432">
          <w:rPr>
            <w:rStyle w:val="Hyperlink"/>
            <w:rFonts w:hint="cs"/>
            <w:rtl/>
          </w:rPr>
          <w:t>ی</w:t>
        </w:r>
        <w:r w:rsidRPr="004A4432">
          <w:rPr>
            <w:rStyle w:val="Hyperlink"/>
            <w:rtl/>
          </w:rPr>
          <w:t xml:space="preserve"> ال</w:t>
        </w:r>
        <w:r w:rsidRPr="004A4432">
          <w:rPr>
            <w:rStyle w:val="Hyperlink"/>
            <w:rFonts w:hint="cs"/>
            <w:rtl/>
          </w:rPr>
          <w:t>ی</w:t>
        </w:r>
        <w:r w:rsidRPr="004A4432">
          <w:rPr>
            <w:rStyle w:val="Hyperlink"/>
            <w:rFonts w:hint="eastAsia"/>
            <w:rtl/>
          </w:rPr>
          <w:t>زد</w:t>
        </w:r>
        <w:r w:rsidRPr="004A4432">
          <w:rPr>
            <w:rStyle w:val="Hyperlink"/>
            <w:rFonts w:hint="cs"/>
            <w:rtl/>
          </w:rPr>
          <w:t>ی</w:t>
        </w:r>
        <w:r w:rsidRPr="004A4432">
          <w:rPr>
            <w:rStyle w:val="Hyperlink"/>
            <w:rFonts w:hint="eastAsia"/>
            <w:rtl/>
          </w:rPr>
          <w:t>،</w:t>
        </w:r>
        <w:r w:rsidRPr="004A4432">
          <w:rPr>
            <w:rStyle w:val="Hyperlink"/>
            <w:rtl/>
          </w:rPr>
          <w:t xml:space="preserve"> ج1، ص65</w:t>
        </w:r>
        <w:r w:rsidRPr="004A4432">
          <w:rPr>
            <w:rStyle w:val="Hyperlink"/>
          </w:rPr>
          <w:t>.</w:t>
        </w:r>
      </w:hyperlink>
    </w:p>
  </w:footnote>
  <w:footnote w:id="3">
    <w:p w:rsidR="00F952B0" w:rsidRPr="006671D1" w:rsidRDefault="00F952B0" w:rsidP="006671D1">
      <w:pPr>
        <w:pStyle w:val="FootnoteText"/>
      </w:pPr>
      <w:r w:rsidRPr="006671D1">
        <w:footnoteRef/>
      </w:r>
      <w:r w:rsidRPr="006671D1">
        <w:rPr>
          <w:rtl/>
        </w:rPr>
        <w:t xml:space="preserve"> </w:t>
      </w:r>
      <w:hyperlink r:id="rId3" w:history="1">
        <w:r w:rsidRPr="006671D1">
          <w:rPr>
            <w:rStyle w:val="Hyperlink"/>
            <w:rtl/>
          </w:rPr>
          <w:t>ر</w:t>
        </w:r>
        <w:r w:rsidRPr="006671D1">
          <w:rPr>
            <w:rStyle w:val="Hyperlink"/>
            <w:rFonts w:hint="cs"/>
            <w:rtl/>
          </w:rPr>
          <w:t>ی</w:t>
        </w:r>
        <w:r w:rsidRPr="006671D1">
          <w:rPr>
            <w:rStyle w:val="Hyperlink"/>
            <w:rFonts w:hint="eastAsia"/>
            <w:rtl/>
          </w:rPr>
          <w:t>اض</w:t>
        </w:r>
        <w:r w:rsidRPr="006671D1">
          <w:rPr>
            <w:rStyle w:val="Hyperlink"/>
            <w:rtl/>
          </w:rPr>
          <w:t xml:space="preserve"> المسائل، س</w:t>
        </w:r>
        <w:r w:rsidRPr="006671D1">
          <w:rPr>
            <w:rStyle w:val="Hyperlink"/>
            <w:rFonts w:hint="cs"/>
            <w:rtl/>
          </w:rPr>
          <w:t>ی</w:t>
        </w:r>
        <w:r w:rsidRPr="006671D1">
          <w:rPr>
            <w:rStyle w:val="Hyperlink"/>
            <w:rFonts w:hint="eastAsia"/>
            <w:rtl/>
          </w:rPr>
          <w:t>د</w:t>
        </w:r>
        <w:r w:rsidRPr="006671D1">
          <w:rPr>
            <w:rStyle w:val="Hyperlink"/>
            <w:rtl/>
          </w:rPr>
          <w:t xml:space="preserve"> عل</w:t>
        </w:r>
        <w:r w:rsidRPr="006671D1">
          <w:rPr>
            <w:rStyle w:val="Hyperlink"/>
            <w:rFonts w:hint="cs"/>
            <w:rtl/>
          </w:rPr>
          <w:t>ی</w:t>
        </w:r>
        <w:r w:rsidRPr="006671D1">
          <w:rPr>
            <w:rStyle w:val="Hyperlink"/>
            <w:rtl/>
          </w:rPr>
          <w:t xml:space="preserve"> طباطبا</w:t>
        </w:r>
        <w:r w:rsidRPr="006671D1">
          <w:rPr>
            <w:rStyle w:val="Hyperlink"/>
            <w:rFonts w:hint="cs"/>
            <w:rtl/>
          </w:rPr>
          <w:t>یی</w:t>
        </w:r>
        <w:r w:rsidRPr="006671D1">
          <w:rPr>
            <w:rStyle w:val="Hyperlink"/>
            <w:rFonts w:hint="eastAsia"/>
            <w:rtl/>
          </w:rPr>
          <w:t>،</w:t>
        </w:r>
        <w:r w:rsidRPr="006671D1">
          <w:rPr>
            <w:rStyle w:val="Hyperlink"/>
            <w:rtl/>
          </w:rPr>
          <w:t xml:space="preserve"> ج5، ص165.</w:t>
        </w:r>
      </w:hyperlink>
    </w:p>
  </w:footnote>
  <w:footnote w:id="4">
    <w:p w:rsidR="00F952B0" w:rsidRPr="006671D1" w:rsidRDefault="00F952B0" w:rsidP="006671D1">
      <w:pPr>
        <w:pStyle w:val="FootnoteText"/>
      </w:pPr>
      <w:r w:rsidRPr="006671D1">
        <w:footnoteRef/>
      </w:r>
      <w:r w:rsidRPr="006671D1">
        <w:rPr>
          <w:rtl/>
        </w:rPr>
        <w:t xml:space="preserve"> </w:t>
      </w:r>
      <w:hyperlink r:id="rId4" w:history="1">
        <w:r w:rsidRPr="006671D1">
          <w:rPr>
            <w:rStyle w:val="Hyperlink"/>
            <w:rFonts w:hint="eastAsia"/>
            <w:rtl/>
          </w:rPr>
          <w:t>ر</w:t>
        </w:r>
        <w:r w:rsidRPr="006671D1">
          <w:rPr>
            <w:rStyle w:val="Hyperlink"/>
            <w:rFonts w:hint="cs"/>
            <w:rtl/>
          </w:rPr>
          <w:t>ی</w:t>
        </w:r>
        <w:r w:rsidRPr="006671D1">
          <w:rPr>
            <w:rStyle w:val="Hyperlink"/>
            <w:rFonts w:hint="eastAsia"/>
            <w:rtl/>
          </w:rPr>
          <w:t>اض</w:t>
        </w:r>
        <w:r w:rsidRPr="006671D1">
          <w:rPr>
            <w:rStyle w:val="Hyperlink"/>
            <w:rtl/>
          </w:rPr>
          <w:t xml:space="preserve"> </w:t>
        </w:r>
        <w:r w:rsidRPr="006671D1">
          <w:rPr>
            <w:rStyle w:val="Hyperlink"/>
            <w:rtl/>
          </w:rPr>
          <w:t>المسائل، س</w:t>
        </w:r>
        <w:r w:rsidRPr="006671D1">
          <w:rPr>
            <w:rStyle w:val="Hyperlink"/>
            <w:rFonts w:hint="cs"/>
            <w:rtl/>
          </w:rPr>
          <w:t>ی</w:t>
        </w:r>
        <w:r w:rsidRPr="006671D1">
          <w:rPr>
            <w:rStyle w:val="Hyperlink"/>
            <w:rFonts w:hint="eastAsia"/>
            <w:rtl/>
          </w:rPr>
          <w:t>د</w:t>
        </w:r>
        <w:r w:rsidRPr="006671D1">
          <w:rPr>
            <w:rStyle w:val="Hyperlink"/>
            <w:rtl/>
          </w:rPr>
          <w:t xml:space="preserve"> عل</w:t>
        </w:r>
        <w:r w:rsidRPr="006671D1">
          <w:rPr>
            <w:rStyle w:val="Hyperlink"/>
            <w:rFonts w:hint="cs"/>
            <w:rtl/>
          </w:rPr>
          <w:t>ی</w:t>
        </w:r>
        <w:r w:rsidRPr="006671D1">
          <w:rPr>
            <w:rStyle w:val="Hyperlink"/>
            <w:rtl/>
          </w:rPr>
          <w:t xml:space="preserve"> طباطبا</w:t>
        </w:r>
        <w:r w:rsidRPr="006671D1">
          <w:rPr>
            <w:rStyle w:val="Hyperlink"/>
            <w:rFonts w:hint="cs"/>
            <w:rtl/>
          </w:rPr>
          <w:t>یی</w:t>
        </w:r>
        <w:r w:rsidRPr="006671D1">
          <w:rPr>
            <w:rStyle w:val="Hyperlink"/>
            <w:rFonts w:hint="eastAsia"/>
            <w:rtl/>
          </w:rPr>
          <w:t>،</w:t>
        </w:r>
        <w:r w:rsidRPr="006671D1">
          <w:rPr>
            <w:rStyle w:val="Hyperlink"/>
            <w:rtl/>
          </w:rPr>
          <w:t xml:space="preserve"> ج13، ص187.</w:t>
        </w:r>
      </w:hyperlink>
    </w:p>
  </w:footnote>
  <w:footnote w:id="5">
    <w:p w:rsidR="00F952B0" w:rsidRPr="00880AE2" w:rsidRDefault="00F952B0" w:rsidP="00880AE2">
      <w:pPr>
        <w:pStyle w:val="FootnoteText"/>
      </w:pPr>
      <w:r w:rsidRPr="00880AE2">
        <w:footnoteRef/>
      </w:r>
      <w:r w:rsidRPr="00880AE2">
        <w:rPr>
          <w:rtl/>
        </w:rPr>
        <w:t xml:space="preserve"> </w:t>
      </w:r>
      <w:hyperlink r:id="rId5" w:history="1">
        <w:r w:rsidRPr="00880AE2">
          <w:rPr>
            <w:rStyle w:val="Hyperlink"/>
            <w:rFonts w:hint="eastAsia"/>
            <w:rtl/>
          </w:rPr>
          <w:t>مستمسک</w:t>
        </w:r>
        <w:r w:rsidRPr="00880AE2">
          <w:rPr>
            <w:rStyle w:val="Hyperlink"/>
            <w:rtl/>
          </w:rPr>
          <w:t xml:space="preserve"> </w:t>
        </w:r>
        <w:r w:rsidRPr="00880AE2">
          <w:rPr>
            <w:rStyle w:val="Hyperlink"/>
            <w:rtl/>
          </w:rPr>
          <w:t>العروه الوثق</w:t>
        </w:r>
        <w:r w:rsidRPr="00880AE2">
          <w:rPr>
            <w:rStyle w:val="Hyperlink"/>
            <w:rFonts w:hint="cs"/>
            <w:rtl/>
          </w:rPr>
          <w:t>ی</w:t>
        </w:r>
        <w:r w:rsidRPr="00880AE2">
          <w:rPr>
            <w:rStyle w:val="Hyperlink"/>
            <w:rFonts w:hint="eastAsia"/>
            <w:rtl/>
          </w:rPr>
          <w:t>،</w:t>
        </w:r>
        <w:r w:rsidRPr="00880AE2">
          <w:rPr>
            <w:rStyle w:val="Hyperlink"/>
            <w:rtl/>
          </w:rPr>
          <w:t xml:space="preserve"> س</w:t>
        </w:r>
        <w:r w:rsidRPr="00880AE2">
          <w:rPr>
            <w:rStyle w:val="Hyperlink"/>
            <w:rFonts w:hint="cs"/>
            <w:rtl/>
          </w:rPr>
          <w:t>ی</w:t>
        </w:r>
        <w:r w:rsidRPr="00880AE2">
          <w:rPr>
            <w:rStyle w:val="Hyperlink"/>
            <w:rFonts w:hint="eastAsia"/>
            <w:rtl/>
          </w:rPr>
          <w:t>د</w:t>
        </w:r>
        <w:r w:rsidRPr="00880AE2">
          <w:rPr>
            <w:rStyle w:val="Hyperlink"/>
            <w:rtl/>
          </w:rPr>
          <w:t xml:space="preserve"> محسن حک</w:t>
        </w:r>
        <w:r w:rsidRPr="00880AE2">
          <w:rPr>
            <w:rStyle w:val="Hyperlink"/>
            <w:rFonts w:hint="cs"/>
            <w:rtl/>
          </w:rPr>
          <w:t>ی</w:t>
        </w:r>
        <w:r w:rsidRPr="00880AE2">
          <w:rPr>
            <w:rStyle w:val="Hyperlink"/>
            <w:rFonts w:hint="eastAsia"/>
            <w:rtl/>
          </w:rPr>
          <w:t>م،</w:t>
        </w:r>
        <w:r w:rsidRPr="00880AE2">
          <w:rPr>
            <w:rStyle w:val="Hyperlink"/>
            <w:rtl/>
          </w:rPr>
          <w:t xml:space="preserve"> ج10، ص309.</w:t>
        </w:r>
      </w:hyperlink>
    </w:p>
  </w:footnote>
  <w:footnote w:id="6">
    <w:p w:rsidR="00F952B0" w:rsidRPr="002359A6" w:rsidRDefault="00F952B0" w:rsidP="002359A6">
      <w:pPr>
        <w:pStyle w:val="FootnoteText"/>
        <w:rPr>
          <w:rtl/>
        </w:rPr>
      </w:pPr>
      <w:r w:rsidRPr="002359A6">
        <w:footnoteRef/>
      </w:r>
      <w:r w:rsidRPr="002359A6">
        <w:rPr>
          <w:rtl/>
        </w:rPr>
        <w:t xml:space="preserve"> </w:t>
      </w:r>
      <w:hyperlink r:id="rId6" w:history="1">
        <w:r w:rsidRPr="002359A6">
          <w:rPr>
            <w:rStyle w:val="Hyperlink"/>
            <w:rtl/>
          </w:rPr>
          <w:t>ر</w:t>
        </w:r>
        <w:r w:rsidRPr="002359A6">
          <w:rPr>
            <w:rStyle w:val="Hyperlink"/>
            <w:rFonts w:hint="cs"/>
            <w:rtl/>
          </w:rPr>
          <w:t>ی</w:t>
        </w:r>
        <w:r w:rsidRPr="002359A6">
          <w:rPr>
            <w:rStyle w:val="Hyperlink"/>
            <w:rFonts w:hint="eastAsia"/>
            <w:rtl/>
          </w:rPr>
          <w:t>اض</w:t>
        </w:r>
        <w:r w:rsidRPr="002359A6">
          <w:rPr>
            <w:rStyle w:val="Hyperlink"/>
            <w:rtl/>
          </w:rPr>
          <w:t xml:space="preserve"> </w:t>
        </w:r>
        <w:r w:rsidRPr="002359A6">
          <w:rPr>
            <w:rStyle w:val="Hyperlink"/>
            <w:rtl/>
          </w:rPr>
          <w:t>المسائل، س</w:t>
        </w:r>
        <w:r w:rsidRPr="002359A6">
          <w:rPr>
            <w:rStyle w:val="Hyperlink"/>
            <w:rFonts w:hint="cs"/>
            <w:rtl/>
          </w:rPr>
          <w:t>ی</w:t>
        </w:r>
        <w:r w:rsidRPr="002359A6">
          <w:rPr>
            <w:rStyle w:val="Hyperlink"/>
            <w:rFonts w:hint="eastAsia"/>
            <w:rtl/>
          </w:rPr>
          <w:t>د</w:t>
        </w:r>
        <w:r w:rsidRPr="002359A6">
          <w:rPr>
            <w:rStyle w:val="Hyperlink"/>
            <w:rtl/>
          </w:rPr>
          <w:t xml:space="preserve"> عل</w:t>
        </w:r>
        <w:r w:rsidRPr="002359A6">
          <w:rPr>
            <w:rStyle w:val="Hyperlink"/>
            <w:rFonts w:hint="cs"/>
            <w:rtl/>
          </w:rPr>
          <w:t>ی</w:t>
        </w:r>
        <w:r w:rsidRPr="002359A6">
          <w:rPr>
            <w:rStyle w:val="Hyperlink"/>
            <w:rtl/>
          </w:rPr>
          <w:t xml:space="preserve"> طباطبا</w:t>
        </w:r>
        <w:r w:rsidRPr="002359A6">
          <w:rPr>
            <w:rStyle w:val="Hyperlink"/>
            <w:rFonts w:hint="cs"/>
            <w:rtl/>
          </w:rPr>
          <w:t>یی</w:t>
        </w:r>
        <w:r w:rsidRPr="002359A6">
          <w:rPr>
            <w:rStyle w:val="Hyperlink"/>
            <w:rFonts w:hint="eastAsia"/>
            <w:rtl/>
          </w:rPr>
          <w:t>،</w:t>
        </w:r>
        <w:r w:rsidRPr="002359A6">
          <w:rPr>
            <w:rStyle w:val="Hyperlink"/>
            <w:rtl/>
          </w:rPr>
          <w:t xml:space="preserve"> ج1، ص454.</w:t>
        </w:r>
      </w:hyperlink>
    </w:p>
  </w:footnote>
  <w:footnote w:id="7">
    <w:p w:rsidR="00F952B0" w:rsidRPr="007550DB" w:rsidRDefault="00F952B0" w:rsidP="007550DB">
      <w:pPr>
        <w:pStyle w:val="FootnoteText"/>
      </w:pPr>
      <w:r w:rsidRPr="007550DB">
        <w:footnoteRef/>
      </w:r>
      <w:r w:rsidRPr="007550DB">
        <w:rPr>
          <w:rtl/>
        </w:rPr>
        <w:t xml:space="preserve"> </w:t>
      </w:r>
      <w:hyperlink r:id="rId7" w:history="1">
        <w:r w:rsidRPr="007550DB">
          <w:rPr>
            <w:rStyle w:val="Hyperlink"/>
            <w:rtl/>
          </w:rPr>
          <w:t xml:space="preserve">کتاب </w:t>
        </w:r>
        <w:r w:rsidRPr="007550DB">
          <w:rPr>
            <w:rStyle w:val="Hyperlink"/>
            <w:rtl/>
          </w:rPr>
          <w:t>المناهل، محمد الطباطبا</w:t>
        </w:r>
        <w:r w:rsidRPr="007550DB">
          <w:rPr>
            <w:rStyle w:val="Hyperlink"/>
            <w:rFonts w:hint="cs"/>
            <w:rtl/>
          </w:rPr>
          <w:t>یی</w:t>
        </w:r>
        <w:r w:rsidRPr="007550DB">
          <w:rPr>
            <w:rStyle w:val="Hyperlink"/>
            <w:rtl/>
          </w:rPr>
          <w:t xml:space="preserve"> المجاهد، ج1، ص562.</w:t>
        </w:r>
      </w:hyperlink>
    </w:p>
  </w:footnote>
  <w:footnote w:id="8">
    <w:p w:rsidR="00F952B0" w:rsidRDefault="00F952B0" w:rsidP="00E07DF7">
      <w:pPr>
        <w:pStyle w:val="FootnoteText"/>
      </w:pPr>
      <w:r>
        <w:rPr>
          <w:rStyle w:val="FootnoteReference"/>
        </w:rPr>
        <w:footnoteRef/>
      </w:r>
      <w:r>
        <w:rPr>
          <w:rtl/>
        </w:rPr>
        <w:t xml:space="preserve"> </w:t>
      </w:r>
      <w:hyperlink r:id="rId8" w:history="1">
        <w:r w:rsidRPr="002A20FD">
          <w:rPr>
            <w:rStyle w:val="Hyperlink"/>
            <w:rFonts w:hint="cs"/>
            <w:rtl/>
          </w:rPr>
          <w:t xml:space="preserve">مستند </w:t>
        </w:r>
        <w:r w:rsidRPr="002A20FD">
          <w:rPr>
            <w:rStyle w:val="Hyperlink"/>
            <w:rFonts w:hint="cs"/>
            <w:rtl/>
          </w:rPr>
          <w:t>الشيعة في أحكام الشريعة، مولی احمد بن محمد مهدی نراقی، ج‌3، ص 234</w:t>
        </w:r>
      </w:hyperlink>
    </w:p>
  </w:footnote>
  <w:footnote w:id="9">
    <w:p w:rsidR="00F952B0" w:rsidRDefault="00F952B0" w:rsidP="00581328">
      <w:pPr>
        <w:pStyle w:val="FootnoteText"/>
      </w:pPr>
      <w:r>
        <w:rPr>
          <w:rStyle w:val="FootnoteReference"/>
        </w:rPr>
        <w:footnoteRef/>
      </w:r>
      <w:r>
        <w:rPr>
          <w:rtl/>
        </w:rPr>
        <w:t xml:space="preserve"> </w:t>
      </w:r>
      <w:hyperlink r:id="rId9" w:history="1">
        <w:r w:rsidRPr="00FF595F">
          <w:rPr>
            <w:rStyle w:val="Hyperlink"/>
            <w:rFonts w:hint="cs"/>
            <w:rtl/>
          </w:rPr>
          <w:t xml:space="preserve">أنوار </w:t>
        </w:r>
        <w:r w:rsidRPr="00FF595F">
          <w:rPr>
            <w:rStyle w:val="Hyperlink"/>
            <w:rFonts w:hint="cs"/>
            <w:rtl/>
          </w:rPr>
          <w:t>الفقاهة - كتاب البيع (لكاشف الغطاء، حسن)، ص 185</w:t>
        </w:r>
      </w:hyperlink>
    </w:p>
  </w:footnote>
  <w:footnote w:id="10">
    <w:p w:rsidR="00F952B0" w:rsidRDefault="00F952B0" w:rsidP="00F952B0">
      <w:pPr>
        <w:pStyle w:val="FootnoteText"/>
      </w:pPr>
      <w:r>
        <w:rPr>
          <w:rStyle w:val="FootnoteReference"/>
        </w:rPr>
        <w:footnoteRef/>
      </w:r>
      <w:r>
        <w:rPr>
          <w:rtl/>
        </w:rPr>
        <w:t xml:space="preserve"> </w:t>
      </w:r>
      <w:hyperlink r:id="rId10" w:history="1">
        <w:r w:rsidRPr="00F952B0">
          <w:rPr>
            <w:rStyle w:val="Hyperlink"/>
            <w:rFonts w:hint="cs"/>
            <w:rtl/>
          </w:rPr>
          <w:t xml:space="preserve">أنوار </w:t>
        </w:r>
        <w:r w:rsidRPr="00F952B0">
          <w:rPr>
            <w:rStyle w:val="Hyperlink"/>
            <w:rFonts w:hint="cs"/>
            <w:rtl/>
          </w:rPr>
          <w:t>الفقاهة - كتاب النكاح (لكاشف الغطاء، حسن)، ص 115‌</w:t>
        </w:r>
      </w:hyperlink>
    </w:p>
  </w:footnote>
  <w:footnote w:id="11">
    <w:p w:rsidR="00F952B0" w:rsidRDefault="00F952B0">
      <w:pPr>
        <w:pStyle w:val="FootnoteText"/>
      </w:pPr>
      <w:r>
        <w:rPr>
          <w:rStyle w:val="FootnoteReference"/>
        </w:rPr>
        <w:footnoteRef/>
      </w:r>
      <w:r>
        <w:rPr>
          <w:rtl/>
        </w:rPr>
        <w:t xml:space="preserve"> </w:t>
      </w:r>
      <w:hyperlink r:id="rId11" w:history="1">
        <w:r w:rsidRPr="00F952B0">
          <w:rPr>
            <w:rStyle w:val="Hyperlink"/>
            <w:rtl/>
          </w:rPr>
          <w:t xml:space="preserve">أنوار </w:t>
        </w:r>
        <w:r w:rsidRPr="00F952B0">
          <w:rPr>
            <w:rStyle w:val="Hyperlink"/>
            <w:rtl/>
          </w:rPr>
          <w:t>الفقاهة - كتاب الهبة (لكاشف الغطاء، حسن)، ص: 17‌</w:t>
        </w:r>
      </w:hyperlink>
    </w:p>
  </w:footnote>
  <w:footnote w:id="12">
    <w:p w:rsidR="00F952B0" w:rsidRPr="00F952B0" w:rsidRDefault="00F952B0" w:rsidP="00F952B0">
      <w:pPr>
        <w:pStyle w:val="FootnoteText"/>
      </w:pPr>
      <w:r w:rsidRPr="00F952B0">
        <w:footnoteRef/>
      </w:r>
      <w:r w:rsidRPr="00F952B0">
        <w:rPr>
          <w:rtl/>
        </w:rPr>
        <w:t xml:space="preserve"> </w:t>
      </w:r>
      <w:hyperlink r:id="rId12" w:history="1">
        <w:r w:rsidRPr="00F952B0">
          <w:rPr>
            <w:rStyle w:val="Hyperlink"/>
            <w:rtl/>
          </w:rPr>
          <w:t xml:space="preserve">جواهر </w:t>
        </w:r>
        <w:r w:rsidRPr="00F952B0">
          <w:rPr>
            <w:rStyle w:val="Hyperlink"/>
            <w:rtl/>
          </w:rPr>
          <w:t>الکلام، محمد حسن نجف</w:t>
        </w:r>
        <w:r w:rsidRPr="00F952B0">
          <w:rPr>
            <w:rStyle w:val="Hyperlink"/>
            <w:rFonts w:hint="cs"/>
            <w:rtl/>
          </w:rPr>
          <w:t>ی</w:t>
        </w:r>
        <w:r w:rsidRPr="00F952B0">
          <w:rPr>
            <w:rStyle w:val="Hyperlink"/>
            <w:rFonts w:hint="eastAsia"/>
            <w:rtl/>
          </w:rPr>
          <w:t>،</w:t>
        </w:r>
        <w:r w:rsidRPr="00F952B0">
          <w:rPr>
            <w:rStyle w:val="Hyperlink"/>
            <w:rtl/>
          </w:rPr>
          <w:t xml:space="preserve"> ج4، ص55.</w:t>
        </w:r>
      </w:hyperlink>
    </w:p>
  </w:footnote>
  <w:footnote w:id="13">
    <w:p w:rsidR="00B00D5E" w:rsidRPr="00B00D5E" w:rsidRDefault="00B00D5E" w:rsidP="00B00D5E">
      <w:pPr>
        <w:pStyle w:val="FootnoteText"/>
      </w:pPr>
      <w:r w:rsidRPr="00B00D5E">
        <w:footnoteRef/>
      </w:r>
      <w:r w:rsidRPr="00B00D5E">
        <w:rPr>
          <w:rtl/>
        </w:rPr>
        <w:t xml:space="preserve"> </w:t>
      </w:r>
      <w:hyperlink r:id="rId13" w:history="1">
        <w:r w:rsidRPr="00B00D5E">
          <w:rPr>
            <w:rStyle w:val="Hyperlink"/>
            <w:rtl/>
          </w:rPr>
          <w:t xml:space="preserve">جواهر </w:t>
        </w:r>
        <w:r w:rsidRPr="00B00D5E">
          <w:rPr>
            <w:rStyle w:val="Hyperlink"/>
            <w:rtl/>
          </w:rPr>
          <w:t>الکلام، محمد حسن نجف</w:t>
        </w:r>
        <w:r w:rsidRPr="00B00D5E">
          <w:rPr>
            <w:rStyle w:val="Hyperlink"/>
            <w:rFonts w:hint="cs"/>
            <w:rtl/>
          </w:rPr>
          <w:t>ی</w:t>
        </w:r>
        <w:r w:rsidRPr="00B00D5E">
          <w:rPr>
            <w:rStyle w:val="Hyperlink"/>
            <w:rFonts w:hint="eastAsia"/>
            <w:rtl/>
          </w:rPr>
          <w:t>،</w:t>
        </w:r>
        <w:r w:rsidRPr="00B00D5E">
          <w:rPr>
            <w:rStyle w:val="Hyperlink"/>
            <w:rtl/>
          </w:rPr>
          <w:t xml:space="preserve"> ج4، ص255.</w:t>
        </w:r>
      </w:hyperlink>
    </w:p>
  </w:footnote>
  <w:footnote w:id="14">
    <w:p w:rsidR="00AB1F1C" w:rsidRPr="00AB1F1C" w:rsidRDefault="00AB1F1C" w:rsidP="00AB1F1C">
      <w:pPr>
        <w:pStyle w:val="FootnoteText"/>
      </w:pPr>
      <w:r w:rsidRPr="00AB1F1C">
        <w:footnoteRef/>
      </w:r>
      <w:r w:rsidRPr="00AB1F1C">
        <w:rPr>
          <w:rtl/>
        </w:rPr>
        <w:t xml:space="preserve"> </w:t>
      </w:r>
      <w:hyperlink r:id="rId14" w:history="1">
        <w:r w:rsidRPr="00AB1F1C">
          <w:rPr>
            <w:rStyle w:val="Hyperlink"/>
            <w:rtl/>
          </w:rPr>
          <w:t xml:space="preserve">جواهر </w:t>
        </w:r>
        <w:r w:rsidRPr="00AB1F1C">
          <w:rPr>
            <w:rStyle w:val="Hyperlink"/>
            <w:rtl/>
          </w:rPr>
          <w:t>الکلام، محمد حسن نجف</w:t>
        </w:r>
        <w:r w:rsidRPr="00AB1F1C">
          <w:rPr>
            <w:rStyle w:val="Hyperlink"/>
            <w:rFonts w:hint="cs"/>
            <w:rtl/>
          </w:rPr>
          <w:t>ی</w:t>
        </w:r>
        <w:r w:rsidRPr="00AB1F1C">
          <w:rPr>
            <w:rStyle w:val="Hyperlink"/>
            <w:rFonts w:hint="eastAsia"/>
            <w:rtl/>
          </w:rPr>
          <w:t>،</w:t>
        </w:r>
        <w:r w:rsidRPr="00AB1F1C">
          <w:rPr>
            <w:rStyle w:val="Hyperlink"/>
            <w:rtl/>
          </w:rPr>
          <w:t xml:space="preserve"> ج20، ص351.</w:t>
        </w:r>
      </w:hyperlink>
    </w:p>
  </w:footnote>
  <w:footnote w:id="15">
    <w:p w:rsidR="004B1FE9" w:rsidRPr="004B1FE9" w:rsidRDefault="004B1FE9" w:rsidP="004B1FE9">
      <w:pPr>
        <w:pStyle w:val="FootnoteText"/>
      </w:pPr>
      <w:r w:rsidRPr="004B1FE9">
        <w:footnoteRef/>
      </w:r>
      <w:r w:rsidRPr="004B1FE9">
        <w:rPr>
          <w:rtl/>
        </w:rPr>
        <w:t xml:space="preserve"> </w:t>
      </w:r>
      <w:hyperlink r:id="rId15" w:history="1">
        <w:r w:rsidRPr="004B1FE9">
          <w:rPr>
            <w:rStyle w:val="Hyperlink"/>
            <w:rtl/>
          </w:rPr>
          <w:t xml:space="preserve">مصباح </w:t>
        </w:r>
        <w:r w:rsidRPr="004B1FE9">
          <w:rPr>
            <w:rStyle w:val="Hyperlink"/>
            <w:rtl/>
          </w:rPr>
          <w:t>الفق</w:t>
        </w:r>
        <w:r w:rsidRPr="004B1FE9">
          <w:rPr>
            <w:rStyle w:val="Hyperlink"/>
            <w:rFonts w:hint="cs"/>
            <w:rtl/>
          </w:rPr>
          <w:t>ی</w:t>
        </w:r>
        <w:r w:rsidRPr="004B1FE9">
          <w:rPr>
            <w:rStyle w:val="Hyperlink"/>
            <w:rFonts w:hint="eastAsia"/>
            <w:rtl/>
          </w:rPr>
          <w:t>ه،</w:t>
        </w:r>
        <w:r w:rsidRPr="004B1FE9">
          <w:rPr>
            <w:rStyle w:val="Hyperlink"/>
            <w:rtl/>
          </w:rPr>
          <w:t xml:space="preserve"> رضا همدان</w:t>
        </w:r>
        <w:r w:rsidRPr="004B1FE9">
          <w:rPr>
            <w:rStyle w:val="Hyperlink"/>
            <w:rFonts w:hint="cs"/>
            <w:rtl/>
          </w:rPr>
          <w:t>ی</w:t>
        </w:r>
        <w:r w:rsidRPr="004B1FE9">
          <w:rPr>
            <w:rStyle w:val="Hyperlink"/>
            <w:rFonts w:hint="eastAsia"/>
            <w:rtl/>
          </w:rPr>
          <w:t>،</w:t>
        </w:r>
        <w:r w:rsidRPr="004B1FE9">
          <w:rPr>
            <w:rStyle w:val="Hyperlink"/>
            <w:rtl/>
          </w:rPr>
          <w:t xml:space="preserve"> ج5، ص338.</w:t>
        </w:r>
      </w:hyperlink>
    </w:p>
  </w:footnote>
  <w:footnote w:id="16">
    <w:p w:rsidR="004B1FE9" w:rsidRDefault="004B1FE9">
      <w:pPr>
        <w:pStyle w:val="FootnoteText"/>
      </w:pPr>
      <w:r>
        <w:rPr>
          <w:rStyle w:val="FootnoteReference"/>
        </w:rPr>
        <w:footnoteRef/>
      </w:r>
      <w:r>
        <w:rPr>
          <w:rtl/>
        </w:rPr>
        <w:t xml:space="preserve"> </w:t>
      </w:r>
      <w:r w:rsidRPr="004B1FE9">
        <w:rPr>
          <w:rtl/>
        </w:rPr>
        <w:t>كت</w:t>
      </w:r>
      <w:r>
        <w:rPr>
          <w:rtl/>
        </w:rPr>
        <w:t xml:space="preserve">اب </w:t>
      </w:r>
      <w:r>
        <w:rPr>
          <w:rtl/>
        </w:rPr>
        <w:t>نكاح (زنجانى)، ج‌11، ص: 402</w:t>
      </w:r>
      <w:r>
        <w:rPr>
          <w:rFonts w:hint="cs"/>
          <w:rtl/>
        </w:rPr>
        <w:t>7 و 4028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2B0" w:rsidRPr="001D2E9A" w:rsidRDefault="00F952B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3" w:name="BokNum"/>
    <w:bookmarkEnd w:id="13"/>
    <w:r>
      <w:rPr>
        <w:b/>
        <w:bCs/>
        <w:sz w:val="20"/>
        <w:szCs w:val="24"/>
        <w:rtl/>
      </w:rPr>
      <w:t>105</w:t>
    </w:r>
    <w:r>
      <w:rPr>
        <w:rFonts w:hint="cs"/>
        <w:b/>
        <w:bCs/>
        <w:sz w:val="20"/>
        <w:szCs w:val="24"/>
        <w:rtl/>
      </w:rPr>
      <w:tab/>
    </w:r>
    <w:r w:rsidRPr="00C32A7E">
      <w:rPr>
        <w:rFonts w:hint="cs"/>
        <w:b/>
        <w:bCs/>
        <w:color w:val="632423" w:themeColor="accent2" w:themeShade="80"/>
        <w:sz w:val="20"/>
        <w:szCs w:val="24"/>
        <w:rtl/>
      </w:rPr>
      <w:t xml:space="preserve">درس خارج </w:t>
    </w:r>
    <w:bookmarkStart w:id="14" w:name="Bokdars"/>
    <w:bookmarkEnd w:id="14"/>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5" w:name="Bokostad"/>
    <w:bookmarkEnd w:id="15"/>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6" w:name="BokTarikh"/>
    <w:bookmarkEnd w:id="16"/>
    <w:r>
      <w:rPr>
        <w:sz w:val="24"/>
        <w:szCs w:val="24"/>
        <w:rtl/>
      </w:rPr>
      <w:t>1 /4 /1399</w:t>
    </w:r>
  </w:p>
  <w:p w:rsidR="00F952B0" w:rsidRPr="00F16B53" w:rsidRDefault="00F952B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7" w:name="BokSabj"/>
    <w:bookmarkEnd w:id="17"/>
    <w:r>
      <w:rPr>
        <w:color w:val="000000" w:themeColor="text1"/>
        <w:sz w:val="24"/>
        <w:szCs w:val="24"/>
        <w:rtl/>
      </w:rPr>
      <w:t>مساله‌</w:t>
    </w:r>
    <w:r>
      <w:rPr>
        <w:rFonts w:hint="cs"/>
        <w:color w:val="000000" w:themeColor="text1"/>
        <w:sz w:val="24"/>
        <w:szCs w:val="24"/>
        <w:rtl/>
      </w:rPr>
      <w:t>ی</w:t>
    </w:r>
    <w:r>
      <w:rPr>
        <w:color w:val="000000" w:themeColor="text1"/>
        <w:sz w:val="24"/>
        <w:szCs w:val="24"/>
        <w:rtl/>
      </w:rPr>
      <w:t xml:space="preserve"> </w:t>
    </w:r>
    <w:r>
      <w:rPr>
        <w:rFonts w:hint="cs"/>
        <w:color w:val="000000" w:themeColor="text1"/>
        <w:sz w:val="24"/>
        <w:szCs w:val="24"/>
        <w:rtl/>
      </w:rPr>
      <w:t>ی</w:t>
    </w:r>
    <w:r>
      <w:rPr>
        <w:rFonts w:hint="eastAsia"/>
        <w:color w:val="000000" w:themeColor="text1"/>
        <w:sz w:val="24"/>
        <w:szCs w:val="24"/>
        <w:rtl/>
      </w:rPr>
      <w:t>ازدهم</w:t>
    </w:r>
    <w:r>
      <w:rPr>
        <w:color w:val="000000" w:themeColor="text1"/>
        <w:sz w:val="24"/>
        <w:szCs w:val="24"/>
        <w:rtl/>
      </w:rPr>
      <w:t xml:space="preserve"> تکمله‌</w:t>
    </w:r>
    <w:r>
      <w:rPr>
        <w:rFonts w:hint="cs"/>
        <w:color w:val="000000" w:themeColor="text1"/>
        <w:sz w:val="24"/>
        <w:szCs w:val="24"/>
        <w:rtl/>
      </w:rPr>
      <w:t>ی</w:t>
    </w:r>
    <w:r>
      <w:rPr>
        <w:color w:val="000000" w:themeColor="text1"/>
        <w:sz w:val="24"/>
        <w:szCs w:val="24"/>
        <w:rtl/>
      </w:rPr>
      <w:t xml:space="preserve"> 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8" w:name="Bokmoqarer"/>
    <w:bookmarkEnd w:id="18"/>
    <w:r w:rsidR="0038097B">
      <w:rPr>
        <w:sz w:val="24"/>
        <w:szCs w:val="24"/>
        <w:rtl/>
      </w:rPr>
      <w:t>م</w:t>
    </w:r>
    <w:r w:rsidR="0038097B">
      <w:rPr>
        <w:rFonts w:hint="cs"/>
        <w:sz w:val="24"/>
        <w:szCs w:val="24"/>
        <w:rtl/>
      </w:rPr>
      <w:t>رکز فقهی امام محمدباقر علیه السلام</w:t>
    </w:r>
    <w:r>
      <w:rPr>
        <w:rFonts w:hint="cs"/>
        <w:sz w:val="24"/>
        <w:szCs w:val="24"/>
        <w:rtl/>
      </w:rPr>
      <w:t xml:space="preserve">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9" w:name="BokSabj2"/>
    <w:bookmarkEnd w:id="19"/>
    <w:r>
      <w:rPr>
        <w:sz w:val="24"/>
        <w:szCs w:val="24"/>
        <w:rtl/>
      </w:rPr>
      <w:t>عده‌</w:t>
    </w:r>
    <w:r>
      <w:rPr>
        <w:rFonts w:hint="cs"/>
        <w:sz w:val="24"/>
        <w:szCs w:val="24"/>
        <w:rtl/>
      </w:rPr>
      <w:t>ی</w:t>
    </w:r>
    <w:r>
      <w:rPr>
        <w:sz w:val="24"/>
        <w:szCs w:val="24"/>
        <w:rtl/>
      </w:rPr>
      <w:t xml:space="preserve"> وط</w:t>
    </w:r>
    <w:r>
      <w:rPr>
        <w:rFonts w:hint="cs"/>
        <w:sz w:val="24"/>
        <w:szCs w:val="24"/>
        <w:rtl/>
      </w:rPr>
      <w:t>ی</w:t>
    </w:r>
    <w:r>
      <w:rPr>
        <w:sz w:val="24"/>
        <w:szCs w:val="24"/>
        <w:rtl/>
      </w:rPr>
      <w:t xml:space="preserve"> به شبهه</w:t>
    </w:r>
    <w:r w:rsidR="00AB2C65">
      <w:rPr>
        <w:rFonts w:hint="cs"/>
        <w:sz w:val="24"/>
        <w:szCs w:val="24"/>
        <w:rtl/>
      </w:rPr>
      <w:t xml:space="preserve"> به تصور عقد انقطاعی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2AF4"/>
    <w:rsid w:val="00055496"/>
    <w:rsid w:val="00055FC9"/>
    <w:rsid w:val="00080A41"/>
    <w:rsid w:val="0008299B"/>
    <w:rsid w:val="000913AA"/>
    <w:rsid w:val="00094847"/>
    <w:rsid w:val="00095082"/>
    <w:rsid w:val="00096C63"/>
    <w:rsid w:val="000B5DB5"/>
    <w:rsid w:val="000C2FE6"/>
    <w:rsid w:val="000C3947"/>
    <w:rsid w:val="000D2A37"/>
    <w:rsid w:val="000D30E9"/>
    <w:rsid w:val="000D6818"/>
    <w:rsid w:val="000E085A"/>
    <w:rsid w:val="000E335E"/>
    <w:rsid w:val="000E64A4"/>
    <w:rsid w:val="000F16CF"/>
    <w:rsid w:val="000F2B79"/>
    <w:rsid w:val="000F5BAC"/>
    <w:rsid w:val="00102585"/>
    <w:rsid w:val="00114AB7"/>
    <w:rsid w:val="00116B2B"/>
    <w:rsid w:val="00124E3D"/>
    <w:rsid w:val="00127E95"/>
    <w:rsid w:val="00130659"/>
    <w:rsid w:val="001347C7"/>
    <w:rsid w:val="001356B0"/>
    <w:rsid w:val="00151937"/>
    <w:rsid w:val="00153720"/>
    <w:rsid w:val="00181844"/>
    <w:rsid w:val="001837E9"/>
    <w:rsid w:val="00187DFA"/>
    <w:rsid w:val="001A0EE1"/>
    <w:rsid w:val="001A1BC1"/>
    <w:rsid w:val="001A1EA5"/>
    <w:rsid w:val="001A2574"/>
    <w:rsid w:val="001A27D7"/>
    <w:rsid w:val="001A294E"/>
    <w:rsid w:val="001A4ED8"/>
    <w:rsid w:val="001B2488"/>
    <w:rsid w:val="001B6799"/>
    <w:rsid w:val="001C1362"/>
    <w:rsid w:val="001C55A9"/>
    <w:rsid w:val="001D0CA6"/>
    <w:rsid w:val="001D2E9A"/>
    <w:rsid w:val="001D597F"/>
    <w:rsid w:val="001E3F0D"/>
    <w:rsid w:val="001E3FD4"/>
    <w:rsid w:val="0020241A"/>
    <w:rsid w:val="00203821"/>
    <w:rsid w:val="00211632"/>
    <w:rsid w:val="0021630D"/>
    <w:rsid w:val="002359A6"/>
    <w:rsid w:val="0024121B"/>
    <w:rsid w:val="00247D2F"/>
    <w:rsid w:val="00256560"/>
    <w:rsid w:val="0027605E"/>
    <w:rsid w:val="00281E00"/>
    <w:rsid w:val="00294A52"/>
    <w:rsid w:val="002A20FD"/>
    <w:rsid w:val="002A7CAF"/>
    <w:rsid w:val="002B575F"/>
    <w:rsid w:val="002B729B"/>
    <w:rsid w:val="002C23B5"/>
    <w:rsid w:val="002C53A2"/>
    <w:rsid w:val="002C6133"/>
    <w:rsid w:val="002D0040"/>
    <w:rsid w:val="002D2BD2"/>
    <w:rsid w:val="002D2FA8"/>
    <w:rsid w:val="002E220F"/>
    <w:rsid w:val="00307311"/>
    <w:rsid w:val="003101CB"/>
    <w:rsid w:val="0032100F"/>
    <w:rsid w:val="0033402C"/>
    <w:rsid w:val="00340521"/>
    <w:rsid w:val="00342381"/>
    <w:rsid w:val="00345C73"/>
    <w:rsid w:val="00354A99"/>
    <w:rsid w:val="00360311"/>
    <w:rsid w:val="00361922"/>
    <w:rsid w:val="0037339B"/>
    <w:rsid w:val="0038097B"/>
    <w:rsid w:val="00386C11"/>
    <w:rsid w:val="00397466"/>
    <w:rsid w:val="00397F73"/>
    <w:rsid w:val="003A6148"/>
    <w:rsid w:val="003C33F6"/>
    <w:rsid w:val="003C3D2E"/>
    <w:rsid w:val="003C43A5"/>
    <w:rsid w:val="003D01EE"/>
    <w:rsid w:val="003E1C5C"/>
    <w:rsid w:val="003E4507"/>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0403"/>
    <w:rsid w:val="004A2FEA"/>
    <w:rsid w:val="004A4432"/>
    <w:rsid w:val="004B0147"/>
    <w:rsid w:val="004B1FE9"/>
    <w:rsid w:val="004D2DD7"/>
    <w:rsid w:val="004D75C5"/>
    <w:rsid w:val="004E2186"/>
    <w:rsid w:val="004E66FB"/>
    <w:rsid w:val="004F1961"/>
    <w:rsid w:val="004F470A"/>
    <w:rsid w:val="004F4C59"/>
    <w:rsid w:val="00500C8F"/>
    <w:rsid w:val="00501909"/>
    <w:rsid w:val="00507BBB"/>
    <w:rsid w:val="005128DF"/>
    <w:rsid w:val="0051592A"/>
    <w:rsid w:val="005206FE"/>
    <w:rsid w:val="005257ED"/>
    <w:rsid w:val="005306F8"/>
    <w:rsid w:val="00537496"/>
    <w:rsid w:val="0054023D"/>
    <w:rsid w:val="005426BF"/>
    <w:rsid w:val="0056213C"/>
    <w:rsid w:val="00580C24"/>
    <w:rsid w:val="00581328"/>
    <w:rsid w:val="005968EF"/>
    <w:rsid w:val="00596C1E"/>
    <w:rsid w:val="005A2E26"/>
    <w:rsid w:val="005B4FAC"/>
    <w:rsid w:val="005B7BCA"/>
    <w:rsid w:val="005C0DAE"/>
    <w:rsid w:val="005C188E"/>
    <w:rsid w:val="005D2349"/>
    <w:rsid w:val="005E1B60"/>
    <w:rsid w:val="005E1D1D"/>
    <w:rsid w:val="005E5507"/>
    <w:rsid w:val="005E607B"/>
    <w:rsid w:val="005F0A8D"/>
    <w:rsid w:val="00601229"/>
    <w:rsid w:val="00603B67"/>
    <w:rsid w:val="00610E7E"/>
    <w:rsid w:val="006162A2"/>
    <w:rsid w:val="006240DA"/>
    <w:rsid w:val="0063256E"/>
    <w:rsid w:val="00633F04"/>
    <w:rsid w:val="00635219"/>
    <w:rsid w:val="00635EC0"/>
    <w:rsid w:val="00640B58"/>
    <w:rsid w:val="00651B02"/>
    <w:rsid w:val="00651B19"/>
    <w:rsid w:val="00660A29"/>
    <w:rsid w:val="006671D1"/>
    <w:rsid w:val="00695519"/>
    <w:rsid w:val="006974C7"/>
    <w:rsid w:val="006A4134"/>
    <w:rsid w:val="006A5DDA"/>
    <w:rsid w:val="006A6701"/>
    <w:rsid w:val="006B21F4"/>
    <w:rsid w:val="006B3753"/>
    <w:rsid w:val="006B7AD6"/>
    <w:rsid w:val="006C50FD"/>
    <w:rsid w:val="006C7AC8"/>
    <w:rsid w:val="006D0803"/>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550DB"/>
    <w:rsid w:val="00762452"/>
    <w:rsid w:val="007639E0"/>
    <w:rsid w:val="0076465E"/>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6D64"/>
    <w:rsid w:val="0080091D"/>
    <w:rsid w:val="00804108"/>
    <w:rsid w:val="00804FC4"/>
    <w:rsid w:val="00816367"/>
    <w:rsid w:val="00816A0B"/>
    <w:rsid w:val="00822363"/>
    <w:rsid w:val="008238E5"/>
    <w:rsid w:val="00824B22"/>
    <w:rsid w:val="00830C53"/>
    <w:rsid w:val="00837FAA"/>
    <w:rsid w:val="00841F77"/>
    <w:rsid w:val="0085276D"/>
    <w:rsid w:val="00863390"/>
    <w:rsid w:val="0086385C"/>
    <w:rsid w:val="00871916"/>
    <w:rsid w:val="00880AE2"/>
    <w:rsid w:val="008956DD"/>
    <w:rsid w:val="00896D8C"/>
    <w:rsid w:val="008973C5"/>
    <w:rsid w:val="008A510E"/>
    <w:rsid w:val="008A522A"/>
    <w:rsid w:val="008B07EB"/>
    <w:rsid w:val="008B4464"/>
    <w:rsid w:val="008B750B"/>
    <w:rsid w:val="008C3162"/>
    <w:rsid w:val="008D1F14"/>
    <w:rsid w:val="008D5609"/>
    <w:rsid w:val="008E3924"/>
    <w:rsid w:val="008F13F7"/>
    <w:rsid w:val="008F5B4D"/>
    <w:rsid w:val="008F649F"/>
    <w:rsid w:val="00907425"/>
    <w:rsid w:val="009157A8"/>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39FC"/>
    <w:rsid w:val="0099497B"/>
    <w:rsid w:val="009A43BA"/>
    <w:rsid w:val="009A5909"/>
    <w:rsid w:val="009B0D05"/>
    <w:rsid w:val="009B4CA6"/>
    <w:rsid w:val="009B79F8"/>
    <w:rsid w:val="009C66D5"/>
    <w:rsid w:val="009D13FD"/>
    <w:rsid w:val="009D266A"/>
    <w:rsid w:val="009D4E7A"/>
    <w:rsid w:val="009F7E07"/>
    <w:rsid w:val="00A01522"/>
    <w:rsid w:val="00A071BA"/>
    <w:rsid w:val="00A10A11"/>
    <w:rsid w:val="00A13C6A"/>
    <w:rsid w:val="00A17B09"/>
    <w:rsid w:val="00A249E3"/>
    <w:rsid w:val="00A457C6"/>
    <w:rsid w:val="00A46AD0"/>
    <w:rsid w:val="00A47063"/>
    <w:rsid w:val="00A473A8"/>
    <w:rsid w:val="00A513F0"/>
    <w:rsid w:val="00A61AC8"/>
    <w:rsid w:val="00A6366F"/>
    <w:rsid w:val="00A65D4C"/>
    <w:rsid w:val="00A70512"/>
    <w:rsid w:val="00AA1F60"/>
    <w:rsid w:val="00AA40D7"/>
    <w:rsid w:val="00AB1F1C"/>
    <w:rsid w:val="00AB2C65"/>
    <w:rsid w:val="00AB5F7D"/>
    <w:rsid w:val="00AC0C50"/>
    <w:rsid w:val="00AC6FE2"/>
    <w:rsid w:val="00AD0C39"/>
    <w:rsid w:val="00AD436F"/>
    <w:rsid w:val="00AF3925"/>
    <w:rsid w:val="00B00D5E"/>
    <w:rsid w:val="00B1296B"/>
    <w:rsid w:val="00B2292F"/>
    <w:rsid w:val="00B43169"/>
    <w:rsid w:val="00B501A8"/>
    <w:rsid w:val="00B55AE4"/>
    <w:rsid w:val="00B70B46"/>
    <w:rsid w:val="00B739B0"/>
    <w:rsid w:val="00B814A3"/>
    <w:rsid w:val="00B96F38"/>
    <w:rsid w:val="00BC716B"/>
    <w:rsid w:val="00BD0E74"/>
    <w:rsid w:val="00BD5F8C"/>
    <w:rsid w:val="00BE1A67"/>
    <w:rsid w:val="00BE29DD"/>
    <w:rsid w:val="00BF71D1"/>
    <w:rsid w:val="00C04C98"/>
    <w:rsid w:val="00C066AF"/>
    <w:rsid w:val="00C10E06"/>
    <w:rsid w:val="00C145B8"/>
    <w:rsid w:val="00C15007"/>
    <w:rsid w:val="00C2438F"/>
    <w:rsid w:val="00C31AF0"/>
    <w:rsid w:val="00C32A7E"/>
    <w:rsid w:val="00C34F28"/>
    <w:rsid w:val="00C368DF"/>
    <w:rsid w:val="00C442C5"/>
    <w:rsid w:val="00C57B5C"/>
    <w:rsid w:val="00C57C7C"/>
    <w:rsid w:val="00C61049"/>
    <w:rsid w:val="00C63FFE"/>
    <w:rsid w:val="00C825E9"/>
    <w:rsid w:val="00C86138"/>
    <w:rsid w:val="00C91793"/>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37BB8"/>
    <w:rsid w:val="00D552B9"/>
    <w:rsid w:val="00D735B2"/>
    <w:rsid w:val="00D74021"/>
    <w:rsid w:val="00D76D01"/>
    <w:rsid w:val="00D922A9"/>
    <w:rsid w:val="00D9394A"/>
    <w:rsid w:val="00DB0CBB"/>
    <w:rsid w:val="00DB67CC"/>
    <w:rsid w:val="00DC3783"/>
    <w:rsid w:val="00DE1070"/>
    <w:rsid w:val="00E00219"/>
    <w:rsid w:val="00E0316B"/>
    <w:rsid w:val="00E07DF7"/>
    <w:rsid w:val="00E13D71"/>
    <w:rsid w:val="00E2211C"/>
    <w:rsid w:val="00E25E10"/>
    <w:rsid w:val="00E50B41"/>
    <w:rsid w:val="00E5219B"/>
    <w:rsid w:val="00E52D07"/>
    <w:rsid w:val="00E5518B"/>
    <w:rsid w:val="00E609FE"/>
    <w:rsid w:val="00E630BE"/>
    <w:rsid w:val="00E75920"/>
    <w:rsid w:val="00E80D96"/>
    <w:rsid w:val="00E852DA"/>
    <w:rsid w:val="00E871FA"/>
    <w:rsid w:val="00E936A4"/>
    <w:rsid w:val="00E954BB"/>
    <w:rsid w:val="00EA45E7"/>
    <w:rsid w:val="00EB78E3"/>
    <w:rsid w:val="00EB7BE3"/>
    <w:rsid w:val="00EC1C4B"/>
    <w:rsid w:val="00EC735A"/>
    <w:rsid w:val="00ED5F38"/>
    <w:rsid w:val="00EE2005"/>
    <w:rsid w:val="00EF27FE"/>
    <w:rsid w:val="00F07FB6"/>
    <w:rsid w:val="00F149D0"/>
    <w:rsid w:val="00F16B53"/>
    <w:rsid w:val="00F25ECD"/>
    <w:rsid w:val="00F318BE"/>
    <w:rsid w:val="00F33297"/>
    <w:rsid w:val="00F343FB"/>
    <w:rsid w:val="00F359FE"/>
    <w:rsid w:val="00F42159"/>
    <w:rsid w:val="00F4256E"/>
    <w:rsid w:val="00F42EE1"/>
    <w:rsid w:val="00F500DC"/>
    <w:rsid w:val="00F60F1F"/>
    <w:rsid w:val="00F64141"/>
    <w:rsid w:val="00F67508"/>
    <w:rsid w:val="00F71FC9"/>
    <w:rsid w:val="00F73B48"/>
    <w:rsid w:val="00F74F51"/>
    <w:rsid w:val="00F777D7"/>
    <w:rsid w:val="00F842AD"/>
    <w:rsid w:val="00F90623"/>
    <w:rsid w:val="00F914EB"/>
    <w:rsid w:val="00F91B85"/>
    <w:rsid w:val="00F92041"/>
    <w:rsid w:val="00F938E7"/>
    <w:rsid w:val="00F952B0"/>
    <w:rsid w:val="00FA3B17"/>
    <w:rsid w:val="00FA5E8D"/>
    <w:rsid w:val="00FA5F3D"/>
    <w:rsid w:val="00FB399E"/>
    <w:rsid w:val="00FB3AAA"/>
    <w:rsid w:val="00FB7F50"/>
    <w:rsid w:val="00FC2A85"/>
    <w:rsid w:val="00FC40AF"/>
    <w:rsid w:val="00FC62B3"/>
    <w:rsid w:val="00FC73B9"/>
    <w:rsid w:val="00FD0A16"/>
    <w:rsid w:val="00FE3D7D"/>
    <w:rsid w:val="00FE6DCF"/>
    <w:rsid w:val="00FF595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055F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73080">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94251467">
      <w:bodyDiv w:val="1"/>
      <w:marLeft w:val="0"/>
      <w:marRight w:val="0"/>
      <w:marTop w:val="0"/>
      <w:marBottom w:val="0"/>
      <w:divBdr>
        <w:top w:val="none" w:sz="0" w:space="0" w:color="auto"/>
        <w:left w:val="none" w:sz="0" w:space="0" w:color="auto"/>
        <w:bottom w:val="none" w:sz="0" w:space="0" w:color="auto"/>
        <w:right w:val="none" w:sz="0" w:space="0" w:color="auto"/>
      </w:divBdr>
    </w:div>
    <w:div w:id="101993436">
      <w:bodyDiv w:val="1"/>
      <w:marLeft w:val="0"/>
      <w:marRight w:val="0"/>
      <w:marTop w:val="0"/>
      <w:marBottom w:val="0"/>
      <w:divBdr>
        <w:top w:val="none" w:sz="0" w:space="0" w:color="auto"/>
        <w:left w:val="none" w:sz="0" w:space="0" w:color="auto"/>
        <w:bottom w:val="none" w:sz="0" w:space="0" w:color="auto"/>
        <w:right w:val="none" w:sz="0" w:space="0" w:color="auto"/>
      </w:divBdr>
    </w:div>
    <w:div w:id="110247083">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18034491">
      <w:bodyDiv w:val="1"/>
      <w:marLeft w:val="0"/>
      <w:marRight w:val="0"/>
      <w:marTop w:val="0"/>
      <w:marBottom w:val="0"/>
      <w:divBdr>
        <w:top w:val="none" w:sz="0" w:space="0" w:color="auto"/>
        <w:left w:val="none" w:sz="0" w:space="0" w:color="auto"/>
        <w:bottom w:val="none" w:sz="0" w:space="0" w:color="auto"/>
        <w:right w:val="none" w:sz="0" w:space="0" w:color="auto"/>
      </w:divBdr>
    </w:div>
    <w:div w:id="131138464">
      <w:bodyDiv w:val="1"/>
      <w:marLeft w:val="0"/>
      <w:marRight w:val="0"/>
      <w:marTop w:val="0"/>
      <w:marBottom w:val="0"/>
      <w:divBdr>
        <w:top w:val="none" w:sz="0" w:space="0" w:color="auto"/>
        <w:left w:val="none" w:sz="0" w:space="0" w:color="auto"/>
        <w:bottom w:val="none" w:sz="0" w:space="0" w:color="auto"/>
        <w:right w:val="none" w:sz="0" w:space="0" w:color="auto"/>
      </w:divBdr>
    </w:div>
    <w:div w:id="162092808">
      <w:bodyDiv w:val="1"/>
      <w:marLeft w:val="0"/>
      <w:marRight w:val="0"/>
      <w:marTop w:val="0"/>
      <w:marBottom w:val="0"/>
      <w:divBdr>
        <w:top w:val="none" w:sz="0" w:space="0" w:color="auto"/>
        <w:left w:val="none" w:sz="0" w:space="0" w:color="auto"/>
        <w:bottom w:val="none" w:sz="0" w:space="0" w:color="auto"/>
        <w:right w:val="none" w:sz="0" w:space="0" w:color="auto"/>
      </w:divBdr>
    </w:div>
    <w:div w:id="164172272">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8540479">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8026876">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21130215">
      <w:bodyDiv w:val="1"/>
      <w:marLeft w:val="0"/>
      <w:marRight w:val="0"/>
      <w:marTop w:val="0"/>
      <w:marBottom w:val="0"/>
      <w:divBdr>
        <w:top w:val="none" w:sz="0" w:space="0" w:color="auto"/>
        <w:left w:val="none" w:sz="0" w:space="0" w:color="auto"/>
        <w:bottom w:val="none" w:sz="0" w:space="0" w:color="auto"/>
        <w:right w:val="none" w:sz="0" w:space="0" w:color="auto"/>
      </w:divBdr>
    </w:div>
    <w:div w:id="439296911">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41675752">
      <w:bodyDiv w:val="1"/>
      <w:marLeft w:val="0"/>
      <w:marRight w:val="0"/>
      <w:marTop w:val="0"/>
      <w:marBottom w:val="0"/>
      <w:divBdr>
        <w:top w:val="none" w:sz="0" w:space="0" w:color="auto"/>
        <w:left w:val="none" w:sz="0" w:space="0" w:color="auto"/>
        <w:bottom w:val="none" w:sz="0" w:space="0" w:color="auto"/>
        <w:right w:val="none" w:sz="0" w:space="0" w:color="auto"/>
      </w:divBdr>
    </w:div>
    <w:div w:id="547642242">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7570420">
      <w:bodyDiv w:val="1"/>
      <w:marLeft w:val="0"/>
      <w:marRight w:val="0"/>
      <w:marTop w:val="0"/>
      <w:marBottom w:val="0"/>
      <w:divBdr>
        <w:top w:val="none" w:sz="0" w:space="0" w:color="auto"/>
        <w:left w:val="none" w:sz="0" w:space="0" w:color="auto"/>
        <w:bottom w:val="none" w:sz="0" w:space="0" w:color="auto"/>
        <w:right w:val="none" w:sz="0" w:space="0" w:color="auto"/>
      </w:divBdr>
    </w:div>
    <w:div w:id="711610281">
      <w:bodyDiv w:val="1"/>
      <w:marLeft w:val="0"/>
      <w:marRight w:val="0"/>
      <w:marTop w:val="0"/>
      <w:marBottom w:val="0"/>
      <w:divBdr>
        <w:top w:val="none" w:sz="0" w:space="0" w:color="auto"/>
        <w:left w:val="none" w:sz="0" w:space="0" w:color="auto"/>
        <w:bottom w:val="none" w:sz="0" w:space="0" w:color="auto"/>
        <w:right w:val="none" w:sz="0" w:space="0" w:color="auto"/>
      </w:divBdr>
    </w:div>
    <w:div w:id="816216572">
      <w:bodyDiv w:val="1"/>
      <w:marLeft w:val="0"/>
      <w:marRight w:val="0"/>
      <w:marTop w:val="0"/>
      <w:marBottom w:val="0"/>
      <w:divBdr>
        <w:top w:val="none" w:sz="0" w:space="0" w:color="auto"/>
        <w:left w:val="none" w:sz="0" w:space="0" w:color="auto"/>
        <w:bottom w:val="none" w:sz="0" w:space="0" w:color="auto"/>
        <w:right w:val="none" w:sz="0" w:space="0" w:color="auto"/>
      </w:divBdr>
    </w:div>
    <w:div w:id="854152380">
      <w:bodyDiv w:val="1"/>
      <w:marLeft w:val="0"/>
      <w:marRight w:val="0"/>
      <w:marTop w:val="0"/>
      <w:marBottom w:val="0"/>
      <w:divBdr>
        <w:top w:val="none" w:sz="0" w:space="0" w:color="auto"/>
        <w:left w:val="none" w:sz="0" w:space="0" w:color="auto"/>
        <w:bottom w:val="none" w:sz="0" w:space="0" w:color="auto"/>
        <w:right w:val="none" w:sz="0" w:space="0" w:color="auto"/>
      </w:divBdr>
    </w:div>
    <w:div w:id="880749526">
      <w:bodyDiv w:val="1"/>
      <w:marLeft w:val="0"/>
      <w:marRight w:val="0"/>
      <w:marTop w:val="0"/>
      <w:marBottom w:val="0"/>
      <w:divBdr>
        <w:top w:val="none" w:sz="0" w:space="0" w:color="auto"/>
        <w:left w:val="none" w:sz="0" w:space="0" w:color="auto"/>
        <w:bottom w:val="none" w:sz="0" w:space="0" w:color="auto"/>
        <w:right w:val="none" w:sz="0" w:space="0" w:color="auto"/>
      </w:divBdr>
    </w:div>
    <w:div w:id="920404339">
      <w:bodyDiv w:val="1"/>
      <w:marLeft w:val="0"/>
      <w:marRight w:val="0"/>
      <w:marTop w:val="0"/>
      <w:marBottom w:val="0"/>
      <w:divBdr>
        <w:top w:val="none" w:sz="0" w:space="0" w:color="auto"/>
        <w:left w:val="none" w:sz="0" w:space="0" w:color="auto"/>
        <w:bottom w:val="none" w:sz="0" w:space="0" w:color="auto"/>
        <w:right w:val="none" w:sz="0" w:space="0" w:color="auto"/>
      </w:divBdr>
    </w:div>
    <w:div w:id="977606121">
      <w:bodyDiv w:val="1"/>
      <w:marLeft w:val="0"/>
      <w:marRight w:val="0"/>
      <w:marTop w:val="0"/>
      <w:marBottom w:val="0"/>
      <w:divBdr>
        <w:top w:val="none" w:sz="0" w:space="0" w:color="auto"/>
        <w:left w:val="none" w:sz="0" w:space="0" w:color="auto"/>
        <w:bottom w:val="none" w:sz="0" w:space="0" w:color="auto"/>
        <w:right w:val="none" w:sz="0" w:space="0" w:color="auto"/>
      </w:divBdr>
    </w:div>
    <w:div w:id="993028503">
      <w:bodyDiv w:val="1"/>
      <w:marLeft w:val="0"/>
      <w:marRight w:val="0"/>
      <w:marTop w:val="0"/>
      <w:marBottom w:val="0"/>
      <w:divBdr>
        <w:top w:val="none" w:sz="0" w:space="0" w:color="auto"/>
        <w:left w:val="none" w:sz="0" w:space="0" w:color="auto"/>
        <w:bottom w:val="none" w:sz="0" w:space="0" w:color="auto"/>
        <w:right w:val="none" w:sz="0" w:space="0" w:color="auto"/>
      </w:divBdr>
    </w:div>
    <w:div w:id="1016080031">
      <w:bodyDiv w:val="1"/>
      <w:marLeft w:val="0"/>
      <w:marRight w:val="0"/>
      <w:marTop w:val="0"/>
      <w:marBottom w:val="0"/>
      <w:divBdr>
        <w:top w:val="none" w:sz="0" w:space="0" w:color="auto"/>
        <w:left w:val="none" w:sz="0" w:space="0" w:color="auto"/>
        <w:bottom w:val="none" w:sz="0" w:space="0" w:color="auto"/>
        <w:right w:val="none" w:sz="0" w:space="0" w:color="auto"/>
      </w:divBdr>
    </w:div>
    <w:div w:id="1156385485">
      <w:bodyDiv w:val="1"/>
      <w:marLeft w:val="0"/>
      <w:marRight w:val="0"/>
      <w:marTop w:val="0"/>
      <w:marBottom w:val="0"/>
      <w:divBdr>
        <w:top w:val="none" w:sz="0" w:space="0" w:color="auto"/>
        <w:left w:val="none" w:sz="0" w:space="0" w:color="auto"/>
        <w:bottom w:val="none" w:sz="0" w:space="0" w:color="auto"/>
        <w:right w:val="none" w:sz="0" w:space="0" w:color="auto"/>
      </w:divBdr>
    </w:div>
    <w:div w:id="118451338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56331051">
      <w:bodyDiv w:val="1"/>
      <w:marLeft w:val="0"/>
      <w:marRight w:val="0"/>
      <w:marTop w:val="0"/>
      <w:marBottom w:val="0"/>
      <w:divBdr>
        <w:top w:val="none" w:sz="0" w:space="0" w:color="auto"/>
        <w:left w:val="none" w:sz="0" w:space="0" w:color="auto"/>
        <w:bottom w:val="none" w:sz="0" w:space="0" w:color="auto"/>
        <w:right w:val="none" w:sz="0" w:space="0" w:color="auto"/>
      </w:divBdr>
    </w:div>
    <w:div w:id="1282423737">
      <w:bodyDiv w:val="1"/>
      <w:marLeft w:val="0"/>
      <w:marRight w:val="0"/>
      <w:marTop w:val="0"/>
      <w:marBottom w:val="0"/>
      <w:divBdr>
        <w:top w:val="none" w:sz="0" w:space="0" w:color="auto"/>
        <w:left w:val="none" w:sz="0" w:space="0" w:color="auto"/>
        <w:bottom w:val="none" w:sz="0" w:space="0" w:color="auto"/>
        <w:right w:val="none" w:sz="0" w:space="0" w:color="auto"/>
      </w:divBdr>
    </w:div>
    <w:div w:id="1309552811">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80012987">
      <w:bodyDiv w:val="1"/>
      <w:marLeft w:val="0"/>
      <w:marRight w:val="0"/>
      <w:marTop w:val="0"/>
      <w:marBottom w:val="0"/>
      <w:divBdr>
        <w:top w:val="none" w:sz="0" w:space="0" w:color="auto"/>
        <w:left w:val="none" w:sz="0" w:space="0" w:color="auto"/>
        <w:bottom w:val="none" w:sz="0" w:space="0" w:color="auto"/>
        <w:right w:val="none" w:sz="0" w:space="0" w:color="auto"/>
      </w:divBdr>
    </w:div>
    <w:div w:id="1385758864">
      <w:bodyDiv w:val="1"/>
      <w:marLeft w:val="0"/>
      <w:marRight w:val="0"/>
      <w:marTop w:val="0"/>
      <w:marBottom w:val="0"/>
      <w:divBdr>
        <w:top w:val="none" w:sz="0" w:space="0" w:color="auto"/>
        <w:left w:val="none" w:sz="0" w:space="0" w:color="auto"/>
        <w:bottom w:val="none" w:sz="0" w:space="0" w:color="auto"/>
        <w:right w:val="none" w:sz="0" w:space="0" w:color="auto"/>
      </w:divBdr>
    </w:div>
    <w:div w:id="1481581306">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31326676">
      <w:bodyDiv w:val="1"/>
      <w:marLeft w:val="0"/>
      <w:marRight w:val="0"/>
      <w:marTop w:val="0"/>
      <w:marBottom w:val="0"/>
      <w:divBdr>
        <w:top w:val="none" w:sz="0" w:space="0" w:color="auto"/>
        <w:left w:val="none" w:sz="0" w:space="0" w:color="auto"/>
        <w:bottom w:val="none" w:sz="0" w:space="0" w:color="auto"/>
        <w:right w:val="none" w:sz="0" w:space="0" w:color="auto"/>
      </w:divBdr>
    </w:div>
    <w:div w:id="1762797556">
      <w:bodyDiv w:val="1"/>
      <w:marLeft w:val="0"/>
      <w:marRight w:val="0"/>
      <w:marTop w:val="0"/>
      <w:marBottom w:val="0"/>
      <w:divBdr>
        <w:top w:val="none" w:sz="0" w:space="0" w:color="auto"/>
        <w:left w:val="none" w:sz="0" w:space="0" w:color="auto"/>
        <w:bottom w:val="none" w:sz="0" w:space="0" w:color="auto"/>
        <w:right w:val="none" w:sz="0" w:space="0" w:color="auto"/>
      </w:divBdr>
    </w:div>
    <w:div w:id="178172730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58231425">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54241134">
      <w:bodyDiv w:val="1"/>
      <w:marLeft w:val="0"/>
      <w:marRight w:val="0"/>
      <w:marTop w:val="0"/>
      <w:marBottom w:val="0"/>
      <w:divBdr>
        <w:top w:val="none" w:sz="0" w:space="0" w:color="auto"/>
        <w:left w:val="none" w:sz="0" w:space="0" w:color="auto"/>
        <w:bottom w:val="none" w:sz="0" w:space="0" w:color="auto"/>
        <w:right w:val="none" w:sz="0" w:space="0" w:color="auto"/>
      </w:divBdr>
    </w:div>
    <w:div w:id="1959144429">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49599342">
      <w:bodyDiv w:val="1"/>
      <w:marLeft w:val="0"/>
      <w:marRight w:val="0"/>
      <w:marTop w:val="0"/>
      <w:marBottom w:val="0"/>
      <w:divBdr>
        <w:top w:val="none" w:sz="0" w:space="0" w:color="auto"/>
        <w:left w:val="none" w:sz="0" w:space="0" w:color="auto"/>
        <w:bottom w:val="none" w:sz="0" w:space="0" w:color="auto"/>
        <w:right w:val="none" w:sz="0" w:space="0" w:color="auto"/>
      </w:divBdr>
    </w:div>
    <w:div w:id="2104909734">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833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153/3/234/%D9%88%D9%85%D9%82%D8%AA%D8%B6%D9%89" TargetMode="External"/><Relationship Id="rId13" Type="http://schemas.openxmlformats.org/officeDocument/2006/relationships/hyperlink" Target="http://lib.eshia.ir/10088/4/255/&#1601;&#1575;&#1604;&#1593;&#1605;&#1583;&#1577;" TargetMode="External"/><Relationship Id="rId3" Type="http://schemas.openxmlformats.org/officeDocument/2006/relationships/hyperlink" Target="http://lib.eshia.ir/27154/5/165/&#1608;&#1575;&#1581;&#1578;&#1585;&#1586;" TargetMode="External"/><Relationship Id="rId7" Type="http://schemas.openxmlformats.org/officeDocument/2006/relationships/hyperlink" Target="http://lib.eshia.ir/86836/1/562/&#1575;&#1604;&#1605;&#1578;&#1605;&#1578;&#1593;" TargetMode="External"/><Relationship Id="rId12" Type="http://schemas.openxmlformats.org/officeDocument/2006/relationships/hyperlink" Target="http://lib.eshia.ir/10088/4/55/&#1582;&#1589;&#1608;&#1589;&#1575;" TargetMode="External"/><Relationship Id="rId2" Type="http://schemas.openxmlformats.org/officeDocument/2006/relationships/hyperlink" Target="http://lib.eshia.ir/10081/1/65/6" TargetMode="External"/><Relationship Id="rId1" Type="http://schemas.openxmlformats.org/officeDocument/2006/relationships/hyperlink" Target="http://lib.eshia.ir/10081/1/105/3" TargetMode="External"/><Relationship Id="rId6" Type="http://schemas.openxmlformats.org/officeDocument/2006/relationships/hyperlink" Target="http://lib.eshia.ir/27154/1/454/&#1604;&#1593;&#1583;&#1605;" TargetMode="External"/><Relationship Id="rId11" Type="http://schemas.openxmlformats.org/officeDocument/2006/relationships/hyperlink" Target="http://lib.eshia.ir/10366/1/17/%D9%8A%D8%AE%D8%AA%D8%B5" TargetMode="External"/><Relationship Id="rId5" Type="http://schemas.openxmlformats.org/officeDocument/2006/relationships/hyperlink" Target="http://lib.eshia.ir/10152/10/309/&#1575;&#1604;&#1578;&#1581;&#1602;&#1740;&#1602;" TargetMode="External"/><Relationship Id="rId15" Type="http://schemas.openxmlformats.org/officeDocument/2006/relationships/hyperlink" Target="http://lib.eshia.ir/10156/5/338/&#1575;&#1606;&#1589;&#1585;&#1575;&#1601;" TargetMode="External"/><Relationship Id="rId10" Type="http://schemas.openxmlformats.org/officeDocument/2006/relationships/hyperlink" Target="http://lib.eshia.ir/10345/1/115/%D8%A3%D8%B8%D9%87%D8%B1" TargetMode="External"/><Relationship Id="rId4" Type="http://schemas.openxmlformats.org/officeDocument/2006/relationships/hyperlink" Target="http://lib.eshia.ir/27154/13/187/&#1601;&#1740;&#1606;&#1576;&#1594;&#1740;" TargetMode="External"/><Relationship Id="rId9" Type="http://schemas.openxmlformats.org/officeDocument/2006/relationships/hyperlink" Target="http://lib.eshia.ir/10364/1/186/%D8%A7%D9%84%D8%A5%D8%B7%D9%84%D8%A7%D9%82" TargetMode="External"/><Relationship Id="rId14" Type="http://schemas.openxmlformats.org/officeDocument/2006/relationships/hyperlink" Target="http://lib.eshia.ir/10088/20/351/&#1575;&#1604;&#1606;&#1589;&#1608;&#15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039B0-D9C4-4F66-99EC-55511E87A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14</TotalTime>
  <Pages>8</Pages>
  <Words>1592</Words>
  <Characters>9080</Characters>
  <Application>Microsoft Office Word</Application>
  <DocSecurity>0</DocSecurity>
  <Lines>75</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10651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2020-06-29T10:00:00Z</dcterms:created>
  <dcterms:modified xsi:type="dcterms:W3CDTF">2020-06-29T10:51:00Z</dcterms:modified>
  <cp:contentStatus>ویرایش 2.5</cp:contentStatus>
  <cp:version>2.7</cp:version>
</cp:coreProperties>
</file>