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5AA" w:rsidRDefault="00D725AA" w:rsidP="00D725AA">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D725AA" w:rsidRPr="00825F78" w:rsidRDefault="00D725AA" w:rsidP="00D725AA">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61</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12</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3</w:t>
      </w:r>
      <w:r w:rsidRPr="00825F78">
        <w:rPr>
          <w:rFonts w:ascii="IRANSans" w:hAnsi="IRANSans" w:cs="IRANSans"/>
          <w:b/>
          <w:bCs/>
          <w:color w:val="0101FF"/>
          <w:sz w:val="24"/>
          <w:szCs w:val="24"/>
          <w:shd w:val="clear" w:color="auto" w:fill="FFFFFF"/>
          <w:rtl/>
        </w:rPr>
        <w:t>/ 139</w:t>
      </w:r>
      <w:r>
        <w:rPr>
          <w:rFonts w:ascii="IRANSans" w:hAnsi="IRANSans" w:cs="IRANSans" w:hint="cs"/>
          <w:b/>
          <w:bCs/>
          <w:color w:val="0101FF"/>
          <w:sz w:val="24"/>
          <w:szCs w:val="24"/>
          <w:shd w:val="clear" w:color="auto" w:fill="FFFFFF"/>
          <w:rtl/>
        </w:rPr>
        <w:t>9</w:t>
      </w:r>
      <w:r w:rsidRPr="00CE6FB9">
        <w:rPr>
          <w:rFonts w:ascii="IRANSans" w:hAnsi="IRANSans" w:cs="IRANSans"/>
          <w:b/>
          <w:bCs/>
          <w:color w:val="0101FF"/>
          <w:sz w:val="24"/>
          <w:szCs w:val="24"/>
          <w:shd w:val="clear" w:color="auto" w:fill="FFFFFF"/>
          <w:rtl/>
        </w:rPr>
        <w:t xml:space="preserve"> </w:t>
      </w:r>
      <w:r w:rsidRPr="00D725AA">
        <w:rPr>
          <w:rFonts w:ascii="IRANSans" w:hAnsi="IRANSans" w:cs="IRANSans"/>
          <w:b/>
          <w:bCs/>
          <w:color w:val="0101FF"/>
          <w:sz w:val="24"/>
          <w:szCs w:val="24"/>
          <w:shd w:val="clear" w:color="auto" w:fill="FFFFFF"/>
          <w:rtl/>
        </w:rPr>
        <w:t>عده</w:t>
      </w:r>
      <w:r w:rsidRPr="00D725AA">
        <w:rPr>
          <w:rFonts w:ascii="IRANSans" w:hAnsi="IRANSans" w:cs="IRANSans" w:hint="cs"/>
          <w:b/>
          <w:bCs/>
          <w:color w:val="0101FF"/>
          <w:sz w:val="24"/>
          <w:szCs w:val="24"/>
          <w:shd w:val="clear" w:color="auto" w:fill="FFFFFF"/>
          <w:rtl/>
        </w:rPr>
        <w:t>‌ی</w:t>
      </w:r>
      <w:r w:rsidRPr="00D725AA">
        <w:rPr>
          <w:rFonts w:ascii="IRANSans" w:hAnsi="IRANSans" w:cs="IRANSans"/>
          <w:b/>
          <w:bCs/>
          <w:color w:val="0101FF"/>
          <w:sz w:val="24"/>
          <w:szCs w:val="24"/>
          <w:shd w:val="clear" w:color="auto" w:fill="FFFFFF"/>
          <w:rtl/>
        </w:rPr>
        <w:t xml:space="preserve"> وط</w:t>
      </w:r>
      <w:r w:rsidRPr="00D725AA">
        <w:rPr>
          <w:rFonts w:ascii="IRANSans" w:hAnsi="IRANSans" w:cs="IRANSans" w:hint="cs"/>
          <w:b/>
          <w:bCs/>
          <w:color w:val="0101FF"/>
          <w:sz w:val="24"/>
          <w:szCs w:val="24"/>
          <w:shd w:val="clear" w:color="auto" w:fill="FFFFFF"/>
          <w:rtl/>
        </w:rPr>
        <w:t>ی</w:t>
      </w:r>
      <w:r w:rsidRPr="00D725AA">
        <w:rPr>
          <w:rFonts w:ascii="IRANSans" w:hAnsi="IRANSans" w:cs="IRANSans"/>
          <w:b/>
          <w:bCs/>
          <w:color w:val="0101FF"/>
          <w:sz w:val="24"/>
          <w:szCs w:val="24"/>
          <w:shd w:val="clear" w:color="auto" w:fill="FFFFFF"/>
          <w:rtl/>
        </w:rPr>
        <w:t xml:space="preserve"> به شبهه</w:t>
      </w:r>
      <w:r w:rsidRPr="00D725AA">
        <w:rPr>
          <w:rFonts w:ascii="IRANSans" w:hAnsi="IRANSans" w:cs="IRANSans" w:hint="cs"/>
          <w:b/>
          <w:bCs/>
          <w:color w:val="0101FF"/>
          <w:sz w:val="24"/>
          <w:szCs w:val="24"/>
          <w:shd w:val="clear" w:color="auto" w:fill="FFFFFF"/>
          <w:rtl/>
        </w:rPr>
        <w:t xml:space="preserve"> </w:t>
      </w:r>
      <w:r w:rsidRPr="00B30409">
        <w:rPr>
          <w:rFonts w:ascii="IRANSans" w:hAnsi="IRANSans" w:cs="IRANSans" w:hint="cs"/>
          <w:b/>
          <w:bCs/>
          <w:color w:val="0101FF"/>
          <w:sz w:val="24"/>
          <w:szCs w:val="24"/>
          <w:shd w:val="clear" w:color="auto" w:fill="FFFFFF"/>
          <w:rtl/>
        </w:rPr>
        <w:t>/</w:t>
      </w:r>
      <w:r w:rsidRPr="00993B15">
        <w:rPr>
          <w:rFonts w:ascii="IRANSans" w:hAnsi="IRANSans" w:cs="IRANSans"/>
          <w:b/>
          <w:bCs/>
          <w:color w:val="0101FF"/>
          <w:sz w:val="24"/>
          <w:szCs w:val="24"/>
          <w:shd w:val="clear" w:color="auto" w:fill="FFFFFF"/>
          <w:rtl/>
        </w:rPr>
        <w:t>مساله</w:t>
      </w:r>
      <w:r w:rsidRPr="00993B15">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یاز</w:t>
      </w:r>
      <w:r>
        <w:rPr>
          <w:rFonts w:ascii="IRANSans" w:hAnsi="IRANSans" w:cs="IRANSans" w:hint="cs"/>
          <w:b/>
          <w:bCs/>
          <w:color w:val="0101FF"/>
          <w:sz w:val="24"/>
          <w:szCs w:val="24"/>
          <w:shd w:val="clear" w:color="auto" w:fill="FFFFFF"/>
          <w:rtl/>
        </w:rPr>
        <w:t>دهم</w:t>
      </w:r>
      <w:r w:rsidRPr="00993B15">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متن تکمله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عروه</w:t>
      </w:r>
      <w:r w:rsidRPr="00993B15">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w:t>
      </w:r>
      <w:r w:rsidR="0012317A">
        <w:rPr>
          <w:rStyle w:val="Emphasis"/>
          <w:rFonts w:hint="eastAsia"/>
          <w:b/>
          <w:bCs w:val="0"/>
          <w:rtl/>
        </w:rPr>
        <w:t>‌</w:t>
      </w:r>
      <w:r w:rsidR="0012317A">
        <w:rPr>
          <w:rStyle w:val="Emphasis"/>
          <w:rFonts w:hint="cs"/>
          <w:b/>
          <w:bCs w:val="0"/>
          <w:rtl/>
        </w:rPr>
        <w:t>ی</w:t>
      </w:r>
      <w:r w:rsidRPr="009C66D5">
        <w:rPr>
          <w:rStyle w:val="Emphasis"/>
          <w:rFonts w:hint="cs"/>
          <w:b/>
          <w:bCs w:val="0"/>
          <w:rtl/>
        </w:rPr>
        <w:t xml:space="preserve"> مباحث گذشته:</w:t>
      </w:r>
    </w:p>
    <w:p w:rsidR="003A6148" w:rsidRDefault="00721FC2" w:rsidP="0012317A">
      <w:pPr>
        <w:pBdr>
          <w:bottom w:val="double" w:sz="6" w:space="1" w:color="auto"/>
        </w:pBdr>
        <w:jc w:val="both"/>
        <w:rPr>
          <w:rtl/>
        </w:rPr>
      </w:pPr>
      <w:r>
        <w:rPr>
          <w:rFonts w:hint="cs"/>
          <w:rtl/>
        </w:rPr>
        <w:t>مساله</w:t>
      </w:r>
      <w:r>
        <w:rPr>
          <w:rFonts w:hint="eastAsia"/>
          <w:rtl/>
        </w:rPr>
        <w:t>‌</w:t>
      </w:r>
      <w:r>
        <w:rPr>
          <w:rFonts w:hint="cs"/>
          <w:rtl/>
        </w:rPr>
        <w:t>ی دهم تکمله</w:t>
      </w:r>
      <w:r>
        <w:rPr>
          <w:rFonts w:hint="eastAsia"/>
          <w:rtl/>
        </w:rPr>
        <w:t>‌</w:t>
      </w:r>
      <w:r>
        <w:rPr>
          <w:rFonts w:hint="cs"/>
          <w:rtl/>
        </w:rPr>
        <w:t>ی عروه به پایان رسید و مساله</w:t>
      </w:r>
      <w:r>
        <w:rPr>
          <w:rFonts w:hint="eastAsia"/>
          <w:rtl/>
        </w:rPr>
        <w:t>‌</w:t>
      </w:r>
      <w:r>
        <w:rPr>
          <w:rFonts w:hint="cs"/>
          <w:rtl/>
        </w:rPr>
        <w:t>ی یازدهم را آغاز کردیم.</w:t>
      </w:r>
    </w:p>
    <w:p w:rsidR="00247D2F" w:rsidRPr="003A6148" w:rsidRDefault="00247D2F" w:rsidP="0012317A">
      <w:pPr>
        <w:pBdr>
          <w:bottom w:val="double" w:sz="6" w:space="1" w:color="auto"/>
        </w:pBdr>
        <w:jc w:val="both"/>
      </w:pPr>
    </w:p>
    <w:p w:rsidR="008F5B4D" w:rsidRDefault="008F5B4D" w:rsidP="0012317A">
      <w:pPr>
        <w:jc w:val="both"/>
      </w:pPr>
    </w:p>
    <w:p w:rsidR="00721FC2" w:rsidRDefault="00721FC2" w:rsidP="00721FC2">
      <w:pPr>
        <w:pStyle w:val="Heading1"/>
        <w:rPr>
          <w:rtl/>
        </w:rPr>
      </w:pPr>
      <w:bookmarkStart w:id="1" w:name="_Toc41890900"/>
      <w:bookmarkStart w:id="2" w:name="_Toc41979750"/>
      <w:r>
        <w:rPr>
          <w:rFonts w:hint="cs"/>
          <w:rtl/>
        </w:rPr>
        <w:t>مساله</w:t>
      </w:r>
      <w:r w:rsidR="006C7A10">
        <w:rPr>
          <w:rFonts w:hint="eastAsia"/>
          <w:rtl/>
        </w:rPr>
        <w:t>‌</w:t>
      </w:r>
      <w:r w:rsidR="006C7A10">
        <w:rPr>
          <w:rFonts w:hint="cs"/>
          <w:rtl/>
        </w:rPr>
        <w:t>ی</w:t>
      </w:r>
      <w:r>
        <w:rPr>
          <w:rFonts w:hint="cs"/>
          <w:rtl/>
        </w:rPr>
        <w:t xml:space="preserve"> یازدهم تکمله</w:t>
      </w:r>
      <w:r>
        <w:rPr>
          <w:rFonts w:hint="eastAsia"/>
          <w:rtl/>
        </w:rPr>
        <w:t>‌</w:t>
      </w:r>
      <w:r>
        <w:rPr>
          <w:rFonts w:hint="cs"/>
          <w:rtl/>
        </w:rPr>
        <w:t>ی عروه</w:t>
      </w:r>
      <w:bookmarkEnd w:id="1"/>
      <w:bookmarkEnd w:id="2"/>
    </w:p>
    <w:p w:rsidR="00721FC2" w:rsidRPr="00334674" w:rsidRDefault="00721FC2" w:rsidP="00721FC2">
      <w:pPr>
        <w:jc w:val="both"/>
        <w:rPr>
          <w:color w:val="0000FF"/>
          <w:rtl/>
        </w:rPr>
      </w:pPr>
      <w:r w:rsidRPr="00334674">
        <w:rPr>
          <w:rFonts w:hint="cs"/>
          <w:color w:val="0000FF"/>
          <w:rtl/>
        </w:rPr>
        <w:t>مسألة 11: لا إشكال و لا خلاف في ثبوت العدّة في الوطي بالشبهة</w:t>
      </w:r>
      <w:r w:rsidRPr="00334674">
        <w:rPr>
          <w:rFonts w:hint="cs"/>
          <w:color w:val="0000FF"/>
        </w:rPr>
        <w:t>‌</w:t>
      </w:r>
      <w:r w:rsidRPr="00334674">
        <w:rPr>
          <w:rFonts w:hint="cs"/>
          <w:color w:val="0000FF"/>
          <w:rtl/>
        </w:rPr>
        <w:t>، إذا كانت من الطرفين أو من طرف الواطى، و يدلّ عليه إطلاق ما دل من الأخبار على وجوبها بالإدخال و الماء، و أمّا إذا كانت من طرفها خاصة، ففيه قولان: أقواهما الوجوب، ثم ظاهرهم الاتّفاق على كونها مثل عدّة الطلاق.</w:t>
      </w:r>
      <w:r>
        <w:rPr>
          <w:rStyle w:val="FootnoteReference"/>
          <w:color w:val="0000FF"/>
          <w:rtl/>
        </w:rPr>
        <w:footnoteReference w:id="1"/>
      </w:r>
    </w:p>
    <w:p w:rsidR="001A1EA5" w:rsidRDefault="00C17850" w:rsidP="0012317A">
      <w:pPr>
        <w:jc w:val="both"/>
      </w:pPr>
      <w:r>
        <w:rPr>
          <w:rFonts w:hint="cs"/>
          <w:rtl/>
        </w:rPr>
        <w:t xml:space="preserve">مرحوم سید می فرماید: اگر شبهه از طرف واطی یا هر دو طرف باشد، عده واجب است. اما اگر واطی عالم است و زانی می باشد و شبهه فقط از طرف موطوء می باشد، </w:t>
      </w:r>
      <w:r w:rsidR="00D33E09">
        <w:rPr>
          <w:rFonts w:hint="cs"/>
          <w:rtl/>
        </w:rPr>
        <w:t>وجوب عده اختلافی است.</w:t>
      </w:r>
      <w:r>
        <w:rPr>
          <w:rFonts w:hint="cs"/>
          <w:rtl/>
        </w:rPr>
        <w:t xml:space="preserve"> مرحوم سید در این مورد هم قائل به وجوب عده شده است.</w:t>
      </w:r>
    </w:p>
    <w:p w:rsidR="00721FC2" w:rsidRDefault="00B02C43" w:rsidP="00B02C43">
      <w:pPr>
        <w:pStyle w:val="Heading2"/>
      </w:pPr>
      <w:bookmarkStart w:id="3" w:name="_Toc41979751"/>
      <w:r>
        <w:rPr>
          <w:rFonts w:hint="cs"/>
          <w:rtl/>
        </w:rPr>
        <w:t>کلام مرحوم آقای حکیم در منهاج الصالحین</w:t>
      </w:r>
      <w:bookmarkEnd w:id="3"/>
    </w:p>
    <w:p w:rsidR="00B02C43" w:rsidRPr="00B02C43" w:rsidRDefault="00B02C43" w:rsidP="00B02C43">
      <w:pPr>
        <w:jc w:val="both"/>
        <w:rPr>
          <w:rtl/>
        </w:rPr>
      </w:pPr>
      <w:r>
        <w:rPr>
          <w:rFonts w:hint="cs"/>
          <w:rtl/>
        </w:rPr>
        <w:t xml:space="preserve">مرحوم آقای حکیم کلام مرحوم سید را نپذیرفته است و می فرماید: </w:t>
      </w:r>
      <w:r w:rsidRPr="00B02C43">
        <w:rPr>
          <w:rFonts w:hint="cs"/>
          <w:color w:val="000080"/>
          <w:rtl/>
        </w:rPr>
        <w:t>(مسألة 19) تختص العدة في وطء الشبهة بما ذا كان الواطئ جاهلا</w:t>
      </w:r>
      <w:r w:rsidRPr="00B02C43">
        <w:rPr>
          <w:rFonts w:hint="cs"/>
          <w:color w:val="000080"/>
        </w:rPr>
        <w:t>‌</w:t>
      </w:r>
      <w:r w:rsidRPr="00B02C43">
        <w:rPr>
          <w:rFonts w:hint="cs"/>
          <w:color w:val="000080"/>
          <w:rtl/>
        </w:rPr>
        <w:t xml:space="preserve"> سواء كانت الموطوءة عالمة أم جاهلة اما إذا كان الواطئ عالما و الموطوءة جاهلة فالظاهر انه لا عدة له عليها.</w:t>
      </w:r>
      <w:r w:rsidR="000E37A4">
        <w:rPr>
          <w:rStyle w:val="FootnoteReference"/>
          <w:color w:val="000080"/>
          <w:rtl/>
        </w:rPr>
        <w:footnoteReference w:id="2"/>
      </w:r>
    </w:p>
    <w:p w:rsidR="00721FC2" w:rsidRDefault="00B02C43" w:rsidP="0012317A">
      <w:pPr>
        <w:jc w:val="both"/>
        <w:rPr>
          <w:rtl/>
        </w:rPr>
      </w:pPr>
      <w:r>
        <w:rPr>
          <w:rFonts w:hint="cs"/>
          <w:rtl/>
        </w:rPr>
        <w:t>مرحوم شهید صدر ذیل این مساله، حاشیه ندارد و مرحوم آقای خویی هم در منهاج الصالحین</w:t>
      </w:r>
      <w:r w:rsidR="00D33E09">
        <w:rPr>
          <w:rFonts w:hint="cs"/>
          <w:rtl/>
        </w:rPr>
        <w:t>ِ</w:t>
      </w:r>
      <w:r>
        <w:rPr>
          <w:rFonts w:hint="cs"/>
          <w:rtl/>
        </w:rPr>
        <w:t xml:space="preserve"> خود</w:t>
      </w:r>
      <w:r w:rsidR="00D33E09">
        <w:rPr>
          <w:rFonts w:hint="cs"/>
          <w:rtl/>
        </w:rPr>
        <w:t>،</w:t>
      </w:r>
      <w:r>
        <w:rPr>
          <w:rFonts w:hint="cs"/>
          <w:rtl/>
        </w:rPr>
        <w:t xml:space="preserve"> همین مطلب را بیان کرده است.</w:t>
      </w:r>
    </w:p>
    <w:p w:rsidR="00B02C43" w:rsidRPr="00B02C43" w:rsidRDefault="00B02C43" w:rsidP="00B02C43">
      <w:pPr>
        <w:jc w:val="both"/>
      </w:pPr>
      <w:r>
        <w:rPr>
          <w:rFonts w:hint="cs"/>
          <w:rtl/>
        </w:rPr>
        <w:t xml:space="preserve">آقای وحید در حاشیه احتیاط کرده است و می فرماید: </w:t>
      </w:r>
      <w:r w:rsidRPr="00B02C43">
        <w:rPr>
          <w:rFonts w:hint="cs"/>
          <w:color w:val="000080"/>
          <w:rtl/>
        </w:rPr>
        <w:t>لا يترك الاحتياط بالاعتداد.</w:t>
      </w:r>
      <w:r w:rsidR="000E37A4">
        <w:rPr>
          <w:rStyle w:val="FootnoteReference"/>
          <w:color w:val="000080"/>
          <w:rtl/>
        </w:rPr>
        <w:footnoteReference w:id="3"/>
      </w:r>
    </w:p>
    <w:p w:rsidR="00B02C43" w:rsidRDefault="00442C36" w:rsidP="00442C36">
      <w:pPr>
        <w:pStyle w:val="Heading2"/>
        <w:rPr>
          <w:rtl/>
        </w:rPr>
      </w:pPr>
      <w:bookmarkStart w:id="4" w:name="_Toc41979752"/>
      <w:r>
        <w:rPr>
          <w:rFonts w:hint="cs"/>
          <w:rtl/>
        </w:rPr>
        <w:lastRenderedPageBreak/>
        <w:t xml:space="preserve">کلام </w:t>
      </w:r>
      <w:r w:rsidR="00B02C43">
        <w:rPr>
          <w:rFonts w:hint="cs"/>
          <w:rtl/>
        </w:rPr>
        <w:t>آقای سیستانی</w:t>
      </w:r>
      <w:r>
        <w:rPr>
          <w:rFonts w:hint="cs"/>
          <w:rtl/>
        </w:rPr>
        <w:t xml:space="preserve"> در منهاج الصالحین</w:t>
      </w:r>
      <w:bookmarkEnd w:id="4"/>
    </w:p>
    <w:p w:rsidR="0064664E" w:rsidRDefault="0064664E" w:rsidP="00B02C43">
      <w:pPr>
        <w:jc w:val="both"/>
        <w:rPr>
          <w:color w:val="000080"/>
          <w:rtl/>
        </w:rPr>
      </w:pPr>
      <w:r w:rsidRPr="0064664E">
        <w:rPr>
          <w:rFonts w:hint="cs"/>
          <w:rtl/>
        </w:rPr>
        <w:t>آقای سیستانی هم در این مساله احتیاط کرده است.</w:t>
      </w:r>
    </w:p>
    <w:p w:rsidR="00B02C43" w:rsidRPr="00B02C43" w:rsidRDefault="00B02C43" w:rsidP="00B02C43">
      <w:pPr>
        <w:jc w:val="both"/>
        <w:rPr>
          <w:color w:val="000080"/>
          <w:rtl/>
        </w:rPr>
      </w:pPr>
      <w:r w:rsidRPr="00B02C43">
        <w:rPr>
          <w:rFonts w:hint="cs"/>
          <w:color w:val="000080"/>
          <w:rtl/>
        </w:rPr>
        <w:t>مسألة 566: إذا زنى بامرأة مع العلم بكونها أجنبية لم تجب عليها العدّة</w:t>
      </w:r>
      <w:r w:rsidRPr="00B02C43">
        <w:rPr>
          <w:rFonts w:hint="cs"/>
          <w:color w:val="000080"/>
        </w:rPr>
        <w:t>‌</w:t>
      </w:r>
      <w:r w:rsidRPr="00B02C43">
        <w:rPr>
          <w:rFonts w:hint="cs"/>
          <w:color w:val="000080"/>
          <w:rtl/>
        </w:rPr>
        <w:t>، سواء حملت من الزنا أم لا، فلو كانت ذات بعل جاز لبعلها ان يقاربها من غير تربص و إن كانت خلية جاز التزوج بها كذلك، و إن كان الأحوط الأولى استبراء رحمها من ماء الفجور بحيضة قبل التزوج بها سواء ذلك بالنسبة إلى الزاني و غيره.</w:t>
      </w:r>
    </w:p>
    <w:p w:rsidR="00B02C43" w:rsidRPr="00442C36" w:rsidRDefault="00B02C43" w:rsidP="00B02C43">
      <w:pPr>
        <w:jc w:val="both"/>
        <w:rPr>
          <w:color w:val="000080"/>
          <w:u w:val="single"/>
          <w:rtl/>
        </w:rPr>
      </w:pPr>
      <w:r w:rsidRPr="00B02C43">
        <w:rPr>
          <w:rFonts w:hint="cs"/>
          <w:color w:val="000080"/>
          <w:rtl/>
        </w:rPr>
        <w:t xml:space="preserve">هذا إذا كانت المرأة عالمة بالحال، </w:t>
      </w:r>
      <w:r w:rsidRPr="00442C36">
        <w:rPr>
          <w:rFonts w:hint="cs"/>
          <w:color w:val="000080"/>
          <w:u w:val="single"/>
          <w:rtl/>
        </w:rPr>
        <w:t>و أما إذا اعتقدت ان الزاني زوجها فطاوعته في الوطء فالأحوط لزوماً ثبوت العدّة عليها بذلك.</w:t>
      </w:r>
      <w:r w:rsidR="00AA609B">
        <w:rPr>
          <w:rStyle w:val="FootnoteReference"/>
          <w:color w:val="000080"/>
          <w:u w:val="single"/>
          <w:rtl/>
        </w:rPr>
        <w:footnoteReference w:id="4"/>
      </w:r>
    </w:p>
    <w:p w:rsidR="00B02C43" w:rsidRDefault="004D602A" w:rsidP="00A96D52">
      <w:pPr>
        <w:pStyle w:val="Heading2"/>
        <w:rPr>
          <w:rtl/>
        </w:rPr>
      </w:pPr>
      <w:bookmarkStart w:id="5" w:name="_Toc41979753"/>
      <w:r>
        <w:rPr>
          <w:rFonts w:hint="cs"/>
          <w:rtl/>
        </w:rPr>
        <w:t xml:space="preserve">کلام مرحوم سید تقی طباطبایی قمی </w:t>
      </w:r>
      <w:r w:rsidR="00A96D52">
        <w:rPr>
          <w:rFonts w:hint="cs"/>
          <w:rtl/>
        </w:rPr>
        <w:t>در مبانی منهاج الصالحین</w:t>
      </w:r>
      <w:bookmarkEnd w:id="5"/>
    </w:p>
    <w:p w:rsidR="00A96D52" w:rsidRDefault="00A96D52" w:rsidP="004D602A">
      <w:pPr>
        <w:jc w:val="both"/>
        <w:rPr>
          <w:rtl/>
        </w:rPr>
      </w:pPr>
      <w:r>
        <w:rPr>
          <w:rFonts w:hint="cs"/>
          <w:rtl/>
        </w:rPr>
        <w:t>مرحوم سید تقی طباطبایی قمی در مبانی منهاج الصالحین در توضیح عبارت مرحوم آقای خویی می فرماید:</w:t>
      </w:r>
    </w:p>
    <w:p w:rsidR="004D602A" w:rsidRDefault="00442C36" w:rsidP="004D602A">
      <w:pPr>
        <w:jc w:val="both"/>
        <w:rPr>
          <w:color w:val="000080"/>
          <w:rtl/>
        </w:rPr>
      </w:pPr>
      <w:r w:rsidRPr="005076F5">
        <w:rPr>
          <w:rFonts w:hint="cs"/>
          <w:color w:val="000080"/>
          <w:rtl/>
        </w:rPr>
        <w:t>فانه لا حرمة لماء الزاني و الزنا لا عدة له و المفروض تحقق الزنا من طرف الواطئ فلا موضوع للعدة اذ العدة باحترام الواطئ و ان شئت قلت لا دليل على وجوب العدة في المقام و الأدلة العامة الدالة على وجوبها بالدخول مخصصة بالزنا و قال صاحب العروة قدس سره في ملحقات عروته في مسئلة 11 من مسائل العدد‌</w:t>
      </w:r>
      <w:r w:rsidR="004D602A" w:rsidRPr="005076F5">
        <w:rPr>
          <w:rFonts w:hint="cs"/>
          <w:color w:val="000080"/>
          <w:rtl/>
        </w:rPr>
        <w:t xml:space="preserve"> «و أما اذا كانت من طرفها خاصة ففيه قولان أقواهما الوجوب ثم ظاهرهم الاتفاق على كونها مثل عدة الطلاق» انتهى </w:t>
      </w:r>
      <w:r w:rsidR="004D602A" w:rsidRPr="005076F5">
        <w:rPr>
          <w:rFonts w:hint="cs"/>
          <w:color w:val="000080"/>
          <w:u w:val="single"/>
          <w:rtl/>
        </w:rPr>
        <w:t>و لم يظهر لي وجه لوجوبها اذا كانت الشبهة من طرفها خاصة</w:t>
      </w:r>
      <w:r w:rsidR="004D602A" w:rsidRPr="005076F5">
        <w:rPr>
          <w:rFonts w:hint="cs"/>
          <w:color w:val="000080"/>
          <w:rtl/>
        </w:rPr>
        <w:t xml:space="preserve"> و اللّه العالم.</w:t>
      </w:r>
      <w:r w:rsidR="00AA609B">
        <w:rPr>
          <w:rStyle w:val="FootnoteReference"/>
          <w:color w:val="000080"/>
          <w:rtl/>
        </w:rPr>
        <w:footnoteReference w:id="5"/>
      </w:r>
    </w:p>
    <w:p w:rsidR="005076F5" w:rsidRDefault="005076F5" w:rsidP="005076F5">
      <w:pPr>
        <w:jc w:val="both"/>
        <w:rPr>
          <w:rtl/>
        </w:rPr>
      </w:pPr>
      <w:r>
        <w:rPr>
          <w:rFonts w:hint="cs"/>
          <w:rtl/>
        </w:rPr>
        <w:t xml:space="preserve">یک بحث این است که آیا </w:t>
      </w:r>
      <w:r w:rsidRPr="005076F5">
        <w:rPr>
          <w:rFonts w:hint="cs"/>
          <w:color w:val="000080"/>
          <w:rtl/>
        </w:rPr>
        <w:t>فانه لا حرمة لماء الزاني و الزنا لا عدة له</w:t>
      </w:r>
      <w:r>
        <w:rPr>
          <w:rFonts w:hint="cs"/>
          <w:rtl/>
        </w:rPr>
        <w:t xml:space="preserve"> دلیل خاصی دارد و وجه آن چیست؟</w:t>
      </w:r>
    </w:p>
    <w:p w:rsidR="00442C36" w:rsidRDefault="005076F5" w:rsidP="005076F5">
      <w:pPr>
        <w:jc w:val="both"/>
      </w:pPr>
      <w:r>
        <w:rPr>
          <w:rFonts w:hint="cs"/>
          <w:rtl/>
        </w:rPr>
        <w:t xml:space="preserve">بله در جایی که زنا از دو طرف باشد، مسلم است که عده ندارد؛ اما در جایی که از طرف زن شبهه می باشد، چه وجهی برای عدم عده می باشد؟ </w:t>
      </w:r>
    </w:p>
    <w:p w:rsidR="00721FC2" w:rsidRDefault="005076F5" w:rsidP="0012317A">
      <w:pPr>
        <w:jc w:val="both"/>
      </w:pPr>
      <w:r>
        <w:rPr>
          <w:rFonts w:hint="cs"/>
          <w:rtl/>
        </w:rPr>
        <w:t>ادله</w:t>
      </w:r>
      <w:r>
        <w:rPr>
          <w:rFonts w:hint="eastAsia"/>
          <w:rtl/>
        </w:rPr>
        <w:t>‌</w:t>
      </w:r>
      <w:r>
        <w:rPr>
          <w:rFonts w:hint="cs"/>
          <w:rtl/>
        </w:rPr>
        <w:t>ی وجوب عده هم در جایی که زنا از دو طرف باشد، قطعا تخصیص خورده است؛ اما در جایی که زنا فقط از طرف مرد باشد، به چه دلیل ادله</w:t>
      </w:r>
      <w:r>
        <w:rPr>
          <w:rFonts w:hint="eastAsia"/>
          <w:rtl/>
        </w:rPr>
        <w:t>‌</w:t>
      </w:r>
      <w:r>
        <w:rPr>
          <w:rFonts w:hint="cs"/>
          <w:rtl/>
        </w:rPr>
        <w:t>ی وجوب عده تخصیص خورده است؟</w:t>
      </w:r>
    </w:p>
    <w:p w:rsidR="00721FC2" w:rsidRDefault="00126010" w:rsidP="0012317A">
      <w:pPr>
        <w:jc w:val="both"/>
        <w:rPr>
          <w:rtl/>
        </w:rPr>
      </w:pPr>
      <w:r>
        <w:rPr>
          <w:rFonts w:hint="cs"/>
          <w:rtl/>
        </w:rPr>
        <w:t xml:space="preserve">در واقع </w:t>
      </w:r>
      <w:r w:rsidR="009F3E4C">
        <w:rPr>
          <w:rFonts w:hint="cs"/>
          <w:rtl/>
        </w:rPr>
        <w:t>دو مرحله بحث وجود دارد:</w:t>
      </w:r>
    </w:p>
    <w:p w:rsidR="009F3E4C" w:rsidRDefault="009F3E4C" w:rsidP="009F3E4C">
      <w:pPr>
        <w:pStyle w:val="ListParagraph"/>
        <w:numPr>
          <w:ilvl w:val="0"/>
          <w:numId w:val="16"/>
        </w:numPr>
        <w:jc w:val="both"/>
      </w:pPr>
      <w:r>
        <w:rPr>
          <w:rFonts w:hint="cs"/>
          <w:rtl/>
        </w:rPr>
        <w:t>ادله</w:t>
      </w:r>
      <w:r>
        <w:rPr>
          <w:rFonts w:hint="eastAsia"/>
          <w:rtl/>
        </w:rPr>
        <w:t>‌</w:t>
      </w:r>
      <w:r>
        <w:rPr>
          <w:rFonts w:hint="cs"/>
          <w:rtl/>
        </w:rPr>
        <w:t>ی عامی که وجوب عده را در همه</w:t>
      </w:r>
      <w:r>
        <w:rPr>
          <w:rFonts w:hint="eastAsia"/>
          <w:rtl/>
        </w:rPr>
        <w:t>‌</w:t>
      </w:r>
      <w:r>
        <w:rPr>
          <w:rFonts w:hint="cs"/>
          <w:rtl/>
        </w:rPr>
        <w:t>ی وطی ها ثابت می کند.</w:t>
      </w:r>
    </w:p>
    <w:p w:rsidR="009F3E4C" w:rsidRDefault="000153C8" w:rsidP="009F3E4C">
      <w:pPr>
        <w:pStyle w:val="ListParagraph"/>
        <w:numPr>
          <w:ilvl w:val="0"/>
          <w:numId w:val="16"/>
        </w:numPr>
        <w:jc w:val="both"/>
      </w:pPr>
      <w:r>
        <w:rPr>
          <w:rFonts w:hint="cs"/>
          <w:rtl/>
        </w:rPr>
        <w:t>مخصص این ادله</w:t>
      </w:r>
      <w:r>
        <w:rPr>
          <w:rFonts w:hint="eastAsia"/>
          <w:rtl/>
        </w:rPr>
        <w:t>‌</w:t>
      </w:r>
      <w:r>
        <w:rPr>
          <w:rFonts w:hint="cs"/>
          <w:rtl/>
        </w:rPr>
        <w:t>ی عام و وجه تخصیص زانی</w:t>
      </w:r>
    </w:p>
    <w:p w:rsidR="00721FC2" w:rsidRDefault="00933ADE" w:rsidP="0012317A">
      <w:pPr>
        <w:jc w:val="both"/>
      </w:pPr>
      <w:r>
        <w:rPr>
          <w:rFonts w:hint="cs"/>
          <w:rtl/>
        </w:rPr>
        <w:lastRenderedPageBreak/>
        <w:t xml:space="preserve">مرحوم سید می فرماید: </w:t>
      </w:r>
      <w:r w:rsidRPr="00334674">
        <w:rPr>
          <w:rFonts w:hint="cs"/>
          <w:color w:val="0000FF"/>
          <w:rtl/>
        </w:rPr>
        <w:t>يدلّ عليه إطلاق ما دل من الأخبار على وجوبها بالإدخال و الماء</w:t>
      </w:r>
      <w:r w:rsidR="00AA609B">
        <w:rPr>
          <w:rStyle w:val="FootnoteReference"/>
          <w:color w:val="0000FF"/>
          <w:rtl/>
        </w:rPr>
        <w:footnoteReference w:id="6"/>
      </w:r>
    </w:p>
    <w:p w:rsidR="00721FC2" w:rsidRDefault="007F5656" w:rsidP="0012317A">
      <w:pPr>
        <w:jc w:val="both"/>
      </w:pPr>
      <w:r>
        <w:rPr>
          <w:rFonts w:hint="cs"/>
          <w:rtl/>
        </w:rPr>
        <w:t>حال به روایات این بحث می پردازیم:</w:t>
      </w:r>
    </w:p>
    <w:p w:rsidR="00492865" w:rsidRPr="00492865" w:rsidRDefault="001B7857" w:rsidP="00760609">
      <w:pPr>
        <w:pStyle w:val="Heading2"/>
        <w:rPr>
          <w:rtl/>
        </w:rPr>
      </w:pPr>
      <w:bookmarkStart w:id="6" w:name="_Toc41979754"/>
      <w:r>
        <w:rPr>
          <w:rFonts w:hint="cs"/>
          <w:rtl/>
        </w:rPr>
        <w:t xml:space="preserve">اطلاق </w:t>
      </w:r>
      <w:r w:rsidR="00B94E87">
        <w:rPr>
          <w:rFonts w:hint="cs"/>
          <w:rtl/>
        </w:rPr>
        <w:t>روایات وجوب عده به واسطه</w:t>
      </w:r>
      <w:r w:rsidR="00B94E87">
        <w:rPr>
          <w:rFonts w:hint="eastAsia"/>
          <w:rtl/>
        </w:rPr>
        <w:t>‌</w:t>
      </w:r>
      <w:r w:rsidR="00B94E87">
        <w:rPr>
          <w:rFonts w:hint="cs"/>
          <w:rtl/>
        </w:rPr>
        <w:t>ی ادخال</w:t>
      </w:r>
      <w:bookmarkEnd w:id="6"/>
    </w:p>
    <w:p w:rsidR="00492865" w:rsidRPr="00492865" w:rsidRDefault="00492865" w:rsidP="007237AA">
      <w:pPr>
        <w:jc w:val="both"/>
        <w:rPr>
          <w:color w:val="FF0000"/>
        </w:rPr>
      </w:pPr>
      <w:r w:rsidRPr="00492865">
        <w:rPr>
          <w:rFonts w:hint="cs"/>
          <w:rtl/>
        </w:rPr>
        <w:t>عَنْ عَلِيِّ بْنِ إِبْرَاهِيمَ عَنْ أَبِيهِ عَنِ ابْنِ أَبِي عُمَيْرٍ عَنْ حَمَّادٍ عَنِ الْحَلَبِ</w:t>
      </w:r>
      <w:r>
        <w:rPr>
          <w:rFonts w:hint="cs"/>
          <w:rtl/>
        </w:rPr>
        <w:t>يِّ عَنْ أَبِي عَبْدِ اللَّهِ علیه السلام</w:t>
      </w:r>
      <w:r w:rsidRPr="00492865">
        <w:rPr>
          <w:rFonts w:hint="cs"/>
          <w:rtl/>
        </w:rPr>
        <w:t xml:space="preserve"> </w:t>
      </w:r>
      <w:r w:rsidRPr="00492865">
        <w:rPr>
          <w:rFonts w:hint="cs"/>
          <w:color w:val="008000"/>
          <w:rtl/>
        </w:rPr>
        <w:t>فِي رَجُلٍ دَخَلَ بِامْرَأَةٍ قَالَ إِذَا الْتَقَى الْخِتَانَانِ وَجَبَ الْمَهْرُ وَ الْعِدَّةُ.</w:t>
      </w:r>
      <w:r w:rsidR="00AA609B">
        <w:rPr>
          <w:rStyle w:val="FootnoteReference"/>
          <w:color w:val="008000"/>
          <w:rtl/>
        </w:rPr>
        <w:footnoteReference w:id="7"/>
      </w:r>
    </w:p>
    <w:p w:rsidR="00AE5DAE" w:rsidRDefault="00AE5DAE" w:rsidP="004B0AE0">
      <w:pPr>
        <w:jc w:val="both"/>
        <w:rPr>
          <w:rtl/>
        </w:rPr>
      </w:pPr>
      <w:r w:rsidRPr="00492865">
        <w:rPr>
          <w:rFonts w:hint="cs"/>
          <w:color w:val="008000"/>
          <w:rtl/>
        </w:rPr>
        <w:t>دَخَلَ بِامْرَأَةٍ</w:t>
      </w:r>
      <w:r>
        <w:rPr>
          <w:rFonts w:hint="cs"/>
          <w:rtl/>
        </w:rPr>
        <w:t xml:space="preserve"> اعم از تزویج و غیر تزویج می باشد.</w:t>
      </w:r>
    </w:p>
    <w:p w:rsidR="00492865" w:rsidRPr="00492865" w:rsidRDefault="00492865" w:rsidP="004B0AE0">
      <w:pPr>
        <w:jc w:val="both"/>
        <w:rPr>
          <w:color w:val="008000"/>
          <w:rtl/>
        </w:rPr>
      </w:pPr>
      <w:r w:rsidRPr="00492865">
        <w:rPr>
          <w:rFonts w:hint="cs"/>
          <w:rtl/>
        </w:rPr>
        <w:t>عَنْهُ عَنْ أَبِيهِ عَنِ ابْنِ أَبِي عُمَيْرٍ عَنْ حَفْصِ بْنِ الْبَخْتَرِيِّ عَنْ أَبِي عَبْدِ اللَّهِ ع</w:t>
      </w:r>
      <w:r>
        <w:rPr>
          <w:rFonts w:hint="cs"/>
          <w:rtl/>
        </w:rPr>
        <w:t>لیه السلام</w:t>
      </w:r>
      <w:r w:rsidRPr="00492865">
        <w:rPr>
          <w:rFonts w:hint="cs"/>
          <w:rtl/>
        </w:rPr>
        <w:t xml:space="preserve"> قَالَ</w:t>
      </w:r>
      <w:r w:rsidRPr="00492865">
        <w:rPr>
          <w:rFonts w:hint="cs"/>
          <w:color w:val="008000"/>
          <w:rtl/>
        </w:rPr>
        <w:t>: إِذَا الْتَقَى الْخِتَانَانِ وَجَبَ الْمَهْرُ وَ الْعِدَّةُ وَ الْغُسْلُ.</w:t>
      </w:r>
      <w:r w:rsidR="00640F1A">
        <w:rPr>
          <w:rStyle w:val="FootnoteReference"/>
          <w:color w:val="008000"/>
          <w:rtl/>
        </w:rPr>
        <w:footnoteReference w:id="8"/>
      </w:r>
    </w:p>
    <w:p w:rsidR="007E41FF" w:rsidRDefault="004B0AE0" w:rsidP="004B0AE0">
      <w:pPr>
        <w:jc w:val="both"/>
        <w:rPr>
          <w:rtl/>
        </w:rPr>
      </w:pPr>
      <w:r>
        <w:rPr>
          <w:rFonts w:hint="cs"/>
          <w:rtl/>
        </w:rPr>
        <w:t>این روایت در روایت هشتم باب هم آمده است</w:t>
      </w:r>
      <w:r w:rsidR="007E41FF">
        <w:rPr>
          <w:rFonts w:hint="cs"/>
          <w:rtl/>
        </w:rPr>
        <w:t>:</w:t>
      </w:r>
    </w:p>
    <w:p w:rsidR="004B0AE0" w:rsidRDefault="004B0AE0" w:rsidP="004B0AE0">
      <w:pPr>
        <w:jc w:val="both"/>
        <w:rPr>
          <w:color w:val="008000"/>
          <w:rtl/>
        </w:rPr>
      </w:pPr>
      <w:r w:rsidRPr="004B0AE0">
        <w:rPr>
          <w:rFonts w:hint="cs"/>
          <w:rtl/>
        </w:rPr>
        <w:t>وَ عَنْهُ عَنِ الزَّيَّاتِ عَنِ ابْنِ أَبِي عُمَيْرٍ وَ أَحْمَدَ بْنِ الْحَسَنِ عَنْ هَارُونَ بْنِ مُسْلِمٍ عَنِ ابْنِ أَبِي عُمَيْرٍ عَنْ حَفْصِ بْنِ الْبَخْتَرِيِّ عَنْ أَبِي عَبْدِ اللَّهِ ع</w:t>
      </w:r>
      <w:r>
        <w:rPr>
          <w:rFonts w:hint="cs"/>
          <w:rtl/>
        </w:rPr>
        <w:t>لیه السلام</w:t>
      </w:r>
      <w:r w:rsidRPr="004B0AE0">
        <w:rPr>
          <w:rFonts w:hint="cs"/>
          <w:rtl/>
        </w:rPr>
        <w:t xml:space="preserve">‏ </w:t>
      </w:r>
      <w:r w:rsidRPr="004B0AE0">
        <w:rPr>
          <w:rFonts w:hint="cs"/>
          <w:color w:val="008000"/>
          <w:rtl/>
        </w:rPr>
        <w:t>فِي رَجُلٍ دَخَلَ بِامْرَأَةٍ قَالَ إِذَا الْتَقَى الْخِتَانَانِ وَجَبَ الْمَهْرُ وَ الْعِدَّةُ.</w:t>
      </w:r>
      <w:r w:rsidR="00640F1A">
        <w:rPr>
          <w:rStyle w:val="FootnoteReference"/>
          <w:color w:val="008000"/>
          <w:rtl/>
        </w:rPr>
        <w:footnoteReference w:id="9"/>
      </w:r>
    </w:p>
    <w:p w:rsidR="007E41FF" w:rsidRPr="007E41FF" w:rsidRDefault="007E41FF" w:rsidP="004B0AE0">
      <w:pPr>
        <w:jc w:val="both"/>
      </w:pPr>
      <w:r w:rsidRPr="007E41FF">
        <w:rPr>
          <w:rFonts w:hint="cs"/>
          <w:rtl/>
        </w:rPr>
        <w:t>در مورد سند این روایت در جلسات بعدی بحث خواهیم کرد.</w:t>
      </w:r>
    </w:p>
    <w:p w:rsidR="00B94E87" w:rsidRDefault="00B94E87" w:rsidP="00B94E87">
      <w:pPr>
        <w:pStyle w:val="Heading2"/>
        <w:rPr>
          <w:rtl/>
        </w:rPr>
      </w:pPr>
      <w:bookmarkStart w:id="7" w:name="_Toc41979755"/>
      <w:r>
        <w:rPr>
          <w:rFonts w:hint="cs"/>
          <w:rtl/>
        </w:rPr>
        <w:t>اطلاق روایات وجوب عده به واسطه</w:t>
      </w:r>
      <w:r>
        <w:rPr>
          <w:rFonts w:hint="eastAsia"/>
          <w:rtl/>
        </w:rPr>
        <w:t>‌</w:t>
      </w:r>
      <w:r>
        <w:rPr>
          <w:rFonts w:hint="cs"/>
          <w:rtl/>
        </w:rPr>
        <w:t>ی ادخال ماء</w:t>
      </w:r>
      <w:bookmarkEnd w:id="7"/>
    </w:p>
    <w:p w:rsidR="00A53461" w:rsidRPr="00A53461" w:rsidRDefault="00B94E87" w:rsidP="007E41FF">
      <w:pPr>
        <w:jc w:val="both"/>
        <w:rPr>
          <w:rtl/>
        </w:rPr>
      </w:pPr>
      <w:r w:rsidRPr="00B94E87">
        <w:rPr>
          <w:rFonts w:hint="cs"/>
          <w:rtl/>
        </w:rPr>
        <w:t>مُحَمَّدُ بْنُ يَعْقُوبَ عَنْ مُحَمَّدِ بْنِ يَحْيَى عَنْ أَحْمَدَ بْنِ مُحَمَّدٍ عَنْ عَلِيِّ بْنِ الْحَكَمِ عَنِ الْعَلَاءِ عَنْ مُحَمَّدِ بْنِ مُسْلِمٍ عَنْ أَحَدِهِمَا ع</w:t>
      </w:r>
      <w:r>
        <w:rPr>
          <w:rFonts w:hint="cs"/>
          <w:rtl/>
        </w:rPr>
        <w:t>لیهما السلام</w:t>
      </w:r>
      <w:r w:rsidRPr="00B94E87">
        <w:rPr>
          <w:rFonts w:hint="cs"/>
          <w:rtl/>
        </w:rPr>
        <w:t xml:space="preserve"> قَالَ: </w:t>
      </w:r>
      <w:r w:rsidRPr="00B94E87">
        <w:rPr>
          <w:rFonts w:hint="cs"/>
          <w:color w:val="008000"/>
          <w:rtl/>
        </w:rPr>
        <w:t>الْعِدَّةُ مِنَ الْمَاءِ.</w:t>
      </w:r>
      <w:r w:rsidR="00866235">
        <w:rPr>
          <w:rStyle w:val="FootnoteReference"/>
          <w:color w:val="008000"/>
          <w:rtl/>
        </w:rPr>
        <w:footnoteReference w:id="10"/>
      </w:r>
    </w:p>
    <w:p w:rsidR="00712531" w:rsidRDefault="00A53461" w:rsidP="007E41FF">
      <w:pPr>
        <w:jc w:val="both"/>
      </w:pPr>
      <w:r>
        <w:rPr>
          <w:rFonts w:hint="cs"/>
          <w:rtl/>
        </w:rPr>
        <w:t xml:space="preserve">ممکن است در خصوص این روایت اشکال شود که این روایت در مقام بیان این مطلب است که بدون ماء عده واجب نمی شود؛ زیرا بعضی روایات تعبیر </w:t>
      </w:r>
      <w:r w:rsidRPr="00A53461">
        <w:rPr>
          <w:rFonts w:hint="cs"/>
          <w:color w:val="008000"/>
          <w:rtl/>
        </w:rPr>
        <w:t>انما</w:t>
      </w:r>
      <w:r>
        <w:rPr>
          <w:rFonts w:hint="cs"/>
          <w:rtl/>
        </w:rPr>
        <w:t xml:space="preserve"> </w:t>
      </w:r>
      <w:r w:rsidRPr="00B94E87">
        <w:rPr>
          <w:rFonts w:hint="cs"/>
          <w:color w:val="008000"/>
          <w:rtl/>
        </w:rPr>
        <w:t>الْعِدَّةُ مِنَ الْمَاءِ.</w:t>
      </w:r>
      <w:r>
        <w:rPr>
          <w:rFonts w:hint="cs"/>
          <w:rtl/>
        </w:rPr>
        <w:t xml:space="preserve"> دارد و این روایت هم مم</w:t>
      </w:r>
      <w:r w:rsidR="007E41FF">
        <w:rPr>
          <w:rFonts w:hint="cs"/>
          <w:rtl/>
        </w:rPr>
        <w:t>کن است قطعه ای از آن روایت باشد:</w:t>
      </w:r>
    </w:p>
    <w:p w:rsidR="00712531" w:rsidRPr="00712531" w:rsidRDefault="00712531" w:rsidP="00712531">
      <w:pPr>
        <w:jc w:val="both"/>
      </w:pPr>
      <w:r w:rsidRPr="00712531">
        <w:rPr>
          <w:rFonts w:hint="cs"/>
          <w:rtl/>
        </w:rPr>
        <w:lastRenderedPageBreak/>
        <w:t>مُحَمَّدُ بْنُ يَعْقُوبَ عَنْ مُحَمَّدِ بْنِ يَحْيَى عَنْ أَحْمَدَ بْنِ مُحَمَّدٍ عَنِ ابْنِ مَحْبُوبٍ عَنْ عَبْدِ اللَّهِ بْنِ سِنَانٍ عَنْ أَبِي عَبْدِ اللَّهِ ع</w:t>
      </w:r>
      <w:r>
        <w:rPr>
          <w:rFonts w:hint="cs"/>
          <w:rtl/>
        </w:rPr>
        <w:t>لیه السلام</w:t>
      </w:r>
      <w:r w:rsidRPr="00712531">
        <w:rPr>
          <w:rFonts w:hint="cs"/>
          <w:rtl/>
        </w:rPr>
        <w:t xml:space="preserve"> قَالَ: </w:t>
      </w:r>
      <w:r w:rsidRPr="00712531">
        <w:rPr>
          <w:rFonts w:hint="cs"/>
          <w:color w:val="008000"/>
          <w:rtl/>
        </w:rPr>
        <w:t>سَأَلَهُ‏ أَبِي‏ وَ أَنَا حَاضِرٌ عَنْ رَجُلٍ تَزَوَّجَ امْرَأَةً فَأُدْخِلَتْ عَلَيْهِ فَلَمْ يَمَسَّهَا وَ لَمْ يَصِلْ إِلَيْهَا حَتَّى طَلَّقَهَا هَلْ عَلَيْهَا عِدَّةٌ مِنْهُ فَقَالَ إِنَّمَا الْعِدَّةُ مِنَ الْمَاءِ قِيلَ لَهُ فَإِنْ كَانَ وَاقَعَهَا فِي الْفَرْجِ وَ لَمْ يُنْزِلْ فَقَالَ إِذَا أَدْخَلَهُ وَجَبَ الْغُسْلُ وَ الْمَهْرُ وَ الْعِدَّةُ.</w:t>
      </w:r>
      <w:r w:rsidR="006C7A10">
        <w:rPr>
          <w:rStyle w:val="FootnoteReference"/>
          <w:color w:val="008000"/>
          <w:rtl/>
        </w:rPr>
        <w:footnoteReference w:id="11"/>
      </w:r>
    </w:p>
    <w:p w:rsidR="005B5D27" w:rsidRDefault="005B5D27" w:rsidP="005B5D27">
      <w:pPr>
        <w:jc w:val="both"/>
      </w:pPr>
      <w:r>
        <w:rPr>
          <w:rFonts w:hint="cs"/>
          <w:rtl/>
        </w:rPr>
        <w:t>این روایت صحیحه است.</w:t>
      </w:r>
    </w:p>
    <w:p w:rsidR="00492865" w:rsidRDefault="001B7857" w:rsidP="00492865">
      <w:pPr>
        <w:jc w:val="both"/>
        <w:rPr>
          <w:rtl/>
        </w:rPr>
      </w:pPr>
      <w:r>
        <w:rPr>
          <w:rFonts w:hint="cs"/>
          <w:rtl/>
        </w:rPr>
        <w:t>موید اطلاق داشتن این روایات</w:t>
      </w:r>
      <w:r w:rsidR="009E1EE9">
        <w:rPr>
          <w:rFonts w:hint="cs"/>
          <w:rtl/>
        </w:rPr>
        <w:t>، روایات دیگری است که به آن ها اشاره می کنیم:</w:t>
      </w:r>
    </w:p>
    <w:p w:rsidR="009E1EE9" w:rsidRPr="009E1EE9" w:rsidRDefault="009E1EE9" w:rsidP="009E1EE9">
      <w:pPr>
        <w:jc w:val="both"/>
        <w:rPr>
          <w:color w:val="008000"/>
        </w:rPr>
      </w:pPr>
      <w:r w:rsidRPr="009E1EE9">
        <w:rPr>
          <w:rFonts w:hint="cs"/>
          <w:rtl/>
        </w:rPr>
        <w:t>عِدَّةٌ مِنْ أَصْحَابِنَا عَنْ سَهْلِ بْنِ زِيَادٍ وَ عَلِيُّ بْنُ إِبْرَاهِيمَ عَنْ أَبِيهِ جَمِيعاً عَنِ ابْنِ أَبِي نَصْرٍ عَنْ دَاوُدَ بْنِ سِرْحَانَ عَنْ أَبِي عَبْدِ اللَّهِ ع</w:t>
      </w:r>
      <w:r>
        <w:rPr>
          <w:rFonts w:hint="cs"/>
          <w:rtl/>
        </w:rPr>
        <w:t>لیه السلام</w:t>
      </w:r>
      <w:r w:rsidRPr="009E1EE9">
        <w:rPr>
          <w:rFonts w:hint="cs"/>
          <w:rtl/>
        </w:rPr>
        <w:t xml:space="preserve"> قَالَ: </w:t>
      </w:r>
      <w:r w:rsidRPr="009E1EE9">
        <w:rPr>
          <w:rFonts w:hint="cs"/>
          <w:color w:val="008000"/>
          <w:rtl/>
        </w:rPr>
        <w:t>إِذَا أَوْلَجَهُ‏ فَقَدْ وَجَبَ الْغُسْلُ وَ الْجَلْدُ وَ الرَّجْمُ وَ وَجَبَ الْمَهْرُ.</w:t>
      </w:r>
      <w:r w:rsidR="000E37A4">
        <w:rPr>
          <w:rStyle w:val="FootnoteReference"/>
          <w:color w:val="008000"/>
          <w:rtl/>
        </w:rPr>
        <w:footnoteReference w:id="12"/>
      </w:r>
    </w:p>
    <w:p w:rsidR="009E1EE9" w:rsidRPr="00492865" w:rsidRDefault="009258B1" w:rsidP="00492865">
      <w:pPr>
        <w:jc w:val="both"/>
      </w:pPr>
      <w:r>
        <w:rPr>
          <w:rFonts w:hint="cs"/>
          <w:rtl/>
        </w:rPr>
        <w:t>البته در مواردی که جلد و رجم باشد، عده وجود ندارد؛ زیرا جلد و رجم مربوط به زانی است. شاهد و موید ما بحث ایلاج است که حتی در صورتی که بدون نکاح</w:t>
      </w:r>
      <w:r w:rsidR="00D33E09">
        <w:rPr>
          <w:rFonts w:hint="cs"/>
          <w:rtl/>
        </w:rPr>
        <w:t>ِ</w:t>
      </w:r>
      <w:r>
        <w:rPr>
          <w:rFonts w:hint="cs"/>
          <w:rtl/>
        </w:rPr>
        <w:t xml:space="preserve"> صحیح باشد، موجب وجوب مهر می شود؛ در نتیجه اطلاق را ثابت می کند.</w:t>
      </w:r>
    </w:p>
    <w:p w:rsidR="005A6945" w:rsidRDefault="002B30CE" w:rsidP="000E37A4">
      <w:pPr>
        <w:jc w:val="both"/>
      </w:pPr>
      <w:r w:rsidRPr="002B30CE">
        <w:rPr>
          <w:rFonts w:hint="cs"/>
          <w:rtl/>
        </w:rPr>
        <w:t>عَنْهُ عَنْ عَلِيِّ بْنِ أَسْبَاطٍ عَنْ عَلَاءِ بْنِ رَزِينٍ عَنْ مُحَمَّدِ بْنِ مُسْلِمٍ عَنْ أَبِي عَبْدِ اللَّهِ ع</w:t>
      </w:r>
      <w:r>
        <w:rPr>
          <w:rFonts w:hint="cs"/>
          <w:rtl/>
        </w:rPr>
        <w:t>لیه السلام</w:t>
      </w:r>
      <w:r w:rsidRPr="002B30CE">
        <w:rPr>
          <w:rFonts w:hint="cs"/>
          <w:rtl/>
        </w:rPr>
        <w:t xml:space="preserve"> قَالَ: </w:t>
      </w:r>
      <w:r w:rsidRPr="002B30CE">
        <w:rPr>
          <w:rFonts w:hint="cs"/>
          <w:color w:val="008000"/>
          <w:rtl/>
        </w:rPr>
        <w:t>سَأَلْتُهُ عَنِ الرَّجُلِ وَ الْمَرْأَةِ مَتَى يَجِبُ عَلَيْهِمَا الْغُسْلُ قَالَ إِذَا أَدْخَلَهُ وَجَبَ الْغُسْلُ وَ الْمَهْرُ وَ الرَّجْمُ‏.</w:t>
      </w:r>
      <w:r w:rsidR="000E37A4">
        <w:rPr>
          <w:rStyle w:val="FootnoteReference"/>
          <w:color w:val="008000"/>
          <w:rtl/>
        </w:rPr>
        <w:footnoteReference w:id="13"/>
      </w:r>
    </w:p>
    <w:p w:rsidR="001B7857" w:rsidRDefault="00E16C30" w:rsidP="003E5BC6">
      <w:pPr>
        <w:jc w:val="both"/>
      </w:pPr>
      <w:r>
        <w:rPr>
          <w:rFonts w:hint="cs"/>
          <w:rtl/>
        </w:rPr>
        <w:t xml:space="preserve">این روایات موید اطلاق داشتن روایات </w:t>
      </w:r>
      <w:r w:rsidR="003E5BC6">
        <w:rPr>
          <w:rFonts w:hint="cs"/>
          <w:rtl/>
        </w:rPr>
        <w:t>دخول</w:t>
      </w:r>
      <w:r>
        <w:rPr>
          <w:rFonts w:hint="cs"/>
          <w:rtl/>
        </w:rPr>
        <w:t xml:space="preserve"> و ادخال ماء می باشد.</w:t>
      </w:r>
    </w:p>
    <w:p w:rsidR="009C420F" w:rsidRDefault="003736EC" w:rsidP="003736EC">
      <w:pPr>
        <w:pStyle w:val="Heading2"/>
        <w:rPr>
          <w:rtl/>
        </w:rPr>
      </w:pPr>
      <w:bookmarkStart w:id="8" w:name="_Toc41979756"/>
      <w:r>
        <w:rPr>
          <w:rFonts w:hint="cs"/>
          <w:rtl/>
        </w:rPr>
        <w:t>دلیل عدم عده</w:t>
      </w:r>
      <w:r>
        <w:rPr>
          <w:rFonts w:hint="eastAsia"/>
          <w:rtl/>
        </w:rPr>
        <w:t>‌</w:t>
      </w:r>
      <w:r>
        <w:rPr>
          <w:rFonts w:hint="cs"/>
          <w:rtl/>
        </w:rPr>
        <w:t>ی زانی</w:t>
      </w:r>
      <w:bookmarkEnd w:id="8"/>
    </w:p>
    <w:p w:rsidR="003736EC" w:rsidRDefault="003736EC" w:rsidP="00A16430">
      <w:pPr>
        <w:jc w:val="both"/>
        <w:rPr>
          <w:rtl/>
        </w:rPr>
      </w:pPr>
      <w:r>
        <w:rPr>
          <w:rFonts w:hint="cs"/>
          <w:rtl/>
        </w:rPr>
        <w:t xml:space="preserve">از روایت </w:t>
      </w:r>
      <w:r w:rsidRPr="003736EC">
        <w:rPr>
          <w:rFonts w:hint="cs"/>
          <w:color w:val="008000"/>
          <w:rtl/>
        </w:rPr>
        <w:t>الْوَلَدُ لِلْفِرَاشِ وَ لِلْعَاهِرِ الْحَجَرُ.</w:t>
      </w:r>
      <w:r>
        <w:rPr>
          <w:rFonts w:hint="cs"/>
          <w:rtl/>
        </w:rPr>
        <w:t xml:space="preserve"> استفاده می </w:t>
      </w:r>
      <w:r w:rsidR="00BE29D8">
        <w:rPr>
          <w:rFonts w:hint="cs"/>
          <w:rtl/>
        </w:rPr>
        <w:t xml:space="preserve">شود که فقط حجر نصیب عاهر می شود؛ بنابراین عده که حقی برای </w:t>
      </w:r>
      <w:r w:rsidR="00A3060C">
        <w:rPr>
          <w:rFonts w:hint="cs"/>
          <w:rtl/>
        </w:rPr>
        <w:t>واطی</w:t>
      </w:r>
      <w:r w:rsidR="00BE29D8">
        <w:rPr>
          <w:rFonts w:hint="cs"/>
          <w:rtl/>
        </w:rPr>
        <w:t xml:space="preserve"> می باشد، ثابت نمی شود.</w:t>
      </w:r>
      <w:r w:rsidR="00A3060C">
        <w:rPr>
          <w:rFonts w:hint="cs"/>
          <w:rtl/>
        </w:rPr>
        <w:t xml:space="preserve"> اما بعید است این روایت ناظر به بحث ما باشد؛ اگر فرض کنیم ناظر به بحث ما </w:t>
      </w:r>
      <w:r w:rsidR="000F054A">
        <w:rPr>
          <w:rFonts w:hint="cs"/>
          <w:rtl/>
        </w:rPr>
        <w:t>می</w:t>
      </w:r>
      <w:r w:rsidR="00A3060C">
        <w:rPr>
          <w:rFonts w:hint="cs"/>
          <w:rtl/>
        </w:rPr>
        <w:t xml:space="preserve"> باشد، مجرد این که به احترام شوهر و فقط </w:t>
      </w:r>
      <w:r w:rsidR="00A16430">
        <w:rPr>
          <w:rFonts w:hint="cs"/>
          <w:rtl/>
        </w:rPr>
        <w:t>به خاطر</w:t>
      </w:r>
      <w:r w:rsidR="00A3060C">
        <w:rPr>
          <w:rFonts w:hint="cs"/>
          <w:rtl/>
        </w:rPr>
        <w:t xml:space="preserve"> شوهر عده بر زن واجب می شود، مسلم نیست و نیازمند استدلال دیگری است تا به این روایت ضمیمه شود.</w:t>
      </w:r>
    </w:p>
    <w:p w:rsidR="003736EC" w:rsidRDefault="00E40133" w:rsidP="0012317A">
      <w:pPr>
        <w:jc w:val="both"/>
        <w:rPr>
          <w:rtl/>
        </w:rPr>
      </w:pPr>
      <w:r>
        <w:rPr>
          <w:rFonts w:hint="cs"/>
          <w:rtl/>
        </w:rPr>
        <w:t>دو مرحله بحث وجود دارد که در جلسات آینده به آن می پردازیم:</w:t>
      </w:r>
    </w:p>
    <w:p w:rsidR="00E40133" w:rsidRDefault="00E40133" w:rsidP="00E40133">
      <w:pPr>
        <w:pStyle w:val="ListParagraph"/>
        <w:numPr>
          <w:ilvl w:val="0"/>
          <w:numId w:val="17"/>
        </w:numPr>
        <w:jc w:val="both"/>
      </w:pPr>
      <w:r>
        <w:rPr>
          <w:rFonts w:hint="cs"/>
          <w:rtl/>
        </w:rPr>
        <w:t>نظر عامه در وطی به شبهه چیست؟</w:t>
      </w:r>
    </w:p>
    <w:p w:rsidR="00E40133" w:rsidRDefault="00E40133" w:rsidP="00E40133">
      <w:pPr>
        <w:pStyle w:val="ListParagraph"/>
        <w:numPr>
          <w:ilvl w:val="0"/>
          <w:numId w:val="17"/>
        </w:numPr>
        <w:jc w:val="both"/>
      </w:pPr>
      <w:r>
        <w:rPr>
          <w:rFonts w:hint="cs"/>
          <w:rtl/>
        </w:rPr>
        <w:t>فتوای علمای ما در این مساله چیست؟</w:t>
      </w:r>
    </w:p>
    <w:p w:rsidR="00340407" w:rsidRDefault="00340407" w:rsidP="00340407">
      <w:pPr>
        <w:pStyle w:val="Heading1"/>
        <w:rPr>
          <w:rtl/>
        </w:rPr>
      </w:pPr>
      <w:bookmarkStart w:id="9" w:name="_Toc41979757"/>
      <w:r>
        <w:rPr>
          <w:rFonts w:hint="cs"/>
          <w:rtl/>
        </w:rPr>
        <w:lastRenderedPageBreak/>
        <w:t>ذیل کلام سید</w:t>
      </w:r>
      <w:bookmarkEnd w:id="9"/>
    </w:p>
    <w:p w:rsidR="00340407" w:rsidRDefault="00340407" w:rsidP="00340407">
      <w:pPr>
        <w:jc w:val="both"/>
        <w:rPr>
          <w:rtl/>
        </w:rPr>
      </w:pPr>
      <w:r>
        <w:rPr>
          <w:rFonts w:hint="cs"/>
          <w:rtl/>
        </w:rPr>
        <w:t>مرحوم سید می فرماید: عده ای که در وطی به شبهه ثابت می شود، همان عده</w:t>
      </w:r>
      <w:r>
        <w:rPr>
          <w:rFonts w:hint="eastAsia"/>
          <w:rtl/>
        </w:rPr>
        <w:t>‌</w:t>
      </w:r>
      <w:r>
        <w:rPr>
          <w:rFonts w:hint="cs"/>
          <w:rtl/>
        </w:rPr>
        <w:t>ی طلاق است:</w:t>
      </w:r>
    </w:p>
    <w:p w:rsidR="009C420F" w:rsidRDefault="009C420F" w:rsidP="0012317A">
      <w:pPr>
        <w:jc w:val="both"/>
        <w:rPr>
          <w:rtl/>
        </w:rPr>
      </w:pPr>
      <w:r w:rsidRPr="00334674">
        <w:rPr>
          <w:rFonts w:hint="cs"/>
          <w:color w:val="0000FF"/>
          <w:rtl/>
        </w:rPr>
        <w:t>ثم ظاهرهم الاتّفاق على كونها مثل عدّة الطلاق</w:t>
      </w:r>
      <w:r w:rsidR="000E37A4">
        <w:rPr>
          <w:rStyle w:val="FootnoteReference"/>
          <w:color w:val="0000FF"/>
          <w:rtl/>
        </w:rPr>
        <w:footnoteReference w:id="14"/>
      </w:r>
    </w:p>
    <w:p w:rsidR="001B7857" w:rsidRDefault="00AE626E" w:rsidP="0012317A">
      <w:pPr>
        <w:jc w:val="both"/>
        <w:rPr>
          <w:rtl/>
        </w:rPr>
      </w:pPr>
      <w:r>
        <w:rPr>
          <w:rFonts w:hint="cs"/>
          <w:rtl/>
        </w:rPr>
        <w:t>مرحوم میرزای قمی در جامع الشتات کلام سید را نپذیرفته است:</w:t>
      </w:r>
    </w:p>
    <w:p w:rsidR="009C420F" w:rsidRDefault="009C420F" w:rsidP="00AE626E">
      <w:pPr>
        <w:pStyle w:val="Heading2"/>
        <w:rPr>
          <w:rtl/>
        </w:rPr>
      </w:pPr>
      <w:bookmarkStart w:id="10" w:name="_Toc41979758"/>
      <w:r>
        <w:rPr>
          <w:rFonts w:hint="cs"/>
          <w:rtl/>
        </w:rPr>
        <w:t>کلام میرزای قمی در جامع الشتات</w:t>
      </w:r>
      <w:bookmarkEnd w:id="10"/>
    </w:p>
    <w:p w:rsidR="009C420F" w:rsidRPr="00804A1B" w:rsidRDefault="009C420F" w:rsidP="009C420F">
      <w:pPr>
        <w:jc w:val="both"/>
        <w:rPr>
          <w:color w:val="000080"/>
        </w:rPr>
      </w:pPr>
      <w:r w:rsidRPr="00804A1B">
        <w:rPr>
          <w:rFonts w:hint="cs"/>
          <w:color w:val="000080"/>
          <w:rtl/>
        </w:rPr>
        <w:t>371: سؤال:</w:t>
      </w:r>
    </w:p>
    <w:p w:rsidR="009C420F" w:rsidRPr="00804A1B" w:rsidRDefault="009C420F" w:rsidP="009C420F">
      <w:pPr>
        <w:jc w:val="both"/>
        <w:rPr>
          <w:color w:val="000080"/>
          <w:rtl/>
        </w:rPr>
      </w:pPr>
      <w:r w:rsidRPr="00804A1B">
        <w:rPr>
          <w:rFonts w:hint="cs"/>
          <w:color w:val="000080"/>
          <w:rtl/>
        </w:rPr>
        <w:t>زنى خود را متعۀ مردى كرده بدون اطلاع ثالثى، و معلوم نيست كه صيغه بر وجه صحيح خوانده باشند. و در مدت تمتع هم عزل كرده كه فرزند از او نشود.</w:t>
      </w:r>
    </w:p>
    <w:p w:rsidR="009C420F" w:rsidRPr="00804A1B" w:rsidRDefault="009C420F" w:rsidP="009C420F">
      <w:pPr>
        <w:jc w:val="both"/>
        <w:rPr>
          <w:color w:val="000080"/>
          <w:rtl/>
        </w:rPr>
      </w:pPr>
      <w:r w:rsidRPr="00804A1B">
        <w:rPr>
          <w:rFonts w:hint="cs"/>
          <w:color w:val="000080"/>
          <w:rtl/>
        </w:rPr>
        <w:t>و بعد از انقضاى مدت به يك طهر عده داشته. و به مردى شوهر كرده به عقد دائم. و بعد از انقضاى سه طهر حامله شده باشد. آيا عقد متعه صحيح است يا نه؟. و بر فرض صحت، بر زوج ثانى حرام است يا حلال؟. و بر فرض حرمت ابدى است يا نه؟. و اولاد از كيست؟.</w:t>
      </w:r>
    </w:p>
    <w:p w:rsidR="009C420F" w:rsidRPr="00804A1B" w:rsidRDefault="009C420F" w:rsidP="009C420F">
      <w:pPr>
        <w:jc w:val="both"/>
        <w:rPr>
          <w:color w:val="000080"/>
        </w:rPr>
      </w:pPr>
      <w:r w:rsidRPr="00804A1B">
        <w:rPr>
          <w:rFonts w:hint="cs"/>
          <w:color w:val="000080"/>
          <w:rtl/>
        </w:rPr>
        <w:t>جواب: «... و اما سؤال از حال عقد متعه كه بدون اطلاع ثالثى شده، پس آن ضررى ندارد هر گاه صيغه بر وجه صحيح در ميان آنها واقع شده باشد. و اما هر گاه صيغه بر وجه صحيح واقع نشده و لكن زوجين به گمان صحت كرده‌اند كه نكاح فاسد باشد و لكن گمان كرده‌اند كه به همان صيغه حلال مى‌شود، پس داخل وطى شبهه است. و از براى آن نيز عده واجب است. و عقد دوم باطل است هر گاه در عده باشد. و هر گاه دخول هم در عده باشد باز حرام ابدى است. و ظاهر اين است كه عدۀ آن عقد فاسد در آنجا نيز عدّه متعه باشد، اگر چه احوط مراعات عدۀ طلاق است.</w:t>
      </w:r>
    </w:p>
    <w:p w:rsidR="009C420F" w:rsidRPr="00804A1B" w:rsidRDefault="009C420F" w:rsidP="009C420F">
      <w:pPr>
        <w:jc w:val="both"/>
        <w:rPr>
          <w:color w:val="000080"/>
          <w:rtl/>
        </w:rPr>
      </w:pPr>
      <w:r w:rsidRPr="00804A1B">
        <w:rPr>
          <w:rFonts w:hint="cs"/>
          <w:color w:val="000080"/>
          <w:rtl/>
        </w:rPr>
        <w:t>و توضيح اين مطلب اين است كه: اعتبار در عده به حال زن است نه به حال مرد. پس عدۀ زن آزاد مثلا سه طهر است هر گاه «ذات اقراء» باشد هر چند شوهر او عبد باشد.</w:t>
      </w:r>
    </w:p>
    <w:p w:rsidR="009C420F" w:rsidRPr="00804A1B" w:rsidRDefault="009C420F" w:rsidP="009C420F">
      <w:pPr>
        <w:jc w:val="both"/>
        <w:rPr>
          <w:color w:val="000080"/>
          <w:rtl/>
        </w:rPr>
      </w:pPr>
      <w:r w:rsidRPr="00804A1B">
        <w:rPr>
          <w:rFonts w:hint="cs"/>
          <w:color w:val="000080"/>
          <w:rtl/>
        </w:rPr>
        <w:t>و عدۀ معقوده كه مملوكۀ غير باشد دو طهر است هر چند شوهر او آزاد باشد. ... و در وطى شبه‌ اعتبارى به گمان واطى نيست.</w:t>
      </w:r>
    </w:p>
    <w:p w:rsidR="009C420F" w:rsidRPr="00804A1B" w:rsidRDefault="009C420F" w:rsidP="009C420F">
      <w:pPr>
        <w:jc w:val="both"/>
        <w:rPr>
          <w:color w:val="000080"/>
          <w:rtl/>
        </w:rPr>
      </w:pPr>
      <w:r w:rsidRPr="00804A1B">
        <w:rPr>
          <w:rFonts w:hint="cs"/>
          <w:color w:val="000080"/>
          <w:rtl/>
        </w:rPr>
        <w:t>پس هر گاه كسى به عنوان شبهه با كنيزى وطى كرد به گمان اين كه زن آزاد دائمى خود است، عدۀ او دو طهر است ...</w:t>
      </w:r>
    </w:p>
    <w:p w:rsidR="00E228BD" w:rsidRPr="00804A1B" w:rsidRDefault="00E228BD" w:rsidP="00E228BD">
      <w:pPr>
        <w:jc w:val="both"/>
        <w:rPr>
          <w:color w:val="000080"/>
        </w:rPr>
      </w:pPr>
      <w:r w:rsidRPr="00804A1B">
        <w:rPr>
          <w:rFonts w:hint="cs"/>
          <w:color w:val="000080"/>
          <w:rtl/>
        </w:rPr>
        <w:lastRenderedPageBreak/>
        <w:t>و از جملۀ فروع مسأله (بنا [بر] مشهور) اين است كه شخصى با متعۀ غيرى وطى كند به گمان اين كه زوجۀ دائمى خود است بر زوجه عدۀ متعه لازم است كه دو طهر باشد از براى وطى شبهه. و هر گاه با زوجۀ دائمى حرۀ غير وطى كند به گمان اين كه متعۀ خودش است بر زوجه لازم است عدۀ حرۀ دائمه. و مشكل مى‌شود مقام در جائى كه زن آزادى كه معقودۀ كسى نباشد و كسى با او وطى كند به شبهه در خواب، يا كنيزى كه معقودۀ غير نباشد و مولايى هم كه با او وطى كند ندارد (مثل كنيز زن يا طفل صغير) و با او كسى وطى كند در خواب به عنوان شبهه. آيا بر آن زن آزاد عدۀ طلاق لازم است، يا عدۀ متعه؟ و بر آن كنيز عدۀ معقوده لازم است، يا عدۀ موطوئه به ملك يمين. و اين اشكال بر مشهور وارد است كه گمان واطى را اعتبار نمى‌كنند. و الحال در نظرم نيست كلامى از فقها در اين. و احوط اعتبار عده [اى] است كه بيشتر باشد، نظر به استصحاب.</w:t>
      </w:r>
    </w:p>
    <w:p w:rsidR="00E228BD" w:rsidRPr="00804A1B" w:rsidRDefault="00E228BD" w:rsidP="00E228BD">
      <w:pPr>
        <w:jc w:val="both"/>
        <w:rPr>
          <w:color w:val="000080"/>
          <w:rtl/>
        </w:rPr>
      </w:pPr>
      <w:r w:rsidRPr="00804A1B">
        <w:rPr>
          <w:rFonts w:hint="cs"/>
          <w:color w:val="000080"/>
          <w:rtl/>
        </w:rPr>
        <w:t>هر چند اصل برائت مقتضى اقل باشد.</w:t>
      </w:r>
    </w:p>
    <w:p w:rsidR="00E228BD" w:rsidRPr="00804A1B" w:rsidRDefault="00E228BD" w:rsidP="00E228BD">
      <w:pPr>
        <w:jc w:val="both"/>
        <w:rPr>
          <w:color w:val="000080"/>
          <w:rtl/>
        </w:rPr>
      </w:pPr>
      <w:r w:rsidRPr="00804A1B">
        <w:rPr>
          <w:rFonts w:hint="cs"/>
          <w:color w:val="000080"/>
          <w:rtl/>
        </w:rPr>
        <w:t>پس در صورت سؤال اصل مسأله، بنا بر اين كه صيغۀ متعه بر وجه صحيح واقع نشده و به مظنۀ حليت دخول واقع شده، از باب وطى به شبهه مى‌شود. و چون گمان زوجين هر دو اين است كه عقد تمتع است، پس عده را عدۀ متعه قرار مى‌دهند. هر چند نظر به اين اشكالى كه در آخر كرديم احوط آن است كه عدۀ طلاق بگيرد.</w:t>
      </w:r>
      <w:r w:rsidR="00AE626E">
        <w:rPr>
          <w:rFonts w:hint="cs"/>
          <w:color w:val="000080"/>
          <w:rtl/>
        </w:rPr>
        <w:t>»</w:t>
      </w:r>
      <w:r w:rsidR="00804A1B">
        <w:rPr>
          <w:rStyle w:val="FootnoteReference"/>
          <w:color w:val="000080"/>
          <w:rtl/>
        </w:rPr>
        <w:footnoteReference w:id="15"/>
      </w:r>
    </w:p>
    <w:p w:rsidR="009C420F" w:rsidRPr="006162A2" w:rsidRDefault="009C420F" w:rsidP="0012317A">
      <w:pPr>
        <w:jc w:val="both"/>
        <w:rPr>
          <w:rtl/>
        </w:rPr>
      </w:pPr>
    </w:p>
    <w:sectPr w:rsidR="009C420F"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598" w:rsidRDefault="003B0598" w:rsidP="008B750B">
      <w:pPr>
        <w:spacing w:line="240" w:lineRule="auto"/>
      </w:pPr>
      <w:r>
        <w:separator/>
      </w:r>
    </w:p>
  </w:endnote>
  <w:endnote w:type="continuationSeparator" w:id="0">
    <w:p w:rsidR="003B0598" w:rsidRDefault="003B059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6A" w:rsidRDefault="009327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725AA" w:rsidRPr="00D725A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976466" w:rsidP="001B6799">
          <w:pPr>
            <w:pStyle w:val="Footer"/>
            <w:bidi w:val="0"/>
            <w:rPr>
              <w:color w:val="808080" w:themeColor="background1" w:themeShade="80"/>
              <w:rtl/>
            </w:rPr>
          </w:pPr>
          <w:bookmarkStart w:id="18" w:name="BokAdres"/>
          <w:bookmarkEnd w:id="18"/>
          <w:r>
            <w:rPr>
              <w:color w:val="808080" w:themeColor="background1" w:themeShade="80"/>
            </w:rPr>
            <w:t>F1js1_13980312-093_mk3_mfeb.ir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6A" w:rsidRDefault="00932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598" w:rsidRDefault="003B0598" w:rsidP="008B750B">
      <w:pPr>
        <w:spacing w:line="240" w:lineRule="auto"/>
      </w:pPr>
      <w:r>
        <w:separator/>
      </w:r>
    </w:p>
  </w:footnote>
  <w:footnote w:type="continuationSeparator" w:id="0">
    <w:p w:rsidR="003B0598" w:rsidRDefault="003B0598" w:rsidP="008B750B">
      <w:pPr>
        <w:spacing w:line="240" w:lineRule="auto"/>
      </w:pPr>
      <w:r>
        <w:continuationSeparator/>
      </w:r>
    </w:p>
  </w:footnote>
  <w:footnote w:id="1">
    <w:p w:rsidR="00721FC2" w:rsidRPr="00102F29" w:rsidRDefault="00721FC2" w:rsidP="00721FC2">
      <w:pPr>
        <w:pStyle w:val="FootnoteText"/>
      </w:pPr>
      <w:r w:rsidRPr="00102F29">
        <w:footnoteRef/>
      </w:r>
      <w:r w:rsidRPr="00102F29">
        <w:rPr>
          <w:rtl/>
        </w:rPr>
        <w:t xml:space="preserve"> </w:t>
      </w:r>
      <w:hyperlink r:id="rId1" w:history="1">
        <w:r w:rsidRPr="00102F29">
          <w:rPr>
            <w:rStyle w:val="Hyperlink"/>
            <w:rtl/>
          </w:rPr>
          <w:t>تکملة العروة الوثق</w:t>
        </w:r>
        <w:r w:rsidRPr="00102F29">
          <w:rPr>
            <w:rStyle w:val="Hyperlink"/>
            <w:rFonts w:hint="cs"/>
            <w:rtl/>
          </w:rPr>
          <w:t>ی</w:t>
        </w:r>
        <w:r w:rsidRPr="00102F29">
          <w:rPr>
            <w:rStyle w:val="Hyperlink"/>
            <w:rFonts w:hint="eastAsia"/>
            <w:rtl/>
          </w:rPr>
          <w:t>،</w:t>
        </w:r>
        <w:r w:rsidRPr="00102F29">
          <w:rPr>
            <w:rStyle w:val="Hyperlink"/>
            <w:rtl/>
          </w:rPr>
          <w:t xml:space="preserve"> الس</w:t>
        </w:r>
        <w:r w:rsidRPr="00102F29">
          <w:rPr>
            <w:rStyle w:val="Hyperlink"/>
            <w:rFonts w:hint="cs"/>
            <w:rtl/>
          </w:rPr>
          <w:t>ی</w:t>
        </w:r>
        <w:r w:rsidRPr="00102F29">
          <w:rPr>
            <w:rStyle w:val="Hyperlink"/>
            <w:rFonts w:hint="eastAsia"/>
            <w:rtl/>
          </w:rPr>
          <w:t>د</w:t>
        </w:r>
        <w:r w:rsidRPr="00102F29">
          <w:rPr>
            <w:rStyle w:val="Hyperlink"/>
            <w:rtl/>
          </w:rPr>
          <w:t xml:space="preserve"> محمد کاظم الطباطبائ</w:t>
        </w:r>
        <w:r w:rsidRPr="00102F29">
          <w:rPr>
            <w:rStyle w:val="Hyperlink"/>
            <w:rFonts w:hint="cs"/>
            <w:rtl/>
          </w:rPr>
          <w:t>ی</w:t>
        </w:r>
        <w:r w:rsidRPr="00102F29">
          <w:rPr>
            <w:rStyle w:val="Hyperlink"/>
            <w:rtl/>
          </w:rPr>
          <w:t xml:space="preserve"> ال</w:t>
        </w:r>
        <w:r w:rsidRPr="00102F29">
          <w:rPr>
            <w:rStyle w:val="Hyperlink"/>
            <w:rFonts w:hint="cs"/>
            <w:rtl/>
          </w:rPr>
          <w:t>ی</w:t>
        </w:r>
        <w:r w:rsidRPr="00102F29">
          <w:rPr>
            <w:rStyle w:val="Hyperlink"/>
            <w:rFonts w:hint="eastAsia"/>
            <w:rtl/>
          </w:rPr>
          <w:t>زد</w:t>
        </w:r>
        <w:r w:rsidRPr="00102F29">
          <w:rPr>
            <w:rStyle w:val="Hyperlink"/>
            <w:rFonts w:hint="cs"/>
            <w:rtl/>
          </w:rPr>
          <w:t>ی</w:t>
        </w:r>
        <w:r w:rsidRPr="00102F29">
          <w:rPr>
            <w:rStyle w:val="Hyperlink"/>
            <w:rFonts w:hint="eastAsia"/>
            <w:rtl/>
          </w:rPr>
          <w:t>،</w:t>
        </w:r>
        <w:r w:rsidRPr="00102F29">
          <w:rPr>
            <w:rStyle w:val="Hyperlink"/>
            <w:rtl/>
          </w:rPr>
          <w:t xml:space="preserve"> ج1، ص58</w:t>
        </w:r>
        <w:r w:rsidRPr="00102F29">
          <w:rPr>
            <w:rStyle w:val="Hyperlink"/>
          </w:rPr>
          <w:t>.</w:t>
        </w:r>
      </w:hyperlink>
    </w:p>
  </w:footnote>
  <w:footnote w:id="2">
    <w:p w:rsidR="000E37A4" w:rsidRDefault="000E37A4">
      <w:pPr>
        <w:pStyle w:val="FootnoteText"/>
      </w:pPr>
      <w:r>
        <w:rPr>
          <w:rStyle w:val="FootnoteReference"/>
        </w:rPr>
        <w:footnoteRef/>
      </w:r>
      <w:r>
        <w:rPr>
          <w:rtl/>
        </w:rPr>
        <w:t xml:space="preserve"> </w:t>
      </w:r>
      <w:hyperlink r:id="rId2" w:history="1">
        <w:r w:rsidRPr="000E37A4">
          <w:rPr>
            <w:rStyle w:val="Hyperlink"/>
            <w:rFonts w:hint="cs"/>
            <w:rtl/>
          </w:rPr>
          <w:t>منهاج الصالحین، السید محسن الحکیم، ج 2، ص 324</w:t>
        </w:r>
      </w:hyperlink>
    </w:p>
  </w:footnote>
  <w:footnote w:id="3">
    <w:p w:rsidR="000E37A4" w:rsidRDefault="000E37A4">
      <w:pPr>
        <w:pStyle w:val="FootnoteText"/>
      </w:pPr>
      <w:r>
        <w:rPr>
          <w:rStyle w:val="FootnoteReference"/>
        </w:rPr>
        <w:footnoteRef/>
      </w:r>
      <w:r>
        <w:rPr>
          <w:rtl/>
        </w:rPr>
        <w:t xml:space="preserve"> </w:t>
      </w:r>
      <w:hyperlink r:id="rId3" w:history="1">
        <w:r w:rsidRPr="000E37A4">
          <w:rPr>
            <w:rStyle w:val="Hyperlink"/>
            <w:rFonts w:hint="cs"/>
            <w:rtl/>
          </w:rPr>
          <w:t xml:space="preserve">منهاج </w:t>
        </w:r>
        <w:r w:rsidRPr="000E37A4">
          <w:rPr>
            <w:rStyle w:val="Hyperlink"/>
            <w:rFonts w:hint="cs"/>
            <w:rtl/>
          </w:rPr>
          <w:t>الصالحین، الشیخ حسین الوحید الخراسانی، ج 3، ص 346</w:t>
        </w:r>
      </w:hyperlink>
    </w:p>
  </w:footnote>
  <w:footnote w:id="4">
    <w:p w:rsidR="00AA609B" w:rsidRDefault="00AA609B">
      <w:pPr>
        <w:pStyle w:val="FootnoteText"/>
      </w:pPr>
      <w:r>
        <w:rPr>
          <w:rStyle w:val="FootnoteReference"/>
        </w:rPr>
        <w:footnoteRef/>
      </w:r>
      <w:r>
        <w:rPr>
          <w:rtl/>
        </w:rPr>
        <w:t xml:space="preserve"> </w:t>
      </w:r>
      <w:hyperlink r:id="rId4" w:history="1">
        <w:r w:rsidRPr="00AA609B">
          <w:rPr>
            <w:rStyle w:val="Hyperlink"/>
            <w:rFonts w:hint="cs"/>
            <w:rtl/>
          </w:rPr>
          <w:t xml:space="preserve">منهاج </w:t>
        </w:r>
        <w:r w:rsidRPr="00AA609B">
          <w:rPr>
            <w:rStyle w:val="Hyperlink"/>
            <w:rFonts w:hint="cs"/>
            <w:rtl/>
          </w:rPr>
          <w:t>الصالحین، السید علی السیستانی، ج 3، ص 172</w:t>
        </w:r>
      </w:hyperlink>
    </w:p>
  </w:footnote>
  <w:footnote w:id="5">
    <w:p w:rsidR="00AA609B" w:rsidRDefault="00AA609B">
      <w:pPr>
        <w:pStyle w:val="FootnoteText"/>
      </w:pPr>
      <w:r>
        <w:rPr>
          <w:rStyle w:val="FootnoteReference"/>
        </w:rPr>
        <w:footnoteRef/>
      </w:r>
      <w:r>
        <w:rPr>
          <w:rtl/>
        </w:rPr>
        <w:t xml:space="preserve"> </w:t>
      </w:r>
      <w:hyperlink r:id="rId5" w:history="1">
        <w:r w:rsidRPr="00AA609B">
          <w:rPr>
            <w:rStyle w:val="Hyperlink"/>
            <w:rFonts w:hint="cs"/>
            <w:rtl/>
          </w:rPr>
          <w:t>مبانی منهاج الصالحین، السید تقی الطباطبایی القمی، ج 10، ص 465</w:t>
        </w:r>
      </w:hyperlink>
    </w:p>
  </w:footnote>
  <w:footnote w:id="6">
    <w:p w:rsidR="00AA609B" w:rsidRPr="00AA609B" w:rsidRDefault="00AA609B" w:rsidP="00AA609B">
      <w:pPr>
        <w:pStyle w:val="FootnoteText"/>
      </w:pPr>
      <w:r w:rsidRPr="00AA609B">
        <w:footnoteRef/>
      </w:r>
      <w:r w:rsidRPr="00AA609B">
        <w:rPr>
          <w:rtl/>
        </w:rPr>
        <w:t xml:space="preserve"> </w:t>
      </w:r>
      <w:hyperlink r:id="rId6" w:history="1">
        <w:r w:rsidRPr="00AA609B">
          <w:rPr>
            <w:rStyle w:val="Hyperlink"/>
            <w:rtl/>
          </w:rPr>
          <w:t xml:space="preserve">تکملة </w:t>
        </w:r>
        <w:r w:rsidRPr="00AA609B">
          <w:rPr>
            <w:rStyle w:val="Hyperlink"/>
            <w:rtl/>
          </w:rPr>
          <w:t>العروة الوثق</w:t>
        </w:r>
        <w:r w:rsidRPr="00AA609B">
          <w:rPr>
            <w:rStyle w:val="Hyperlink"/>
            <w:rFonts w:hint="cs"/>
            <w:rtl/>
          </w:rPr>
          <w:t>ی</w:t>
        </w:r>
        <w:r w:rsidRPr="00AA609B">
          <w:rPr>
            <w:rStyle w:val="Hyperlink"/>
            <w:rFonts w:hint="eastAsia"/>
            <w:rtl/>
          </w:rPr>
          <w:t>،</w:t>
        </w:r>
        <w:r w:rsidRPr="00AA609B">
          <w:rPr>
            <w:rStyle w:val="Hyperlink"/>
            <w:rtl/>
          </w:rPr>
          <w:t xml:space="preserve"> الس</w:t>
        </w:r>
        <w:r w:rsidRPr="00AA609B">
          <w:rPr>
            <w:rStyle w:val="Hyperlink"/>
            <w:rFonts w:hint="cs"/>
            <w:rtl/>
          </w:rPr>
          <w:t>ی</w:t>
        </w:r>
        <w:r w:rsidRPr="00AA609B">
          <w:rPr>
            <w:rStyle w:val="Hyperlink"/>
            <w:rFonts w:hint="eastAsia"/>
            <w:rtl/>
          </w:rPr>
          <w:t>د</w:t>
        </w:r>
        <w:r w:rsidRPr="00AA609B">
          <w:rPr>
            <w:rStyle w:val="Hyperlink"/>
            <w:rtl/>
          </w:rPr>
          <w:t xml:space="preserve"> محمد کاظم الطباطبائ</w:t>
        </w:r>
        <w:r w:rsidRPr="00AA609B">
          <w:rPr>
            <w:rStyle w:val="Hyperlink"/>
            <w:rFonts w:hint="cs"/>
            <w:rtl/>
          </w:rPr>
          <w:t>ی</w:t>
        </w:r>
        <w:r w:rsidRPr="00AA609B">
          <w:rPr>
            <w:rStyle w:val="Hyperlink"/>
            <w:rtl/>
          </w:rPr>
          <w:t xml:space="preserve"> ال</w:t>
        </w:r>
        <w:r w:rsidRPr="00AA609B">
          <w:rPr>
            <w:rStyle w:val="Hyperlink"/>
            <w:rFonts w:hint="cs"/>
            <w:rtl/>
          </w:rPr>
          <w:t>ی</w:t>
        </w:r>
        <w:r w:rsidRPr="00AA609B">
          <w:rPr>
            <w:rStyle w:val="Hyperlink"/>
            <w:rFonts w:hint="eastAsia"/>
            <w:rtl/>
          </w:rPr>
          <w:t>زد</w:t>
        </w:r>
        <w:r w:rsidRPr="00AA609B">
          <w:rPr>
            <w:rStyle w:val="Hyperlink"/>
            <w:rFonts w:hint="cs"/>
            <w:rtl/>
          </w:rPr>
          <w:t>ی</w:t>
        </w:r>
        <w:r w:rsidRPr="00AA609B">
          <w:rPr>
            <w:rStyle w:val="Hyperlink"/>
            <w:rFonts w:hint="eastAsia"/>
            <w:rtl/>
          </w:rPr>
          <w:t>،</w:t>
        </w:r>
        <w:r w:rsidRPr="00AA609B">
          <w:rPr>
            <w:rStyle w:val="Hyperlink"/>
            <w:rtl/>
          </w:rPr>
          <w:t xml:space="preserve"> ج1، ص58.</w:t>
        </w:r>
      </w:hyperlink>
    </w:p>
  </w:footnote>
  <w:footnote w:id="7">
    <w:p w:rsidR="00AA609B" w:rsidRPr="00AA609B" w:rsidRDefault="00AA609B" w:rsidP="00640F1A">
      <w:pPr>
        <w:pStyle w:val="FootnoteText"/>
      </w:pPr>
      <w:r w:rsidRPr="00AA609B">
        <w:footnoteRef/>
      </w:r>
      <w:r w:rsidRPr="00AA609B">
        <w:rPr>
          <w:rtl/>
        </w:rPr>
        <w:t xml:space="preserve"> </w:t>
      </w:r>
      <w:hyperlink r:id="rId7" w:history="1">
        <w:r w:rsidRPr="00AA609B">
          <w:rPr>
            <w:rStyle w:val="Hyperlink"/>
            <w:rFonts w:hint="eastAsia"/>
            <w:rtl/>
          </w:rPr>
          <w:t>وسائل</w:t>
        </w:r>
        <w:r w:rsidRPr="00AA609B">
          <w:rPr>
            <w:rStyle w:val="Hyperlink"/>
            <w:rtl/>
          </w:rPr>
          <w:t xml:space="preserve"> </w:t>
        </w:r>
        <w:r w:rsidRPr="00AA609B">
          <w:rPr>
            <w:rStyle w:val="Hyperlink"/>
            <w:rtl/>
          </w:rPr>
          <w:t>الش</w:t>
        </w:r>
        <w:r w:rsidRPr="00AA609B">
          <w:rPr>
            <w:rStyle w:val="Hyperlink"/>
            <w:rFonts w:hint="cs"/>
            <w:rtl/>
          </w:rPr>
          <w:t>ی</w:t>
        </w:r>
        <w:r w:rsidRPr="00AA609B">
          <w:rPr>
            <w:rStyle w:val="Hyperlink"/>
            <w:rFonts w:hint="eastAsia"/>
            <w:rtl/>
          </w:rPr>
          <w:t>عة،</w:t>
        </w:r>
        <w:r w:rsidRPr="00AA609B">
          <w:rPr>
            <w:rStyle w:val="Hyperlink"/>
            <w:rtl/>
          </w:rPr>
          <w:t xml:space="preserve"> الش</w:t>
        </w:r>
        <w:r w:rsidRPr="00AA609B">
          <w:rPr>
            <w:rStyle w:val="Hyperlink"/>
            <w:rFonts w:hint="cs"/>
            <w:rtl/>
          </w:rPr>
          <w:t>ی</w:t>
        </w:r>
        <w:r w:rsidRPr="00AA609B">
          <w:rPr>
            <w:rStyle w:val="Hyperlink"/>
            <w:rFonts w:hint="eastAsia"/>
            <w:rtl/>
          </w:rPr>
          <w:t>خ</w:t>
        </w:r>
        <w:r w:rsidRPr="00AA609B">
          <w:rPr>
            <w:rStyle w:val="Hyperlink"/>
            <w:rtl/>
          </w:rPr>
          <w:t xml:space="preserve"> الحر العاملي، ج21، ص319، ط آل البيت.</w:t>
        </w:r>
      </w:hyperlink>
    </w:p>
  </w:footnote>
  <w:footnote w:id="8">
    <w:p w:rsidR="00640F1A" w:rsidRPr="00640F1A" w:rsidRDefault="00640F1A" w:rsidP="00640F1A">
      <w:pPr>
        <w:pStyle w:val="FootnoteText"/>
      </w:pPr>
      <w:r w:rsidRPr="00640F1A">
        <w:footnoteRef/>
      </w:r>
      <w:r w:rsidRPr="00640F1A">
        <w:rPr>
          <w:rtl/>
        </w:rPr>
        <w:t xml:space="preserve"> </w:t>
      </w:r>
      <w:hyperlink r:id="rId8" w:history="1">
        <w:r w:rsidRPr="00640F1A">
          <w:rPr>
            <w:rStyle w:val="Hyperlink"/>
            <w:rFonts w:hint="eastAsia"/>
            <w:rtl/>
          </w:rPr>
          <w:t>وسائل</w:t>
        </w:r>
        <w:r w:rsidRPr="00640F1A">
          <w:rPr>
            <w:rStyle w:val="Hyperlink"/>
            <w:rtl/>
          </w:rPr>
          <w:t xml:space="preserve"> </w:t>
        </w:r>
        <w:r w:rsidRPr="00640F1A">
          <w:rPr>
            <w:rStyle w:val="Hyperlink"/>
            <w:rtl/>
          </w:rPr>
          <w:t>الش</w:t>
        </w:r>
        <w:r w:rsidRPr="00640F1A">
          <w:rPr>
            <w:rStyle w:val="Hyperlink"/>
            <w:rFonts w:hint="cs"/>
            <w:rtl/>
          </w:rPr>
          <w:t>ی</w:t>
        </w:r>
        <w:r w:rsidRPr="00640F1A">
          <w:rPr>
            <w:rStyle w:val="Hyperlink"/>
            <w:rFonts w:hint="eastAsia"/>
            <w:rtl/>
          </w:rPr>
          <w:t>عة،</w:t>
        </w:r>
        <w:r w:rsidRPr="00640F1A">
          <w:rPr>
            <w:rStyle w:val="Hyperlink"/>
            <w:rtl/>
          </w:rPr>
          <w:t xml:space="preserve"> الش</w:t>
        </w:r>
        <w:r w:rsidRPr="00640F1A">
          <w:rPr>
            <w:rStyle w:val="Hyperlink"/>
            <w:rFonts w:hint="cs"/>
            <w:rtl/>
          </w:rPr>
          <w:t>ی</w:t>
        </w:r>
        <w:r w:rsidRPr="00640F1A">
          <w:rPr>
            <w:rStyle w:val="Hyperlink"/>
            <w:rFonts w:hint="eastAsia"/>
            <w:rtl/>
          </w:rPr>
          <w:t>خ</w:t>
        </w:r>
        <w:r w:rsidRPr="00640F1A">
          <w:rPr>
            <w:rStyle w:val="Hyperlink"/>
            <w:rtl/>
          </w:rPr>
          <w:t xml:space="preserve"> الحر العاملي، ج21، ص319، ط آل البيت.</w:t>
        </w:r>
      </w:hyperlink>
    </w:p>
  </w:footnote>
  <w:footnote w:id="9">
    <w:p w:rsidR="00640F1A" w:rsidRPr="00640F1A" w:rsidRDefault="00640F1A" w:rsidP="00640F1A">
      <w:pPr>
        <w:pStyle w:val="FootnoteText"/>
      </w:pPr>
      <w:r w:rsidRPr="00640F1A">
        <w:footnoteRef/>
      </w:r>
      <w:r w:rsidRPr="00640F1A">
        <w:rPr>
          <w:rtl/>
        </w:rPr>
        <w:t xml:space="preserve"> </w:t>
      </w:r>
      <w:hyperlink r:id="rId9" w:history="1">
        <w:r w:rsidRPr="00640F1A">
          <w:rPr>
            <w:rStyle w:val="Hyperlink"/>
            <w:rFonts w:hint="eastAsia"/>
            <w:rtl/>
          </w:rPr>
          <w:t>وسائل</w:t>
        </w:r>
        <w:r w:rsidRPr="00640F1A">
          <w:rPr>
            <w:rStyle w:val="Hyperlink"/>
            <w:rtl/>
          </w:rPr>
          <w:t xml:space="preserve"> </w:t>
        </w:r>
        <w:r w:rsidRPr="00640F1A">
          <w:rPr>
            <w:rStyle w:val="Hyperlink"/>
            <w:rtl/>
          </w:rPr>
          <w:t>الش</w:t>
        </w:r>
        <w:r w:rsidRPr="00640F1A">
          <w:rPr>
            <w:rStyle w:val="Hyperlink"/>
            <w:rFonts w:hint="cs"/>
            <w:rtl/>
          </w:rPr>
          <w:t>ی</w:t>
        </w:r>
        <w:r w:rsidRPr="00640F1A">
          <w:rPr>
            <w:rStyle w:val="Hyperlink"/>
            <w:rFonts w:hint="eastAsia"/>
            <w:rtl/>
          </w:rPr>
          <w:t>عة،</w:t>
        </w:r>
        <w:r w:rsidRPr="00640F1A">
          <w:rPr>
            <w:rStyle w:val="Hyperlink"/>
            <w:rtl/>
          </w:rPr>
          <w:t xml:space="preserve"> الش</w:t>
        </w:r>
        <w:r w:rsidRPr="00640F1A">
          <w:rPr>
            <w:rStyle w:val="Hyperlink"/>
            <w:rFonts w:hint="cs"/>
            <w:rtl/>
          </w:rPr>
          <w:t>ی</w:t>
        </w:r>
        <w:r w:rsidRPr="00640F1A">
          <w:rPr>
            <w:rStyle w:val="Hyperlink"/>
            <w:rFonts w:hint="eastAsia"/>
            <w:rtl/>
          </w:rPr>
          <w:t>خ</w:t>
        </w:r>
        <w:r w:rsidRPr="00640F1A">
          <w:rPr>
            <w:rStyle w:val="Hyperlink"/>
            <w:rtl/>
          </w:rPr>
          <w:t xml:space="preserve"> الحر العاملي، ج21، ص320، ط آل البيت.</w:t>
        </w:r>
      </w:hyperlink>
    </w:p>
  </w:footnote>
  <w:footnote w:id="10">
    <w:p w:rsidR="00866235" w:rsidRPr="00866235" w:rsidRDefault="00866235" w:rsidP="00866235">
      <w:pPr>
        <w:pStyle w:val="FootnoteText"/>
      </w:pPr>
      <w:r w:rsidRPr="00866235">
        <w:footnoteRef/>
      </w:r>
      <w:r w:rsidRPr="00866235">
        <w:rPr>
          <w:rtl/>
        </w:rPr>
        <w:t xml:space="preserve"> </w:t>
      </w:r>
      <w:hyperlink r:id="rId10" w:history="1">
        <w:r w:rsidRPr="00866235">
          <w:rPr>
            <w:rStyle w:val="Hyperlink"/>
            <w:rtl/>
          </w:rPr>
          <w:t xml:space="preserve">وسائل </w:t>
        </w:r>
        <w:r w:rsidRPr="00866235">
          <w:rPr>
            <w:rStyle w:val="Hyperlink"/>
            <w:rtl/>
          </w:rPr>
          <w:t>الش</w:t>
        </w:r>
        <w:r w:rsidRPr="00866235">
          <w:rPr>
            <w:rStyle w:val="Hyperlink"/>
            <w:rFonts w:hint="cs"/>
            <w:rtl/>
          </w:rPr>
          <w:t>ی</w:t>
        </w:r>
        <w:r w:rsidRPr="00866235">
          <w:rPr>
            <w:rStyle w:val="Hyperlink"/>
            <w:rFonts w:hint="eastAsia"/>
            <w:rtl/>
          </w:rPr>
          <w:t>عة،</w:t>
        </w:r>
        <w:r w:rsidRPr="00866235">
          <w:rPr>
            <w:rStyle w:val="Hyperlink"/>
            <w:rtl/>
          </w:rPr>
          <w:t xml:space="preserve"> الش</w:t>
        </w:r>
        <w:r w:rsidRPr="00866235">
          <w:rPr>
            <w:rStyle w:val="Hyperlink"/>
            <w:rFonts w:hint="cs"/>
            <w:rtl/>
          </w:rPr>
          <w:t>ی</w:t>
        </w:r>
        <w:r w:rsidRPr="00866235">
          <w:rPr>
            <w:rStyle w:val="Hyperlink"/>
            <w:rFonts w:hint="eastAsia"/>
            <w:rtl/>
          </w:rPr>
          <w:t>خ</w:t>
        </w:r>
        <w:r w:rsidRPr="00866235">
          <w:rPr>
            <w:rStyle w:val="Hyperlink"/>
            <w:rtl/>
          </w:rPr>
          <w:t xml:space="preserve"> </w:t>
        </w:r>
        <w:r>
          <w:rPr>
            <w:rStyle w:val="Hyperlink"/>
            <w:rtl/>
          </w:rPr>
          <w:t>الحر العاملي، ج22، ص175</w:t>
        </w:r>
        <w:r w:rsidRPr="00866235">
          <w:rPr>
            <w:rStyle w:val="Hyperlink"/>
            <w:rtl/>
          </w:rPr>
          <w:t>، ط آل البيت.</w:t>
        </w:r>
      </w:hyperlink>
    </w:p>
  </w:footnote>
  <w:footnote w:id="11">
    <w:p w:rsidR="006C7A10" w:rsidRPr="006C7A10" w:rsidRDefault="006C7A10" w:rsidP="006C7A10">
      <w:pPr>
        <w:pStyle w:val="FootnoteText"/>
      </w:pPr>
      <w:r w:rsidRPr="006C7A10">
        <w:footnoteRef/>
      </w:r>
      <w:r w:rsidRPr="006C7A10">
        <w:rPr>
          <w:rtl/>
        </w:rPr>
        <w:t xml:space="preserve"> </w:t>
      </w:r>
      <w:hyperlink r:id="rId11" w:history="1">
        <w:r w:rsidRPr="006C7A10">
          <w:rPr>
            <w:rStyle w:val="Hyperlink"/>
            <w:rtl/>
          </w:rPr>
          <w:t xml:space="preserve">وسائل </w:t>
        </w:r>
        <w:r w:rsidRPr="006C7A10">
          <w:rPr>
            <w:rStyle w:val="Hyperlink"/>
            <w:rtl/>
          </w:rPr>
          <w:t>الش</w:t>
        </w:r>
        <w:r w:rsidRPr="006C7A10">
          <w:rPr>
            <w:rStyle w:val="Hyperlink"/>
            <w:rFonts w:hint="cs"/>
            <w:rtl/>
          </w:rPr>
          <w:t>ی</w:t>
        </w:r>
        <w:r w:rsidRPr="006C7A10">
          <w:rPr>
            <w:rStyle w:val="Hyperlink"/>
            <w:rFonts w:hint="eastAsia"/>
            <w:rtl/>
          </w:rPr>
          <w:t>عة،</w:t>
        </w:r>
        <w:r w:rsidRPr="006C7A10">
          <w:rPr>
            <w:rStyle w:val="Hyperlink"/>
            <w:rtl/>
          </w:rPr>
          <w:t xml:space="preserve"> الش</w:t>
        </w:r>
        <w:r w:rsidRPr="006C7A10">
          <w:rPr>
            <w:rStyle w:val="Hyperlink"/>
            <w:rFonts w:hint="cs"/>
            <w:rtl/>
          </w:rPr>
          <w:t>ی</w:t>
        </w:r>
        <w:r w:rsidRPr="006C7A10">
          <w:rPr>
            <w:rStyle w:val="Hyperlink"/>
            <w:rFonts w:hint="eastAsia"/>
            <w:rtl/>
          </w:rPr>
          <w:t>خ</w:t>
        </w:r>
        <w:r w:rsidRPr="006C7A10">
          <w:rPr>
            <w:rStyle w:val="Hyperlink"/>
            <w:rtl/>
          </w:rPr>
          <w:t xml:space="preserve"> الحر العاملي، ج21، ص319، أبواب ، باب، ح، ط آل البيت.</w:t>
        </w:r>
      </w:hyperlink>
    </w:p>
  </w:footnote>
  <w:footnote w:id="12">
    <w:p w:rsidR="000E37A4" w:rsidRPr="000E37A4" w:rsidRDefault="000E37A4" w:rsidP="000E37A4">
      <w:pPr>
        <w:pStyle w:val="FootnoteText"/>
      </w:pPr>
      <w:r w:rsidRPr="000E37A4">
        <w:footnoteRef/>
      </w:r>
      <w:r w:rsidRPr="000E37A4">
        <w:rPr>
          <w:rtl/>
        </w:rPr>
        <w:t xml:space="preserve"> </w:t>
      </w:r>
      <w:hyperlink r:id="rId12" w:history="1">
        <w:r w:rsidRPr="000E37A4">
          <w:rPr>
            <w:rStyle w:val="Hyperlink"/>
            <w:rtl/>
          </w:rPr>
          <w:t>الکاف</w:t>
        </w:r>
        <w:r w:rsidRPr="000E37A4">
          <w:rPr>
            <w:rStyle w:val="Hyperlink"/>
            <w:rFonts w:hint="cs"/>
            <w:rtl/>
          </w:rPr>
          <w:t>ی</w:t>
        </w:r>
        <w:r w:rsidRPr="000E37A4">
          <w:rPr>
            <w:rStyle w:val="Hyperlink"/>
            <w:rFonts w:hint="eastAsia"/>
            <w:rtl/>
          </w:rPr>
          <w:t>،</w:t>
        </w:r>
        <w:r w:rsidRPr="000E37A4">
          <w:rPr>
            <w:rStyle w:val="Hyperlink"/>
            <w:rtl/>
          </w:rPr>
          <w:t xml:space="preserve"> </w:t>
        </w:r>
        <w:r w:rsidRPr="000E37A4">
          <w:rPr>
            <w:rStyle w:val="Hyperlink"/>
            <w:rtl/>
          </w:rPr>
          <w:t xml:space="preserve">محمد بن </w:t>
        </w:r>
        <w:r w:rsidRPr="000E37A4">
          <w:rPr>
            <w:rStyle w:val="Hyperlink"/>
            <w:rFonts w:hint="cs"/>
            <w:rtl/>
          </w:rPr>
          <w:t>ی</w:t>
        </w:r>
        <w:r w:rsidRPr="000E37A4">
          <w:rPr>
            <w:rStyle w:val="Hyperlink"/>
            <w:rFonts w:hint="eastAsia"/>
            <w:rtl/>
          </w:rPr>
          <w:t>عقوب</w:t>
        </w:r>
        <w:r w:rsidRPr="000E37A4">
          <w:rPr>
            <w:rStyle w:val="Hyperlink"/>
            <w:rtl/>
          </w:rPr>
          <w:t xml:space="preserve"> کل</w:t>
        </w:r>
        <w:r w:rsidRPr="000E37A4">
          <w:rPr>
            <w:rStyle w:val="Hyperlink"/>
            <w:rFonts w:hint="cs"/>
            <w:rtl/>
          </w:rPr>
          <w:t>ی</w:t>
        </w:r>
        <w:r w:rsidRPr="000E37A4">
          <w:rPr>
            <w:rStyle w:val="Hyperlink"/>
            <w:rFonts w:hint="eastAsia"/>
            <w:rtl/>
          </w:rPr>
          <w:t>ن</w:t>
        </w:r>
        <w:r w:rsidRPr="000E37A4">
          <w:rPr>
            <w:rStyle w:val="Hyperlink"/>
            <w:rFonts w:hint="cs"/>
            <w:rtl/>
          </w:rPr>
          <w:t>ی</w:t>
        </w:r>
        <w:r w:rsidRPr="000E37A4">
          <w:rPr>
            <w:rStyle w:val="Hyperlink"/>
            <w:rFonts w:hint="eastAsia"/>
            <w:rtl/>
          </w:rPr>
          <w:t>،</w:t>
        </w:r>
        <w:r w:rsidRPr="000E37A4">
          <w:rPr>
            <w:rStyle w:val="Hyperlink"/>
            <w:rtl/>
          </w:rPr>
          <w:t xml:space="preserve"> ج6، ص109.</w:t>
        </w:r>
      </w:hyperlink>
    </w:p>
  </w:footnote>
  <w:footnote w:id="13">
    <w:p w:rsidR="000E37A4" w:rsidRPr="000E37A4" w:rsidRDefault="000E37A4" w:rsidP="000E37A4">
      <w:pPr>
        <w:pStyle w:val="FootnoteText"/>
      </w:pPr>
      <w:r w:rsidRPr="000E37A4">
        <w:footnoteRef/>
      </w:r>
      <w:r w:rsidRPr="000E37A4">
        <w:rPr>
          <w:rtl/>
        </w:rPr>
        <w:t xml:space="preserve"> </w:t>
      </w:r>
      <w:hyperlink r:id="rId13" w:history="1">
        <w:r w:rsidRPr="000E37A4">
          <w:rPr>
            <w:rStyle w:val="Hyperlink"/>
            <w:rtl/>
          </w:rPr>
          <w:t>تهذ</w:t>
        </w:r>
        <w:r w:rsidRPr="000E37A4">
          <w:rPr>
            <w:rStyle w:val="Hyperlink"/>
            <w:rFonts w:hint="cs"/>
            <w:rtl/>
          </w:rPr>
          <w:t>ی</w:t>
        </w:r>
        <w:r w:rsidRPr="000E37A4">
          <w:rPr>
            <w:rStyle w:val="Hyperlink"/>
            <w:rFonts w:hint="eastAsia"/>
            <w:rtl/>
          </w:rPr>
          <w:t>ب</w:t>
        </w:r>
        <w:r w:rsidRPr="000E37A4">
          <w:rPr>
            <w:rStyle w:val="Hyperlink"/>
            <w:rtl/>
          </w:rPr>
          <w:t xml:space="preserve"> </w:t>
        </w:r>
        <w:r w:rsidRPr="000E37A4">
          <w:rPr>
            <w:rStyle w:val="Hyperlink"/>
            <w:rtl/>
          </w:rPr>
          <w:t>الاحکام، ش</w:t>
        </w:r>
        <w:r w:rsidRPr="000E37A4">
          <w:rPr>
            <w:rStyle w:val="Hyperlink"/>
            <w:rFonts w:hint="cs"/>
            <w:rtl/>
          </w:rPr>
          <w:t>ی</w:t>
        </w:r>
        <w:r w:rsidRPr="000E37A4">
          <w:rPr>
            <w:rStyle w:val="Hyperlink"/>
            <w:rFonts w:hint="eastAsia"/>
            <w:rtl/>
          </w:rPr>
          <w:t>خ</w:t>
        </w:r>
        <w:r w:rsidRPr="000E37A4">
          <w:rPr>
            <w:rStyle w:val="Hyperlink"/>
            <w:rtl/>
          </w:rPr>
          <w:t xml:space="preserve"> طوس</w:t>
        </w:r>
        <w:r w:rsidRPr="000E37A4">
          <w:rPr>
            <w:rStyle w:val="Hyperlink"/>
            <w:rFonts w:hint="cs"/>
            <w:rtl/>
          </w:rPr>
          <w:t>ی</w:t>
        </w:r>
        <w:r w:rsidRPr="000E37A4">
          <w:rPr>
            <w:rStyle w:val="Hyperlink"/>
            <w:rFonts w:hint="eastAsia"/>
            <w:rtl/>
          </w:rPr>
          <w:t>،</w:t>
        </w:r>
        <w:r w:rsidRPr="000E37A4">
          <w:rPr>
            <w:rStyle w:val="Hyperlink"/>
            <w:rtl/>
          </w:rPr>
          <w:t xml:space="preserve"> ج7، ص464.</w:t>
        </w:r>
      </w:hyperlink>
    </w:p>
  </w:footnote>
  <w:footnote w:id="14">
    <w:p w:rsidR="000E37A4" w:rsidRPr="000E37A4" w:rsidRDefault="000E37A4" w:rsidP="000E37A4">
      <w:pPr>
        <w:pStyle w:val="FootnoteText"/>
      </w:pPr>
      <w:r w:rsidRPr="000E37A4">
        <w:footnoteRef/>
      </w:r>
      <w:r w:rsidRPr="000E37A4">
        <w:rPr>
          <w:rtl/>
        </w:rPr>
        <w:t xml:space="preserve"> </w:t>
      </w:r>
      <w:hyperlink r:id="rId14" w:history="1">
        <w:r w:rsidRPr="000E37A4">
          <w:rPr>
            <w:rStyle w:val="Hyperlink"/>
            <w:rtl/>
          </w:rPr>
          <w:t xml:space="preserve">تکملة </w:t>
        </w:r>
        <w:r w:rsidRPr="000E37A4">
          <w:rPr>
            <w:rStyle w:val="Hyperlink"/>
            <w:rtl/>
          </w:rPr>
          <w:t>العروة الوثق</w:t>
        </w:r>
        <w:r w:rsidRPr="000E37A4">
          <w:rPr>
            <w:rStyle w:val="Hyperlink"/>
            <w:rFonts w:hint="cs"/>
            <w:rtl/>
          </w:rPr>
          <w:t>ی</w:t>
        </w:r>
        <w:r w:rsidRPr="000E37A4">
          <w:rPr>
            <w:rStyle w:val="Hyperlink"/>
            <w:rFonts w:hint="eastAsia"/>
            <w:rtl/>
          </w:rPr>
          <w:t>،</w:t>
        </w:r>
        <w:r w:rsidRPr="000E37A4">
          <w:rPr>
            <w:rStyle w:val="Hyperlink"/>
            <w:rtl/>
          </w:rPr>
          <w:t xml:space="preserve"> الس</w:t>
        </w:r>
        <w:r w:rsidRPr="000E37A4">
          <w:rPr>
            <w:rStyle w:val="Hyperlink"/>
            <w:rFonts w:hint="cs"/>
            <w:rtl/>
          </w:rPr>
          <w:t>ی</w:t>
        </w:r>
        <w:r w:rsidRPr="000E37A4">
          <w:rPr>
            <w:rStyle w:val="Hyperlink"/>
            <w:rFonts w:hint="eastAsia"/>
            <w:rtl/>
          </w:rPr>
          <w:t>د</w:t>
        </w:r>
        <w:r w:rsidRPr="000E37A4">
          <w:rPr>
            <w:rStyle w:val="Hyperlink"/>
            <w:rtl/>
          </w:rPr>
          <w:t xml:space="preserve"> محمد کاظم الطباطبائ</w:t>
        </w:r>
        <w:r w:rsidRPr="000E37A4">
          <w:rPr>
            <w:rStyle w:val="Hyperlink"/>
            <w:rFonts w:hint="cs"/>
            <w:rtl/>
          </w:rPr>
          <w:t>ی</w:t>
        </w:r>
        <w:r w:rsidRPr="000E37A4">
          <w:rPr>
            <w:rStyle w:val="Hyperlink"/>
            <w:rtl/>
          </w:rPr>
          <w:t xml:space="preserve"> ال</w:t>
        </w:r>
        <w:r w:rsidRPr="000E37A4">
          <w:rPr>
            <w:rStyle w:val="Hyperlink"/>
            <w:rFonts w:hint="cs"/>
            <w:rtl/>
          </w:rPr>
          <w:t>ی</w:t>
        </w:r>
        <w:r w:rsidRPr="000E37A4">
          <w:rPr>
            <w:rStyle w:val="Hyperlink"/>
            <w:rFonts w:hint="eastAsia"/>
            <w:rtl/>
          </w:rPr>
          <w:t>زد</w:t>
        </w:r>
        <w:r w:rsidRPr="000E37A4">
          <w:rPr>
            <w:rStyle w:val="Hyperlink"/>
            <w:rFonts w:hint="cs"/>
            <w:rtl/>
          </w:rPr>
          <w:t>ی</w:t>
        </w:r>
        <w:r w:rsidRPr="000E37A4">
          <w:rPr>
            <w:rStyle w:val="Hyperlink"/>
            <w:rFonts w:hint="eastAsia"/>
            <w:rtl/>
          </w:rPr>
          <w:t>،</w:t>
        </w:r>
        <w:r w:rsidRPr="000E37A4">
          <w:rPr>
            <w:rStyle w:val="Hyperlink"/>
            <w:rtl/>
          </w:rPr>
          <w:t xml:space="preserve"> ج1، ص58.</w:t>
        </w:r>
      </w:hyperlink>
    </w:p>
  </w:footnote>
  <w:footnote w:id="15">
    <w:p w:rsidR="00804A1B" w:rsidRDefault="00804A1B">
      <w:pPr>
        <w:pStyle w:val="FootnoteText"/>
      </w:pPr>
      <w:r>
        <w:rPr>
          <w:rStyle w:val="FootnoteReference"/>
        </w:rPr>
        <w:footnoteRef/>
      </w:r>
      <w:r>
        <w:rPr>
          <w:rtl/>
        </w:rPr>
        <w:t xml:space="preserve"> </w:t>
      </w:r>
      <w:hyperlink r:id="rId15" w:history="1">
        <w:r w:rsidRPr="00804A1B">
          <w:rPr>
            <w:rStyle w:val="Hyperlink"/>
            <w:rtl/>
          </w:rPr>
          <w:t xml:space="preserve">جامع </w:t>
        </w:r>
        <w:r w:rsidRPr="00804A1B">
          <w:rPr>
            <w:rStyle w:val="Hyperlink"/>
            <w:rtl/>
          </w:rPr>
          <w:t>الشتات في أجوبة السؤالات</w:t>
        </w:r>
        <w:r w:rsidRPr="00804A1B">
          <w:rPr>
            <w:rStyle w:val="Hyperlink"/>
            <w:rFonts w:hint="cs"/>
            <w:rtl/>
          </w:rPr>
          <w:t>،</w:t>
        </w:r>
        <w:r w:rsidRPr="00804A1B">
          <w:rPr>
            <w:rStyle w:val="Hyperlink"/>
            <w:rtl/>
          </w:rPr>
          <w:t xml:space="preserve"> القمّي، الميرزا أبو القاسم</w:t>
        </w:r>
        <w:r w:rsidRPr="00804A1B">
          <w:rPr>
            <w:rStyle w:val="Hyperlink"/>
            <w:rFonts w:hint="cs"/>
            <w:rtl/>
          </w:rPr>
          <w:t>،</w:t>
        </w:r>
        <w:r w:rsidRPr="00804A1B">
          <w:rPr>
            <w:rStyle w:val="Hyperlink"/>
            <w:rtl/>
          </w:rPr>
          <w:t xml:space="preserve"> ج</w:t>
        </w:r>
        <w:r w:rsidRPr="00804A1B">
          <w:rPr>
            <w:rStyle w:val="Hyperlink"/>
            <w:rFonts w:hint="cs"/>
            <w:rtl/>
          </w:rPr>
          <w:t xml:space="preserve"> </w:t>
        </w:r>
        <w:r w:rsidRPr="00804A1B">
          <w:rPr>
            <w:rStyle w:val="Hyperlink"/>
            <w:rtl/>
          </w:rPr>
          <w:t>4</w:t>
        </w:r>
        <w:r w:rsidRPr="00804A1B">
          <w:rPr>
            <w:rStyle w:val="Hyperlink"/>
            <w:rFonts w:hint="cs"/>
            <w:rtl/>
          </w:rPr>
          <w:t>،</w:t>
        </w:r>
        <w:r w:rsidRPr="00804A1B">
          <w:rPr>
            <w:rStyle w:val="Hyperlink"/>
            <w:rtl/>
          </w:rPr>
          <w:t xml:space="preserve"> ص 582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6A" w:rsidRDefault="009327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976466">
      <w:rPr>
        <w:b/>
        <w:bCs/>
        <w:sz w:val="20"/>
        <w:szCs w:val="24"/>
        <w:rtl/>
      </w:rPr>
      <w:t>093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976466">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976466">
      <w:rPr>
        <w:b/>
        <w:bCs/>
        <w:color w:val="632423" w:themeColor="accent2" w:themeShade="80"/>
        <w:sz w:val="20"/>
        <w:szCs w:val="24"/>
        <w:rtl/>
      </w:rPr>
      <w:t>س</w:t>
    </w:r>
    <w:r w:rsidR="00976466">
      <w:rPr>
        <w:rFonts w:hint="cs"/>
        <w:b/>
        <w:bCs/>
        <w:color w:val="632423" w:themeColor="accent2" w:themeShade="80"/>
        <w:sz w:val="20"/>
        <w:szCs w:val="24"/>
        <w:rtl/>
      </w:rPr>
      <w:t>ی</w:t>
    </w:r>
    <w:r w:rsidR="00976466">
      <w:rPr>
        <w:rFonts w:hint="eastAsia"/>
        <w:b/>
        <w:bCs/>
        <w:color w:val="632423" w:themeColor="accent2" w:themeShade="80"/>
        <w:sz w:val="20"/>
        <w:szCs w:val="24"/>
        <w:rtl/>
      </w:rPr>
      <w:t>د</w:t>
    </w:r>
    <w:r w:rsidR="00976466">
      <w:rPr>
        <w:b/>
        <w:bCs/>
        <w:color w:val="632423" w:themeColor="accent2" w:themeShade="80"/>
        <w:sz w:val="20"/>
        <w:szCs w:val="24"/>
        <w:rtl/>
      </w:rPr>
      <w:t xml:space="preserve"> محمد جواد شب</w:t>
    </w:r>
    <w:r w:rsidR="00976466">
      <w:rPr>
        <w:rFonts w:hint="cs"/>
        <w:b/>
        <w:bCs/>
        <w:color w:val="632423" w:themeColor="accent2" w:themeShade="80"/>
        <w:sz w:val="20"/>
        <w:szCs w:val="24"/>
        <w:rtl/>
      </w:rPr>
      <w:t>ی</w:t>
    </w:r>
    <w:r w:rsidR="00976466">
      <w:rPr>
        <w:rFonts w:hint="eastAsia"/>
        <w:b/>
        <w:bCs/>
        <w:color w:val="632423" w:themeColor="accent2" w:themeShade="80"/>
        <w:sz w:val="20"/>
        <w:szCs w:val="24"/>
        <w:rtl/>
      </w:rPr>
      <w:t>ر</w:t>
    </w:r>
    <w:r w:rsidR="0097646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976466">
      <w:rPr>
        <w:sz w:val="24"/>
        <w:szCs w:val="24"/>
        <w:rtl/>
      </w:rPr>
      <w:t>12 /3 /1398</w:t>
    </w:r>
  </w:p>
  <w:p w:rsidR="00FA3B17" w:rsidRPr="00F16B53" w:rsidRDefault="00935A55" w:rsidP="00C9761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976466">
      <w:rPr>
        <w:color w:val="000000" w:themeColor="text1"/>
        <w:sz w:val="24"/>
        <w:szCs w:val="24"/>
        <w:rtl/>
      </w:rPr>
      <w:t>مساله‌</w:t>
    </w:r>
    <w:r w:rsidR="00976466">
      <w:rPr>
        <w:rFonts w:hint="cs"/>
        <w:color w:val="000000" w:themeColor="text1"/>
        <w:sz w:val="24"/>
        <w:szCs w:val="24"/>
        <w:rtl/>
      </w:rPr>
      <w:t>ی</w:t>
    </w:r>
    <w:r w:rsidR="00976466">
      <w:rPr>
        <w:color w:val="000000" w:themeColor="text1"/>
        <w:sz w:val="24"/>
        <w:szCs w:val="24"/>
        <w:rtl/>
      </w:rPr>
      <w:t xml:space="preserve"> </w:t>
    </w:r>
    <w:r w:rsidR="00C9761B">
      <w:rPr>
        <w:rFonts w:hint="cs"/>
        <w:color w:val="000000" w:themeColor="text1"/>
        <w:sz w:val="24"/>
        <w:szCs w:val="24"/>
        <w:rtl/>
      </w:rPr>
      <w:t>یازدهم</w:t>
    </w:r>
    <w:r w:rsidR="00976466">
      <w:rPr>
        <w:color w:val="000000" w:themeColor="text1"/>
        <w:sz w:val="24"/>
        <w:szCs w:val="24"/>
        <w:rtl/>
      </w:rPr>
      <w:t xml:space="preserve"> تکمله‌</w:t>
    </w:r>
    <w:r w:rsidR="00976466">
      <w:rPr>
        <w:rFonts w:hint="cs"/>
        <w:color w:val="000000" w:themeColor="text1"/>
        <w:sz w:val="24"/>
        <w:szCs w:val="24"/>
        <w:rtl/>
      </w:rPr>
      <w:t>ی</w:t>
    </w:r>
    <w:r w:rsidR="00976466">
      <w:rPr>
        <w:color w:val="000000" w:themeColor="text1"/>
        <w:sz w:val="24"/>
        <w:szCs w:val="24"/>
        <w:rtl/>
      </w:rPr>
      <w:t xml:space="preserve"> 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93276A">
      <w:rPr>
        <w:sz w:val="24"/>
        <w:szCs w:val="24"/>
        <w:rtl/>
      </w:rPr>
      <w:t>م</w:t>
    </w:r>
    <w:r w:rsidR="0093276A">
      <w:rPr>
        <w:rFonts w:hint="cs"/>
        <w:sz w:val="24"/>
        <w:szCs w:val="24"/>
        <w:rtl/>
      </w:rPr>
      <w:t>رکز فقهی امام محمدباقر علیه السلام</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6C7A10">
      <w:rPr>
        <w:sz w:val="24"/>
        <w:szCs w:val="24"/>
        <w:rtl/>
      </w:rPr>
      <w:t>عده</w:t>
    </w:r>
    <w:r w:rsidR="006C7A10">
      <w:rPr>
        <w:rFonts w:hint="cs"/>
        <w:sz w:val="24"/>
        <w:szCs w:val="24"/>
        <w:rtl/>
      </w:rPr>
      <w:t>‌</w:t>
    </w:r>
    <w:r w:rsidR="00976466">
      <w:rPr>
        <w:rFonts w:hint="cs"/>
        <w:sz w:val="24"/>
        <w:szCs w:val="24"/>
        <w:rtl/>
      </w:rPr>
      <w:t>ی</w:t>
    </w:r>
    <w:r w:rsidR="00976466">
      <w:rPr>
        <w:sz w:val="24"/>
        <w:szCs w:val="24"/>
        <w:rtl/>
      </w:rPr>
      <w:t xml:space="preserve"> وط</w:t>
    </w:r>
    <w:r w:rsidR="00976466">
      <w:rPr>
        <w:rFonts w:hint="cs"/>
        <w:sz w:val="24"/>
        <w:szCs w:val="24"/>
        <w:rtl/>
      </w:rPr>
      <w:t>ی</w:t>
    </w:r>
    <w:r w:rsidR="00976466">
      <w:rPr>
        <w:sz w:val="24"/>
        <w:szCs w:val="24"/>
        <w:rtl/>
      </w:rPr>
      <w:t xml:space="preserve"> به شبهه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6A" w:rsidRDefault="009327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43D2C"/>
    <w:multiLevelType w:val="hybridMultilevel"/>
    <w:tmpl w:val="7BB2E2AA"/>
    <w:lvl w:ilvl="0" w:tplc="23A27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74592"/>
    <w:multiLevelType w:val="hybridMultilevel"/>
    <w:tmpl w:val="AF221BD8"/>
    <w:lvl w:ilvl="0" w:tplc="F0F0AC6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53C8"/>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E37A4"/>
    <w:rsid w:val="000F054A"/>
    <w:rsid w:val="000F16CF"/>
    <w:rsid w:val="000F5BAC"/>
    <w:rsid w:val="00102585"/>
    <w:rsid w:val="00114AB7"/>
    <w:rsid w:val="00116B2B"/>
    <w:rsid w:val="0012317A"/>
    <w:rsid w:val="00124E3D"/>
    <w:rsid w:val="00126010"/>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A7988"/>
    <w:rsid w:val="001B2488"/>
    <w:rsid w:val="001B6799"/>
    <w:rsid w:val="001B7857"/>
    <w:rsid w:val="001C1362"/>
    <w:rsid w:val="001D2E9A"/>
    <w:rsid w:val="001D597F"/>
    <w:rsid w:val="001E3FD4"/>
    <w:rsid w:val="0020241A"/>
    <w:rsid w:val="00203821"/>
    <w:rsid w:val="00211632"/>
    <w:rsid w:val="0021630D"/>
    <w:rsid w:val="00235DE5"/>
    <w:rsid w:val="0024121B"/>
    <w:rsid w:val="00247D2F"/>
    <w:rsid w:val="00256560"/>
    <w:rsid w:val="0027605E"/>
    <w:rsid w:val="00281E00"/>
    <w:rsid w:val="00294A52"/>
    <w:rsid w:val="002B30CE"/>
    <w:rsid w:val="002B575F"/>
    <w:rsid w:val="002B729B"/>
    <w:rsid w:val="002C23B5"/>
    <w:rsid w:val="002C53A2"/>
    <w:rsid w:val="002D0040"/>
    <w:rsid w:val="002D2FA8"/>
    <w:rsid w:val="002E220F"/>
    <w:rsid w:val="00307311"/>
    <w:rsid w:val="0032100F"/>
    <w:rsid w:val="0033402C"/>
    <w:rsid w:val="00340407"/>
    <w:rsid w:val="00340521"/>
    <w:rsid w:val="00340D2C"/>
    <w:rsid w:val="00345C73"/>
    <w:rsid w:val="00354A99"/>
    <w:rsid w:val="00360311"/>
    <w:rsid w:val="00361922"/>
    <w:rsid w:val="0037339B"/>
    <w:rsid w:val="003736EC"/>
    <w:rsid w:val="00386C11"/>
    <w:rsid w:val="00397466"/>
    <w:rsid w:val="003A6148"/>
    <w:rsid w:val="003B0598"/>
    <w:rsid w:val="003C33F6"/>
    <w:rsid w:val="003C3D2E"/>
    <w:rsid w:val="003C43A5"/>
    <w:rsid w:val="003E1C5C"/>
    <w:rsid w:val="003E5BC6"/>
    <w:rsid w:val="003E6650"/>
    <w:rsid w:val="003F5B46"/>
    <w:rsid w:val="00401363"/>
    <w:rsid w:val="00402E47"/>
    <w:rsid w:val="00425015"/>
    <w:rsid w:val="00430994"/>
    <w:rsid w:val="00441B6D"/>
    <w:rsid w:val="00442C36"/>
    <w:rsid w:val="004556EF"/>
    <w:rsid w:val="00462B07"/>
    <w:rsid w:val="00465BD2"/>
    <w:rsid w:val="004715C8"/>
    <w:rsid w:val="00481C31"/>
    <w:rsid w:val="00482FC1"/>
    <w:rsid w:val="00483027"/>
    <w:rsid w:val="004871AA"/>
    <w:rsid w:val="004918D7"/>
    <w:rsid w:val="004926E1"/>
    <w:rsid w:val="00492865"/>
    <w:rsid w:val="004A2FEA"/>
    <w:rsid w:val="004B0AE0"/>
    <w:rsid w:val="004D2DD7"/>
    <w:rsid w:val="004D602A"/>
    <w:rsid w:val="004D75C5"/>
    <w:rsid w:val="004E2186"/>
    <w:rsid w:val="004E66FB"/>
    <w:rsid w:val="004F470A"/>
    <w:rsid w:val="004F4C59"/>
    <w:rsid w:val="00500C8F"/>
    <w:rsid w:val="00501909"/>
    <w:rsid w:val="005076F5"/>
    <w:rsid w:val="00507BBB"/>
    <w:rsid w:val="005128DF"/>
    <w:rsid w:val="0051592A"/>
    <w:rsid w:val="005206FE"/>
    <w:rsid w:val="005257ED"/>
    <w:rsid w:val="005306F8"/>
    <w:rsid w:val="0054023D"/>
    <w:rsid w:val="005426BF"/>
    <w:rsid w:val="005569C0"/>
    <w:rsid w:val="0056213C"/>
    <w:rsid w:val="00580C24"/>
    <w:rsid w:val="005968EF"/>
    <w:rsid w:val="00596C1E"/>
    <w:rsid w:val="005A2E26"/>
    <w:rsid w:val="005A6945"/>
    <w:rsid w:val="005B5D27"/>
    <w:rsid w:val="005B7BCA"/>
    <w:rsid w:val="005C0DAE"/>
    <w:rsid w:val="005C188E"/>
    <w:rsid w:val="005D2349"/>
    <w:rsid w:val="005E1B60"/>
    <w:rsid w:val="005E5507"/>
    <w:rsid w:val="005E607B"/>
    <w:rsid w:val="005F0A8D"/>
    <w:rsid w:val="00601229"/>
    <w:rsid w:val="00603B67"/>
    <w:rsid w:val="006162A2"/>
    <w:rsid w:val="006240DA"/>
    <w:rsid w:val="006272B6"/>
    <w:rsid w:val="0063256E"/>
    <w:rsid w:val="00633F04"/>
    <w:rsid w:val="00635219"/>
    <w:rsid w:val="00635EC0"/>
    <w:rsid w:val="00640B58"/>
    <w:rsid w:val="00640F1A"/>
    <w:rsid w:val="0064664E"/>
    <w:rsid w:val="00651B02"/>
    <w:rsid w:val="00651B19"/>
    <w:rsid w:val="00660A29"/>
    <w:rsid w:val="00695519"/>
    <w:rsid w:val="006A4134"/>
    <w:rsid w:val="006A5DDA"/>
    <w:rsid w:val="006A6701"/>
    <w:rsid w:val="006B21F4"/>
    <w:rsid w:val="006B3753"/>
    <w:rsid w:val="006B7AD6"/>
    <w:rsid w:val="006C50FD"/>
    <w:rsid w:val="006C7A10"/>
    <w:rsid w:val="006D1DD4"/>
    <w:rsid w:val="006D4014"/>
    <w:rsid w:val="006D44C1"/>
    <w:rsid w:val="006E5651"/>
    <w:rsid w:val="006E5B85"/>
    <w:rsid w:val="006F026A"/>
    <w:rsid w:val="0070265B"/>
    <w:rsid w:val="00704813"/>
    <w:rsid w:val="00712531"/>
    <w:rsid w:val="00721FC2"/>
    <w:rsid w:val="0072290D"/>
    <w:rsid w:val="007237AA"/>
    <w:rsid w:val="00723D6D"/>
    <w:rsid w:val="00724537"/>
    <w:rsid w:val="00731724"/>
    <w:rsid w:val="0073474B"/>
    <w:rsid w:val="00735511"/>
    <w:rsid w:val="00737208"/>
    <w:rsid w:val="00744DE6"/>
    <w:rsid w:val="00760609"/>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41FF"/>
    <w:rsid w:val="007E5B3F"/>
    <w:rsid w:val="007F2257"/>
    <w:rsid w:val="007F5656"/>
    <w:rsid w:val="0080091D"/>
    <w:rsid w:val="00804108"/>
    <w:rsid w:val="00804A1B"/>
    <w:rsid w:val="00804FC4"/>
    <w:rsid w:val="00816367"/>
    <w:rsid w:val="00816A0B"/>
    <w:rsid w:val="00824B22"/>
    <w:rsid w:val="00830C53"/>
    <w:rsid w:val="00837FAA"/>
    <w:rsid w:val="00841F77"/>
    <w:rsid w:val="0085276D"/>
    <w:rsid w:val="00863390"/>
    <w:rsid w:val="0086385C"/>
    <w:rsid w:val="00866235"/>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58B1"/>
    <w:rsid w:val="00927A9F"/>
    <w:rsid w:val="0093276A"/>
    <w:rsid w:val="009335CC"/>
    <w:rsid w:val="00933ADE"/>
    <w:rsid w:val="00935A55"/>
    <w:rsid w:val="00941CEB"/>
    <w:rsid w:val="00941D70"/>
    <w:rsid w:val="0094720F"/>
    <w:rsid w:val="00953B28"/>
    <w:rsid w:val="00954322"/>
    <w:rsid w:val="00957CAA"/>
    <w:rsid w:val="009621C0"/>
    <w:rsid w:val="0096778A"/>
    <w:rsid w:val="00976466"/>
    <w:rsid w:val="00977656"/>
    <w:rsid w:val="009846A7"/>
    <w:rsid w:val="0098794D"/>
    <w:rsid w:val="0099497B"/>
    <w:rsid w:val="009A43BA"/>
    <w:rsid w:val="009B0D05"/>
    <w:rsid w:val="009B4CA6"/>
    <w:rsid w:val="009B79F8"/>
    <w:rsid w:val="009C420F"/>
    <w:rsid w:val="009C66D5"/>
    <w:rsid w:val="009D13FD"/>
    <w:rsid w:val="009D266A"/>
    <w:rsid w:val="009E1EE9"/>
    <w:rsid w:val="009F3E4C"/>
    <w:rsid w:val="009F7E07"/>
    <w:rsid w:val="00A01522"/>
    <w:rsid w:val="00A10A11"/>
    <w:rsid w:val="00A13C6A"/>
    <w:rsid w:val="00A16430"/>
    <w:rsid w:val="00A17B09"/>
    <w:rsid w:val="00A3060C"/>
    <w:rsid w:val="00A457C6"/>
    <w:rsid w:val="00A46AD0"/>
    <w:rsid w:val="00A47063"/>
    <w:rsid w:val="00A473A8"/>
    <w:rsid w:val="00A513F0"/>
    <w:rsid w:val="00A53461"/>
    <w:rsid w:val="00A61AC8"/>
    <w:rsid w:val="00A6366F"/>
    <w:rsid w:val="00A65D4C"/>
    <w:rsid w:val="00A70512"/>
    <w:rsid w:val="00A96D52"/>
    <w:rsid w:val="00AA1F60"/>
    <w:rsid w:val="00AA40D7"/>
    <w:rsid w:val="00AA609B"/>
    <w:rsid w:val="00AB5F7D"/>
    <w:rsid w:val="00AC0C50"/>
    <w:rsid w:val="00AC6FE2"/>
    <w:rsid w:val="00AE5DAE"/>
    <w:rsid w:val="00AE626E"/>
    <w:rsid w:val="00AF3925"/>
    <w:rsid w:val="00B02C43"/>
    <w:rsid w:val="00B1296B"/>
    <w:rsid w:val="00B2292F"/>
    <w:rsid w:val="00B43169"/>
    <w:rsid w:val="00B501A8"/>
    <w:rsid w:val="00B55AE4"/>
    <w:rsid w:val="00B62A7C"/>
    <w:rsid w:val="00B70B46"/>
    <w:rsid w:val="00B739B0"/>
    <w:rsid w:val="00B814A3"/>
    <w:rsid w:val="00B94E87"/>
    <w:rsid w:val="00B96F38"/>
    <w:rsid w:val="00BC716B"/>
    <w:rsid w:val="00BD0E74"/>
    <w:rsid w:val="00BD5F8C"/>
    <w:rsid w:val="00BE29D8"/>
    <w:rsid w:val="00BE29DD"/>
    <w:rsid w:val="00C066AF"/>
    <w:rsid w:val="00C10E06"/>
    <w:rsid w:val="00C145B8"/>
    <w:rsid w:val="00C17850"/>
    <w:rsid w:val="00C2438F"/>
    <w:rsid w:val="00C31AF0"/>
    <w:rsid w:val="00C32A7E"/>
    <w:rsid w:val="00C34F28"/>
    <w:rsid w:val="00C368DF"/>
    <w:rsid w:val="00C442C5"/>
    <w:rsid w:val="00C57B5C"/>
    <w:rsid w:val="00C57C7C"/>
    <w:rsid w:val="00C61049"/>
    <w:rsid w:val="00C63FFE"/>
    <w:rsid w:val="00C91EB6"/>
    <w:rsid w:val="00C9761B"/>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3E09"/>
    <w:rsid w:val="00D552B9"/>
    <w:rsid w:val="00D725AA"/>
    <w:rsid w:val="00D735B2"/>
    <w:rsid w:val="00D74021"/>
    <w:rsid w:val="00D76D01"/>
    <w:rsid w:val="00D922A9"/>
    <w:rsid w:val="00D9394A"/>
    <w:rsid w:val="00DB0CBB"/>
    <w:rsid w:val="00DB67CC"/>
    <w:rsid w:val="00DB74B5"/>
    <w:rsid w:val="00DC3783"/>
    <w:rsid w:val="00DE1070"/>
    <w:rsid w:val="00E00219"/>
    <w:rsid w:val="00E0316B"/>
    <w:rsid w:val="00E16C30"/>
    <w:rsid w:val="00E228BD"/>
    <w:rsid w:val="00E25E10"/>
    <w:rsid w:val="00E40133"/>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43BAC"/>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473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8602923">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0778120">
      <w:bodyDiv w:val="1"/>
      <w:marLeft w:val="0"/>
      <w:marRight w:val="0"/>
      <w:marTop w:val="0"/>
      <w:marBottom w:val="0"/>
      <w:divBdr>
        <w:top w:val="none" w:sz="0" w:space="0" w:color="auto"/>
        <w:left w:val="none" w:sz="0" w:space="0" w:color="auto"/>
        <w:bottom w:val="none" w:sz="0" w:space="0" w:color="auto"/>
        <w:right w:val="none" w:sz="0" w:space="0" w:color="auto"/>
      </w:divBdr>
    </w:div>
    <w:div w:id="165874395">
      <w:bodyDiv w:val="1"/>
      <w:marLeft w:val="0"/>
      <w:marRight w:val="0"/>
      <w:marTop w:val="0"/>
      <w:marBottom w:val="0"/>
      <w:divBdr>
        <w:top w:val="none" w:sz="0" w:space="0" w:color="auto"/>
        <w:left w:val="none" w:sz="0" w:space="0" w:color="auto"/>
        <w:bottom w:val="none" w:sz="0" w:space="0" w:color="auto"/>
        <w:right w:val="none" w:sz="0" w:space="0" w:color="auto"/>
      </w:divBdr>
    </w:div>
    <w:div w:id="21091949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979703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9924043">
      <w:bodyDiv w:val="1"/>
      <w:marLeft w:val="0"/>
      <w:marRight w:val="0"/>
      <w:marTop w:val="0"/>
      <w:marBottom w:val="0"/>
      <w:divBdr>
        <w:top w:val="none" w:sz="0" w:space="0" w:color="auto"/>
        <w:left w:val="none" w:sz="0" w:space="0" w:color="auto"/>
        <w:bottom w:val="none" w:sz="0" w:space="0" w:color="auto"/>
        <w:right w:val="none" w:sz="0" w:space="0" w:color="auto"/>
      </w:divBdr>
    </w:div>
    <w:div w:id="290012891">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05345720">
      <w:bodyDiv w:val="1"/>
      <w:marLeft w:val="0"/>
      <w:marRight w:val="0"/>
      <w:marTop w:val="0"/>
      <w:marBottom w:val="0"/>
      <w:divBdr>
        <w:top w:val="none" w:sz="0" w:space="0" w:color="auto"/>
        <w:left w:val="none" w:sz="0" w:space="0" w:color="auto"/>
        <w:bottom w:val="none" w:sz="0" w:space="0" w:color="auto"/>
        <w:right w:val="none" w:sz="0" w:space="0" w:color="auto"/>
      </w:divBdr>
    </w:div>
    <w:div w:id="410543756">
      <w:bodyDiv w:val="1"/>
      <w:marLeft w:val="0"/>
      <w:marRight w:val="0"/>
      <w:marTop w:val="0"/>
      <w:marBottom w:val="0"/>
      <w:divBdr>
        <w:top w:val="none" w:sz="0" w:space="0" w:color="auto"/>
        <w:left w:val="none" w:sz="0" w:space="0" w:color="auto"/>
        <w:bottom w:val="none" w:sz="0" w:space="0" w:color="auto"/>
        <w:right w:val="none" w:sz="0" w:space="0" w:color="auto"/>
      </w:divBdr>
    </w:div>
    <w:div w:id="46624636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8355498">
      <w:bodyDiv w:val="1"/>
      <w:marLeft w:val="0"/>
      <w:marRight w:val="0"/>
      <w:marTop w:val="0"/>
      <w:marBottom w:val="0"/>
      <w:divBdr>
        <w:top w:val="none" w:sz="0" w:space="0" w:color="auto"/>
        <w:left w:val="none" w:sz="0" w:space="0" w:color="auto"/>
        <w:bottom w:val="none" w:sz="0" w:space="0" w:color="auto"/>
        <w:right w:val="none" w:sz="0" w:space="0" w:color="auto"/>
      </w:divBdr>
    </w:div>
    <w:div w:id="538863064">
      <w:bodyDiv w:val="1"/>
      <w:marLeft w:val="0"/>
      <w:marRight w:val="0"/>
      <w:marTop w:val="0"/>
      <w:marBottom w:val="0"/>
      <w:divBdr>
        <w:top w:val="none" w:sz="0" w:space="0" w:color="auto"/>
        <w:left w:val="none" w:sz="0" w:space="0" w:color="auto"/>
        <w:bottom w:val="none" w:sz="0" w:space="0" w:color="auto"/>
        <w:right w:val="none" w:sz="0" w:space="0" w:color="auto"/>
      </w:divBdr>
    </w:div>
    <w:div w:id="556092383">
      <w:bodyDiv w:val="1"/>
      <w:marLeft w:val="0"/>
      <w:marRight w:val="0"/>
      <w:marTop w:val="0"/>
      <w:marBottom w:val="0"/>
      <w:divBdr>
        <w:top w:val="none" w:sz="0" w:space="0" w:color="auto"/>
        <w:left w:val="none" w:sz="0" w:space="0" w:color="auto"/>
        <w:bottom w:val="none" w:sz="0" w:space="0" w:color="auto"/>
        <w:right w:val="none" w:sz="0" w:space="0" w:color="auto"/>
      </w:divBdr>
    </w:div>
    <w:div w:id="559823238">
      <w:bodyDiv w:val="1"/>
      <w:marLeft w:val="0"/>
      <w:marRight w:val="0"/>
      <w:marTop w:val="0"/>
      <w:marBottom w:val="0"/>
      <w:divBdr>
        <w:top w:val="none" w:sz="0" w:space="0" w:color="auto"/>
        <w:left w:val="none" w:sz="0" w:space="0" w:color="auto"/>
        <w:bottom w:val="none" w:sz="0" w:space="0" w:color="auto"/>
        <w:right w:val="none" w:sz="0" w:space="0" w:color="auto"/>
      </w:divBdr>
    </w:div>
    <w:div w:id="58615555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56035813">
      <w:bodyDiv w:val="1"/>
      <w:marLeft w:val="0"/>
      <w:marRight w:val="0"/>
      <w:marTop w:val="0"/>
      <w:marBottom w:val="0"/>
      <w:divBdr>
        <w:top w:val="none" w:sz="0" w:space="0" w:color="auto"/>
        <w:left w:val="none" w:sz="0" w:space="0" w:color="auto"/>
        <w:bottom w:val="none" w:sz="0" w:space="0" w:color="auto"/>
        <w:right w:val="none" w:sz="0" w:space="0" w:color="auto"/>
      </w:divBdr>
    </w:div>
    <w:div w:id="681980707">
      <w:bodyDiv w:val="1"/>
      <w:marLeft w:val="0"/>
      <w:marRight w:val="0"/>
      <w:marTop w:val="0"/>
      <w:marBottom w:val="0"/>
      <w:divBdr>
        <w:top w:val="none" w:sz="0" w:space="0" w:color="auto"/>
        <w:left w:val="none" w:sz="0" w:space="0" w:color="auto"/>
        <w:bottom w:val="none" w:sz="0" w:space="0" w:color="auto"/>
        <w:right w:val="none" w:sz="0" w:space="0" w:color="auto"/>
      </w:divBdr>
    </w:div>
    <w:div w:id="736518118">
      <w:bodyDiv w:val="1"/>
      <w:marLeft w:val="0"/>
      <w:marRight w:val="0"/>
      <w:marTop w:val="0"/>
      <w:marBottom w:val="0"/>
      <w:divBdr>
        <w:top w:val="none" w:sz="0" w:space="0" w:color="auto"/>
        <w:left w:val="none" w:sz="0" w:space="0" w:color="auto"/>
        <w:bottom w:val="none" w:sz="0" w:space="0" w:color="auto"/>
        <w:right w:val="none" w:sz="0" w:space="0" w:color="auto"/>
      </w:divBdr>
    </w:div>
    <w:div w:id="738208414">
      <w:bodyDiv w:val="1"/>
      <w:marLeft w:val="0"/>
      <w:marRight w:val="0"/>
      <w:marTop w:val="0"/>
      <w:marBottom w:val="0"/>
      <w:divBdr>
        <w:top w:val="none" w:sz="0" w:space="0" w:color="auto"/>
        <w:left w:val="none" w:sz="0" w:space="0" w:color="auto"/>
        <w:bottom w:val="none" w:sz="0" w:space="0" w:color="auto"/>
        <w:right w:val="none" w:sz="0" w:space="0" w:color="auto"/>
      </w:divBdr>
    </w:div>
    <w:div w:id="811555365">
      <w:bodyDiv w:val="1"/>
      <w:marLeft w:val="0"/>
      <w:marRight w:val="0"/>
      <w:marTop w:val="0"/>
      <w:marBottom w:val="0"/>
      <w:divBdr>
        <w:top w:val="none" w:sz="0" w:space="0" w:color="auto"/>
        <w:left w:val="none" w:sz="0" w:space="0" w:color="auto"/>
        <w:bottom w:val="none" w:sz="0" w:space="0" w:color="auto"/>
        <w:right w:val="none" w:sz="0" w:space="0" w:color="auto"/>
      </w:divBdr>
    </w:div>
    <w:div w:id="842352260">
      <w:bodyDiv w:val="1"/>
      <w:marLeft w:val="0"/>
      <w:marRight w:val="0"/>
      <w:marTop w:val="0"/>
      <w:marBottom w:val="0"/>
      <w:divBdr>
        <w:top w:val="none" w:sz="0" w:space="0" w:color="auto"/>
        <w:left w:val="none" w:sz="0" w:space="0" w:color="auto"/>
        <w:bottom w:val="none" w:sz="0" w:space="0" w:color="auto"/>
        <w:right w:val="none" w:sz="0" w:space="0" w:color="auto"/>
      </w:divBdr>
    </w:div>
    <w:div w:id="869146686">
      <w:bodyDiv w:val="1"/>
      <w:marLeft w:val="0"/>
      <w:marRight w:val="0"/>
      <w:marTop w:val="0"/>
      <w:marBottom w:val="0"/>
      <w:divBdr>
        <w:top w:val="none" w:sz="0" w:space="0" w:color="auto"/>
        <w:left w:val="none" w:sz="0" w:space="0" w:color="auto"/>
        <w:bottom w:val="none" w:sz="0" w:space="0" w:color="auto"/>
        <w:right w:val="none" w:sz="0" w:space="0" w:color="auto"/>
      </w:divBdr>
    </w:div>
    <w:div w:id="933242482">
      <w:bodyDiv w:val="1"/>
      <w:marLeft w:val="0"/>
      <w:marRight w:val="0"/>
      <w:marTop w:val="0"/>
      <w:marBottom w:val="0"/>
      <w:divBdr>
        <w:top w:val="none" w:sz="0" w:space="0" w:color="auto"/>
        <w:left w:val="none" w:sz="0" w:space="0" w:color="auto"/>
        <w:bottom w:val="none" w:sz="0" w:space="0" w:color="auto"/>
        <w:right w:val="none" w:sz="0" w:space="0" w:color="auto"/>
      </w:divBdr>
    </w:div>
    <w:div w:id="987441674">
      <w:bodyDiv w:val="1"/>
      <w:marLeft w:val="0"/>
      <w:marRight w:val="0"/>
      <w:marTop w:val="0"/>
      <w:marBottom w:val="0"/>
      <w:divBdr>
        <w:top w:val="none" w:sz="0" w:space="0" w:color="auto"/>
        <w:left w:val="none" w:sz="0" w:space="0" w:color="auto"/>
        <w:bottom w:val="none" w:sz="0" w:space="0" w:color="auto"/>
        <w:right w:val="none" w:sz="0" w:space="0" w:color="auto"/>
      </w:divBdr>
    </w:div>
    <w:div w:id="1000081903">
      <w:bodyDiv w:val="1"/>
      <w:marLeft w:val="0"/>
      <w:marRight w:val="0"/>
      <w:marTop w:val="0"/>
      <w:marBottom w:val="0"/>
      <w:divBdr>
        <w:top w:val="none" w:sz="0" w:space="0" w:color="auto"/>
        <w:left w:val="none" w:sz="0" w:space="0" w:color="auto"/>
        <w:bottom w:val="none" w:sz="0" w:space="0" w:color="auto"/>
        <w:right w:val="none" w:sz="0" w:space="0" w:color="auto"/>
      </w:divBdr>
    </w:div>
    <w:div w:id="1000740037">
      <w:bodyDiv w:val="1"/>
      <w:marLeft w:val="0"/>
      <w:marRight w:val="0"/>
      <w:marTop w:val="0"/>
      <w:marBottom w:val="0"/>
      <w:divBdr>
        <w:top w:val="none" w:sz="0" w:space="0" w:color="auto"/>
        <w:left w:val="none" w:sz="0" w:space="0" w:color="auto"/>
        <w:bottom w:val="none" w:sz="0" w:space="0" w:color="auto"/>
        <w:right w:val="none" w:sz="0" w:space="0" w:color="auto"/>
      </w:divBdr>
    </w:div>
    <w:div w:id="1027222243">
      <w:bodyDiv w:val="1"/>
      <w:marLeft w:val="0"/>
      <w:marRight w:val="0"/>
      <w:marTop w:val="0"/>
      <w:marBottom w:val="0"/>
      <w:divBdr>
        <w:top w:val="none" w:sz="0" w:space="0" w:color="auto"/>
        <w:left w:val="none" w:sz="0" w:space="0" w:color="auto"/>
        <w:bottom w:val="none" w:sz="0" w:space="0" w:color="auto"/>
        <w:right w:val="none" w:sz="0" w:space="0" w:color="auto"/>
      </w:divBdr>
    </w:div>
    <w:div w:id="1036394650">
      <w:bodyDiv w:val="1"/>
      <w:marLeft w:val="0"/>
      <w:marRight w:val="0"/>
      <w:marTop w:val="0"/>
      <w:marBottom w:val="0"/>
      <w:divBdr>
        <w:top w:val="none" w:sz="0" w:space="0" w:color="auto"/>
        <w:left w:val="none" w:sz="0" w:space="0" w:color="auto"/>
        <w:bottom w:val="none" w:sz="0" w:space="0" w:color="auto"/>
        <w:right w:val="none" w:sz="0" w:space="0" w:color="auto"/>
      </w:divBdr>
    </w:div>
    <w:div w:id="1117871143">
      <w:bodyDiv w:val="1"/>
      <w:marLeft w:val="0"/>
      <w:marRight w:val="0"/>
      <w:marTop w:val="0"/>
      <w:marBottom w:val="0"/>
      <w:divBdr>
        <w:top w:val="none" w:sz="0" w:space="0" w:color="auto"/>
        <w:left w:val="none" w:sz="0" w:space="0" w:color="auto"/>
        <w:bottom w:val="none" w:sz="0" w:space="0" w:color="auto"/>
        <w:right w:val="none" w:sz="0" w:space="0" w:color="auto"/>
      </w:divBdr>
    </w:div>
    <w:div w:id="113294507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57328783">
      <w:bodyDiv w:val="1"/>
      <w:marLeft w:val="0"/>
      <w:marRight w:val="0"/>
      <w:marTop w:val="0"/>
      <w:marBottom w:val="0"/>
      <w:divBdr>
        <w:top w:val="none" w:sz="0" w:space="0" w:color="auto"/>
        <w:left w:val="none" w:sz="0" w:space="0" w:color="auto"/>
        <w:bottom w:val="none" w:sz="0" w:space="0" w:color="auto"/>
        <w:right w:val="none" w:sz="0" w:space="0" w:color="auto"/>
      </w:divBdr>
    </w:div>
    <w:div w:id="130793181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70979215">
      <w:bodyDiv w:val="1"/>
      <w:marLeft w:val="0"/>
      <w:marRight w:val="0"/>
      <w:marTop w:val="0"/>
      <w:marBottom w:val="0"/>
      <w:divBdr>
        <w:top w:val="none" w:sz="0" w:space="0" w:color="auto"/>
        <w:left w:val="none" w:sz="0" w:space="0" w:color="auto"/>
        <w:bottom w:val="none" w:sz="0" w:space="0" w:color="auto"/>
        <w:right w:val="none" w:sz="0" w:space="0" w:color="auto"/>
      </w:divBdr>
    </w:div>
    <w:div w:id="1474788773">
      <w:bodyDiv w:val="1"/>
      <w:marLeft w:val="0"/>
      <w:marRight w:val="0"/>
      <w:marTop w:val="0"/>
      <w:marBottom w:val="0"/>
      <w:divBdr>
        <w:top w:val="none" w:sz="0" w:space="0" w:color="auto"/>
        <w:left w:val="none" w:sz="0" w:space="0" w:color="auto"/>
        <w:bottom w:val="none" w:sz="0" w:space="0" w:color="auto"/>
        <w:right w:val="none" w:sz="0" w:space="0" w:color="auto"/>
      </w:divBdr>
    </w:div>
    <w:div w:id="149810702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0722053">
      <w:bodyDiv w:val="1"/>
      <w:marLeft w:val="0"/>
      <w:marRight w:val="0"/>
      <w:marTop w:val="0"/>
      <w:marBottom w:val="0"/>
      <w:divBdr>
        <w:top w:val="none" w:sz="0" w:space="0" w:color="auto"/>
        <w:left w:val="none" w:sz="0" w:space="0" w:color="auto"/>
        <w:bottom w:val="none" w:sz="0" w:space="0" w:color="auto"/>
        <w:right w:val="none" w:sz="0" w:space="0" w:color="auto"/>
      </w:divBdr>
    </w:div>
    <w:div w:id="1697149197">
      <w:bodyDiv w:val="1"/>
      <w:marLeft w:val="0"/>
      <w:marRight w:val="0"/>
      <w:marTop w:val="0"/>
      <w:marBottom w:val="0"/>
      <w:divBdr>
        <w:top w:val="none" w:sz="0" w:space="0" w:color="auto"/>
        <w:left w:val="none" w:sz="0" w:space="0" w:color="auto"/>
        <w:bottom w:val="none" w:sz="0" w:space="0" w:color="auto"/>
        <w:right w:val="none" w:sz="0" w:space="0" w:color="auto"/>
      </w:divBdr>
    </w:div>
    <w:div w:id="1773671021">
      <w:bodyDiv w:val="1"/>
      <w:marLeft w:val="0"/>
      <w:marRight w:val="0"/>
      <w:marTop w:val="0"/>
      <w:marBottom w:val="0"/>
      <w:divBdr>
        <w:top w:val="none" w:sz="0" w:space="0" w:color="auto"/>
        <w:left w:val="none" w:sz="0" w:space="0" w:color="auto"/>
        <w:bottom w:val="none" w:sz="0" w:space="0" w:color="auto"/>
        <w:right w:val="none" w:sz="0" w:space="0" w:color="auto"/>
      </w:divBdr>
    </w:div>
    <w:div w:id="177682347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7839525">
      <w:bodyDiv w:val="1"/>
      <w:marLeft w:val="0"/>
      <w:marRight w:val="0"/>
      <w:marTop w:val="0"/>
      <w:marBottom w:val="0"/>
      <w:divBdr>
        <w:top w:val="none" w:sz="0" w:space="0" w:color="auto"/>
        <w:left w:val="none" w:sz="0" w:space="0" w:color="auto"/>
        <w:bottom w:val="none" w:sz="0" w:space="0" w:color="auto"/>
        <w:right w:val="none" w:sz="0" w:space="0" w:color="auto"/>
      </w:divBdr>
    </w:div>
    <w:div w:id="183988038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6837386">
      <w:bodyDiv w:val="1"/>
      <w:marLeft w:val="0"/>
      <w:marRight w:val="0"/>
      <w:marTop w:val="0"/>
      <w:marBottom w:val="0"/>
      <w:divBdr>
        <w:top w:val="none" w:sz="0" w:space="0" w:color="auto"/>
        <w:left w:val="none" w:sz="0" w:space="0" w:color="auto"/>
        <w:bottom w:val="none" w:sz="0" w:space="0" w:color="auto"/>
        <w:right w:val="none" w:sz="0" w:space="0" w:color="auto"/>
      </w:divBdr>
    </w:div>
    <w:div w:id="195271154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7153948">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95591604">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25/21/319/&#1575;&#1604;&#1576;&#1582;&#1578;&#1585;&#1740;" TargetMode="External"/><Relationship Id="rId13" Type="http://schemas.openxmlformats.org/officeDocument/2006/relationships/hyperlink" Target="http://lib.eshia.ir/10083/7/464/&#1608;&#1575;&#1604;&#1585;&#1580;&#1605;" TargetMode="External"/><Relationship Id="rId3" Type="http://schemas.openxmlformats.org/officeDocument/2006/relationships/hyperlink" Target="http://lib.eshia.ir/15319/3/346/%D8%A8%D8%A7%D9%84%D8%A7%D8%B9%D8%AA%D8%AF%D8%A7%D8%AF" TargetMode="External"/><Relationship Id="rId7" Type="http://schemas.openxmlformats.org/officeDocument/2006/relationships/hyperlink" Target="http://lib.eshia.ir/11025/21/319/&#1575;&#1576;&#1585;&#1575;&#1607;&#1740;&#1605;" TargetMode="External"/><Relationship Id="rId12" Type="http://schemas.openxmlformats.org/officeDocument/2006/relationships/hyperlink" Target="http://lib.eshia.ir/11005/6/109/&#1575;&#1608;&#1604;&#1580;&#1607;" TargetMode="External"/><Relationship Id="rId2" Type="http://schemas.openxmlformats.org/officeDocument/2006/relationships/hyperlink" Target="http://lib.eshia.ir/86915/2/324/%D8%AA%D8%AE%D8%AA%D8%B5" TargetMode="External"/><Relationship Id="rId1" Type="http://schemas.openxmlformats.org/officeDocument/2006/relationships/hyperlink" Target="http://lib.eshia.ir/10081/1/58/11" TargetMode="External"/><Relationship Id="rId6" Type="http://schemas.openxmlformats.org/officeDocument/2006/relationships/hyperlink" Target="http://lib.eshia.ir/10081/1/58/&#1575;&#1591;&#1604;&#1575;&#1602;" TargetMode="External"/><Relationship Id="rId11" Type="http://schemas.openxmlformats.org/officeDocument/2006/relationships/hyperlink" Target="http://lib.eshia.ir/11025/21/319/&#1581;&#1575;&#1590;&#1585;" TargetMode="External"/><Relationship Id="rId5" Type="http://schemas.openxmlformats.org/officeDocument/2006/relationships/hyperlink" Target="http://lib.eshia.ir/71843/10/465/%D9%81%D8%A7%D9%86%D9%87" TargetMode="External"/><Relationship Id="rId15" Type="http://schemas.openxmlformats.org/officeDocument/2006/relationships/hyperlink" Target="http://lib.eshia.ir/86717/4/582/371" TargetMode="External"/><Relationship Id="rId10" Type="http://schemas.openxmlformats.org/officeDocument/2006/relationships/hyperlink" Target="http://lib.eshia.ir/11025/22/175/&#1575;&#1604;&#1593;&#1604;&#1575;" TargetMode="External"/><Relationship Id="rId4" Type="http://schemas.openxmlformats.org/officeDocument/2006/relationships/hyperlink" Target="http://lib.eshia.ir/86913/3/172/566" TargetMode="External"/><Relationship Id="rId9" Type="http://schemas.openxmlformats.org/officeDocument/2006/relationships/hyperlink" Target="http://lib.eshia.ir/11025/21/320/&#1575;&#1604;&#1576;&#1582;&#1578;&#1585;&#1740;" TargetMode="External"/><Relationship Id="rId14" Type="http://schemas.openxmlformats.org/officeDocument/2006/relationships/hyperlink" Target="http://lib.eshia.ir/10081/1/58/&#1592;&#1575;&#1607;&#1585;&#1607;&#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9C8A6-7941-46B1-B02D-D1483F5F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1327</Words>
  <Characters>7570</Characters>
  <Application>Microsoft Office Word</Application>
  <DocSecurity>0</DocSecurity>
  <Lines>63</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8880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2020-06-06T12:15:00Z</dcterms:created>
  <dcterms:modified xsi:type="dcterms:W3CDTF">2020-06-07T11:47:00Z</dcterms:modified>
  <cp:contentStatus>ویرایش 2.5</cp:contentStatus>
  <cp:version>2.7</cp:version>
</cp:coreProperties>
</file>