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AC0" w:rsidRDefault="00746AC0" w:rsidP="00746AC0">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746AC0" w:rsidRPr="00825F78" w:rsidRDefault="00746AC0" w:rsidP="00746AC0">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7</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30</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B30409">
        <w:rPr>
          <w:rFonts w:ascii="IRANSans" w:hAnsi="IRANSans" w:cs="IRANSans"/>
          <w:b/>
          <w:bCs/>
          <w:color w:val="0101FF"/>
          <w:sz w:val="24"/>
          <w:szCs w:val="24"/>
          <w:shd w:val="clear" w:color="auto" w:fill="FFFFFF"/>
          <w:rtl/>
        </w:rPr>
        <w:t xml:space="preserve">مراد از </w:t>
      </w:r>
      <w:r w:rsidRPr="00B30409">
        <w:rPr>
          <w:rFonts w:ascii="IRANSans" w:hAnsi="IRANSans" w:cs="IRANSans" w:hint="cs"/>
          <w:b/>
          <w:bCs/>
          <w:color w:val="0101FF"/>
          <w:sz w:val="24"/>
          <w:szCs w:val="24"/>
          <w:shd w:val="clear" w:color="auto" w:fill="FFFFFF"/>
          <w:rtl/>
        </w:rPr>
        <w:t xml:space="preserve">ثلاثة </w:t>
      </w:r>
      <w:r w:rsidRPr="00B30409">
        <w:rPr>
          <w:rFonts w:ascii="IRANSans" w:hAnsi="IRANSans" w:cs="IRANSans"/>
          <w:b/>
          <w:bCs/>
          <w:color w:val="0101FF"/>
          <w:sz w:val="24"/>
          <w:szCs w:val="24"/>
          <w:shd w:val="clear" w:color="auto" w:fill="FFFFFF"/>
          <w:rtl/>
        </w:rPr>
        <w:t>اشهر</w:t>
      </w:r>
      <w:r w:rsidRPr="00B30409">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6B1EAF">
        <w:rPr>
          <w:rStyle w:val="Emphasis"/>
          <w:rFonts w:hint="eastAsia"/>
          <w:b/>
          <w:bCs w:val="0"/>
          <w:rtl/>
        </w:rPr>
        <w:t>‌</w:t>
      </w:r>
      <w:r w:rsidR="006B1EAF">
        <w:rPr>
          <w:rStyle w:val="Emphasis"/>
          <w:rFonts w:hint="cs"/>
          <w:b/>
          <w:bCs w:val="0"/>
          <w:rtl/>
        </w:rPr>
        <w:t>ی</w:t>
      </w:r>
      <w:r w:rsidRPr="009C66D5">
        <w:rPr>
          <w:rStyle w:val="Emphasis"/>
          <w:rFonts w:hint="cs"/>
          <w:b/>
          <w:bCs w:val="0"/>
          <w:rtl/>
        </w:rPr>
        <w:t xml:space="preserve"> مباحث گذشته:</w:t>
      </w:r>
    </w:p>
    <w:p w:rsidR="00247D2F" w:rsidRDefault="00866CC0" w:rsidP="00C26CC3">
      <w:pPr>
        <w:pBdr>
          <w:bottom w:val="double" w:sz="6" w:space="1" w:color="auto"/>
        </w:pBdr>
        <w:jc w:val="both"/>
        <w:rPr>
          <w:rtl/>
        </w:rPr>
      </w:pPr>
      <w:r>
        <w:rPr>
          <w:rFonts w:hint="cs"/>
          <w:rtl/>
        </w:rPr>
        <w:t>بحث در مساله</w:t>
      </w:r>
      <w:r>
        <w:rPr>
          <w:rFonts w:hint="eastAsia"/>
          <w:rtl/>
        </w:rPr>
        <w:t>‌</w:t>
      </w:r>
      <w:r>
        <w:rPr>
          <w:rFonts w:hint="cs"/>
          <w:rtl/>
        </w:rPr>
        <w:t>ی دهم تکمله</w:t>
      </w:r>
      <w:r>
        <w:rPr>
          <w:rFonts w:hint="eastAsia"/>
          <w:rtl/>
        </w:rPr>
        <w:t>‌</w:t>
      </w:r>
      <w:r>
        <w:rPr>
          <w:rFonts w:hint="cs"/>
          <w:rtl/>
        </w:rPr>
        <w:t>ی عروه و مراد از «ثلاثة اشهر» و نحوه</w:t>
      </w:r>
      <w:r>
        <w:rPr>
          <w:rFonts w:hint="eastAsia"/>
          <w:rtl/>
        </w:rPr>
        <w:t>‌</w:t>
      </w:r>
      <w:r>
        <w:rPr>
          <w:rFonts w:hint="cs"/>
          <w:rtl/>
        </w:rPr>
        <w:t>ی محاسبه</w:t>
      </w:r>
      <w:r>
        <w:rPr>
          <w:rFonts w:hint="eastAsia"/>
          <w:rtl/>
        </w:rPr>
        <w:t>‌</w:t>
      </w:r>
      <w:r>
        <w:rPr>
          <w:rFonts w:hint="cs"/>
          <w:rtl/>
        </w:rPr>
        <w:t>ی آن در زمانی که طلاق وسط ماه واقع شود، بود.</w:t>
      </w:r>
      <w:r w:rsidR="00C26CC3">
        <w:rPr>
          <w:rFonts w:hint="cs"/>
          <w:rtl/>
        </w:rPr>
        <w:t xml:space="preserve"> این بحث یک بحث عامی است که در عده</w:t>
      </w:r>
      <w:r w:rsidR="00C26CC3">
        <w:rPr>
          <w:rFonts w:hint="eastAsia"/>
          <w:rtl/>
        </w:rPr>
        <w:t>‌</w:t>
      </w:r>
      <w:r w:rsidR="00C26CC3">
        <w:rPr>
          <w:rFonts w:hint="cs"/>
          <w:rtl/>
        </w:rPr>
        <w:t>ی وفات و هر جا که حکمی دائر مدار «اشهر» باشد، تطبیق می شود.</w:t>
      </w:r>
    </w:p>
    <w:p w:rsidR="00866CC0" w:rsidRPr="003A6148" w:rsidRDefault="00866CC0" w:rsidP="00866CC0">
      <w:pPr>
        <w:pBdr>
          <w:bottom w:val="double" w:sz="6" w:space="1" w:color="auto"/>
        </w:pBdr>
        <w:jc w:val="both"/>
      </w:pPr>
    </w:p>
    <w:p w:rsidR="008F5B4D" w:rsidRDefault="008F5B4D" w:rsidP="006B1EAF">
      <w:pPr>
        <w:jc w:val="both"/>
      </w:pPr>
    </w:p>
    <w:p w:rsidR="003E6650" w:rsidRPr="001A27D7" w:rsidRDefault="00EB4914" w:rsidP="00EB4914">
      <w:pPr>
        <w:pStyle w:val="Heading1"/>
        <w:rPr>
          <w:rtl/>
        </w:rPr>
      </w:pPr>
      <w:bookmarkStart w:id="1" w:name="_Toc38144768"/>
      <w:r>
        <w:rPr>
          <w:rFonts w:hint="cs"/>
          <w:rtl/>
        </w:rPr>
        <w:t>اقامت سی روزه</w:t>
      </w:r>
      <w:r>
        <w:rPr>
          <w:rFonts w:hint="eastAsia"/>
          <w:rtl/>
        </w:rPr>
        <w:t>‌</w:t>
      </w:r>
      <w:r>
        <w:rPr>
          <w:rFonts w:hint="cs"/>
          <w:rtl/>
        </w:rPr>
        <w:t>ی مسافر با تردید</w:t>
      </w:r>
      <w:bookmarkEnd w:id="1"/>
    </w:p>
    <w:p w:rsidR="001A1EA5" w:rsidRDefault="00EB4914" w:rsidP="006B1EAF">
      <w:pPr>
        <w:jc w:val="both"/>
        <w:rPr>
          <w:rtl/>
        </w:rPr>
      </w:pPr>
      <w:r>
        <w:rPr>
          <w:rFonts w:hint="cs"/>
          <w:rtl/>
        </w:rPr>
        <w:t>در بعضی روایات آمده است شخصی که قصد اقامت ده روز ندارد و با تردید در جایی مانده است تا یک ماه باید نمازش را شکسته بخواند و در یک روایت آمده است که سی روز باید نمازش را شکسته بخواند. با توجه به تناسبات حکم و موضوع «شهر» خصوصیت ندارد و ملاک سی روز می باشد و از باب حمل مجمل بر مبین مراد از «شهر» در این روایات سی روز می باشد.</w:t>
      </w:r>
    </w:p>
    <w:p w:rsidR="006B1EAF" w:rsidRDefault="00201356" w:rsidP="00201356">
      <w:pPr>
        <w:jc w:val="both"/>
        <w:rPr>
          <w:rtl/>
        </w:rPr>
      </w:pPr>
      <w:r>
        <w:rPr>
          <w:rFonts w:hint="cs"/>
          <w:rtl/>
        </w:rPr>
        <w:t>مرحوم شیخ عبدالکریم حائر</w:t>
      </w:r>
      <w:r w:rsidR="006C6707">
        <w:rPr>
          <w:rFonts w:hint="cs"/>
          <w:rtl/>
        </w:rPr>
        <w:t>ی هم همین مطلب را بیان کرده است.</w:t>
      </w:r>
    </w:p>
    <w:p w:rsidR="006C6707" w:rsidRDefault="006C6707" w:rsidP="006C6707">
      <w:pPr>
        <w:pStyle w:val="Heading1"/>
        <w:rPr>
          <w:rtl/>
        </w:rPr>
      </w:pPr>
      <w:bookmarkStart w:id="2" w:name="_Toc38144769"/>
      <w:r>
        <w:rPr>
          <w:rFonts w:hint="cs"/>
          <w:rtl/>
        </w:rPr>
        <w:t>کلام مرحوم شیخ عبدالکریم حائری در کتاب الصلاة</w:t>
      </w:r>
      <w:bookmarkEnd w:id="2"/>
    </w:p>
    <w:p w:rsidR="00FF5004" w:rsidRPr="00FF5004" w:rsidRDefault="00FF5004" w:rsidP="00FF5004">
      <w:pPr>
        <w:rPr>
          <w:rtl/>
        </w:rPr>
      </w:pPr>
      <w:r>
        <w:rPr>
          <w:rFonts w:hint="cs"/>
          <w:rtl/>
        </w:rPr>
        <w:t>مرحوم شیخ عبدالکریم حائری در کتاب الصلاة می فرماید:</w:t>
      </w:r>
    </w:p>
    <w:p w:rsidR="001F1123" w:rsidRPr="001F1123" w:rsidRDefault="001F1123" w:rsidP="001F1123">
      <w:pPr>
        <w:jc w:val="both"/>
        <w:rPr>
          <w:color w:val="000080"/>
        </w:rPr>
      </w:pPr>
      <w:r w:rsidRPr="001F1123">
        <w:rPr>
          <w:rFonts w:hint="cs"/>
          <w:color w:val="000080"/>
          <w:rtl/>
        </w:rPr>
        <w:t>فيترتب عليه جميع أحكام الحاضر الا ما كان الإجماع على خلافه و هو ايضا مقتضى المناسبة بين الحكم و الموضوع بحسب الارتكاز العرفي حيث ان المركوز في أذهانهم ان المسافر إذا أقام مدة في بلدة يسلب عنه اسم المسافر فحدد الشارع تلك المدة بمضي ثل</w:t>
      </w:r>
      <w:r w:rsidR="00374198">
        <w:rPr>
          <w:rFonts w:hint="cs"/>
          <w:color w:val="000080"/>
          <w:rtl/>
        </w:rPr>
        <w:t>ا</w:t>
      </w:r>
      <w:r w:rsidRPr="001F1123">
        <w:rPr>
          <w:rFonts w:hint="cs"/>
          <w:color w:val="000080"/>
          <w:rtl/>
        </w:rPr>
        <w:t>ثين يوما و هذه المناسبة الارتكازية ايضا تقتضي كون المناط في الإتمام مضى ثل</w:t>
      </w:r>
      <w:r w:rsidR="00374198">
        <w:rPr>
          <w:rFonts w:hint="cs"/>
          <w:color w:val="000080"/>
          <w:rtl/>
        </w:rPr>
        <w:t>ا</w:t>
      </w:r>
      <w:r w:rsidRPr="001F1123">
        <w:rPr>
          <w:rFonts w:hint="cs"/>
          <w:color w:val="000080"/>
          <w:rtl/>
        </w:rPr>
        <w:t>ثين يوما دون الشهر و ان وقع في أكثر الروايات التعبير به لان ظاهر التحديد ان القاطع طول الزمان و كثرة الأيام من دون خصوصيته في الشهر و ما بين الهلالين مع ان الشهر في حد نفسه لا يأبى عن الحمل على الثل</w:t>
      </w:r>
      <w:r w:rsidR="00374198">
        <w:rPr>
          <w:rFonts w:hint="cs"/>
          <w:color w:val="000080"/>
          <w:rtl/>
        </w:rPr>
        <w:t>ا</w:t>
      </w:r>
      <w:r w:rsidRPr="001F1123">
        <w:rPr>
          <w:rFonts w:hint="cs"/>
          <w:color w:val="000080"/>
          <w:rtl/>
        </w:rPr>
        <w:t>ثين بخلاف الثل</w:t>
      </w:r>
      <w:r w:rsidR="00374198">
        <w:rPr>
          <w:rFonts w:hint="cs"/>
          <w:color w:val="000080"/>
          <w:rtl/>
        </w:rPr>
        <w:t>ا</w:t>
      </w:r>
      <w:r w:rsidRPr="001F1123">
        <w:rPr>
          <w:rFonts w:hint="cs"/>
          <w:color w:val="000080"/>
          <w:rtl/>
        </w:rPr>
        <w:t>ثين فإنه يأبى عن الحمل على الشهر و لذا قيل ان حمل الشهر عليه من حمل المجمل على المبين و ليس ببعيد</w:t>
      </w:r>
      <w:r>
        <w:rPr>
          <w:rStyle w:val="FootnoteReference"/>
          <w:color w:val="000080"/>
          <w:rtl/>
        </w:rPr>
        <w:footnoteReference w:id="1"/>
      </w:r>
    </w:p>
    <w:p w:rsidR="006B1EAF" w:rsidRDefault="00374198" w:rsidP="006B1EAF">
      <w:pPr>
        <w:jc w:val="both"/>
        <w:rPr>
          <w:rtl/>
        </w:rPr>
      </w:pPr>
      <w:r>
        <w:rPr>
          <w:rFonts w:hint="cs"/>
          <w:rtl/>
        </w:rPr>
        <w:lastRenderedPageBreak/>
        <w:t>مرحوم شیخ عبدالکریم به دو بیان ملاک را سی روز دانسته است. بیان اول این است که مناسبت بین حکم و موضوع به حسب ارتکاز عرفی این است که مسافر اگر مدتی در جایی بماند، دیگر مسافر نیست. مسافر کسی است که با شهر نامانوس می باشد؛ اما کسی که مدتی در شهری می ماند گویا از اهالی آن شهر به حساب می آید.</w:t>
      </w:r>
      <w:r w:rsidR="007D52DE">
        <w:rPr>
          <w:rFonts w:hint="cs"/>
          <w:rtl/>
        </w:rPr>
        <w:t xml:space="preserve"> البته شارع مقدس حدی را بیان کرده و فرموده پس از سی روز دیگر مسافر نمی باشد. این مناسبت ارتکازی اقتضا می کند که ملاک سی روز باشد نه ماه</w:t>
      </w:r>
      <w:r w:rsidR="00903D2A">
        <w:rPr>
          <w:rFonts w:hint="cs"/>
          <w:rtl/>
        </w:rPr>
        <w:t xml:space="preserve"> هلالی</w:t>
      </w:r>
      <w:r w:rsidR="007D52DE">
        <w:rPr>
          <w:rFonts w:hint="cs"/>
          <w:rtl/>
        </w:rPr>
        <w:t>؛ زیرا ماه خصوصیتی ندارد و طول زمان مهم است.</w:t>
      </w:r>
    </w:p>
    <w:p w:rsidR="00996A31" w:rsidRDefault="00996A31" w:rsidP="006B1EAF">
      <w:pPr>
        <w:jc w:val="both"/>
        <w:rPr>
          <w:rtl/>
        </w:rPr>
      </w:pPr>
      <w:r>
        <w:rPr>
          <w:rFonts w:hint="cs"/>
          <w:rtl/>
        </w:rPr>
        <w:t>بیان دوم این است که خود «شهر» فی نفسه می تواند بر سی روز حمل شود؛ اما نمی توان گفت مراد از «ثلاثین»، «شهر» می باشد.</w:t>
      </w:r>
      <w:r w:rsidR="0063109F">
        <w:rPr>
          <w:rFonts w:hint="cs"/>
          <w:rtl/>
        </w:rPr>
        <w:t xml:space="preserve"> در نتیجه «شهر» مجمل است و بر مبین حمل می شود.</w:t>
      </w:r>
    </w:p>
    <w:p w:rsidR="006B1EAF" w:rsidRDefault="001B5444" w:rsidP="00594DBA">
      <w:pPr>
        <w:jc w:val="both"/>
        <w:rPr>
          <w:rtl/>
        </w:rPr>
      </w:pPr>
      <w:r w:rsidRPr="001F1123">
        <w:rPr>
          <w:rFonts w:hint="cs"/>
          <w:color w:val="000080"/>
          <w:rtl/>
        </w:rPr>
        <w:t>قيل ان حمل الشهر عليه من حمل المجمل على المبين</w:t>
      </w:r>
      <w:r>
        <w:rPr>
          <w:rFonts w:hint="cs"/>
          <w:rtl/>
        </w:rPr>
        <w:t xml:space="preserve"> این عبارت نخستین بار در </w:t>
      </w:r>
      <w:r w:rsidR="00594DBA">
        <w:rPr>
          <w:rFonts w:hint="cs"/>
          <w:rtl/>
        </w:rPr>
        <w:t>تذکره علامه حلی آمده است.</w:t>
      </w:r>
    </w:p>
    <w:p w:rsidR="00594DBA" w:rsidRDefault="00594DBA" w:rsidP="00594DBA">
      <w:pPr>
        <w:pStyle w:val="Heading1"/>
        <w:rPr>
          <w:rtl/>
        </w:rPr>
      </w:pPr>
      <w:bookmarkStart w:id="3" w:name="_Toc38144770"/>
      <w:r>
        <w:rPr>
          <w:rFonts w:hint="cs"/>
          <w:rtl/>
        </w:rPr>
        <w:t>کلام علامه حلی در تذکرة الفقها</w:t>
      </w:r>
      <w:bookmarkEnd w:id="3"/>
    </w:p>
    <w:p w:rsidR="00FF5004" w:rsidRPr="00FF5004" w:rsidRDefault="00FF5004" w:rsidP="00FF5004">
      <w:pPr>
        <w:rPr>
          <w:rtl/>
        </w:rPr>
      </w:pPr>
      <w:r>
        <w:rPr>
          <w:rFonts w:hint="cs"/>
          <w:rtl/>
        </w:rPr>
        <w:t>علامه حلی در تذکرة الفقها می فرماید:</w:t>
      </w:r>
    </w:p>
    <w:p w:rsidR="00E27F29" w:rsidRPr="0079341B" w:rsidRDefault="00E27F29" w:rsidP="00E27F29">
      <w:pPr>
        <w:jc w:val="both"/>
        <w:rPr>
          <w:color w:val="000080"/>
        </w:rPr>
      </w:pPr>
      <w:r w:rsidRPr="0079341B">
        <w:rPr>
          <w:rFonts w:hint="cs"/>
          <w:color w:val="000080"/>
          <w:rtl/>
        </w:rPr>
        <w:t>في بعض الروايات: يقصّر- يعني المتردّد- ما بينه و بين مضيّ شهر.</w:t>
      </w:r>
    </w:p>
    <w:p w:rsidR="00E27F29" w:rsidRPr="0079341B" w:rsidRDefault="00E27F29" w:rsidP="00E27F29">
      <w:pPr>
        <w:jc w:val="both"/>
        <w:rPr>
          <w:color w:val="000080"/>
          <w:rtl/>
        </w:rPr>
      </w:pPr>
      <w:r w:rsidRPr="0079341B">
        <w:rPr>
          <w:rFonts w:hint="cs"/>
          <w:color w:val="000080"/>
          <w:rtl/>
        </w:rPr>
        <w:t>و في بعضها: ثلاثون يوما: قال الباقر عليه السلام: «فإن لم يدر ما يقيم يوما أو أكثر فليعد ثلاثين يوما ثم ليتمّ».</w:t>
      </w:r>
    </w:p>
    <w:p w:rsidR="00E27F29" w:rsidRPr="0079341B" w:rsidRDefault="00E27F29" w:rsidP="00E27F29">
      <w:pPr>
        <w:jc w:val="both"/>
        <w:rPr>
          <w:color w:val="000080"/>
          <w:rtl/>
        </w:rPr>
      </w:pPr>
      <w:r w:rsidRPr="0079341B">
        <w:rPr>
          <w:rFonts w:hint="cs"/>
          <w:color w:val="000080"/>
          <w:rtl/>
        </w:rPr>
        <w:t>فلو كان الشهر هلاليا تسعة و عشرين يوما، و أقام من أوّله إلى آخره، أتمّ على الأول دون الثاني.</w:t>
      </w:r>
    </w:p>
    <w:p w:rsidR="00E27F29" w:rsidRPr="00E27F29" w:rsidRDefault="00E27F29" w:rsidP="00E27F29">
      <w:pPr>
        <w:jc w:val="both"/>
        <w:rPr>
          <w:rtl/>
        </w:rPr>
      </w:pPr>
      <w:r w:rsidRPr="0079341B">
        <w:rPr>
          <w:rFonts w:hint="cs"/>
          <w:color w:val="000080"/>
          <w:rtl/>
        </w:rPr>
        <w:t xml:space="preserve">و الوجه: التقصير، أمّا أوّلا: فللاستصحاب. و أمّا ثانيا: </w:t>
      </w:r>
      <w:r w:rsidRPr="00FF5004">
        <w:rPr>
          <w:rFonts w:hint="cs"/>
          <w:color w:val="000080"/>
          <w:u w:val="single"/>
          <w:rtl/>
        </w:rPr>
        <w:t>فلأنّ الشهر كالمجمل، و الثلاثين كالمبيّن</w:t>
      </w:r>
      <w:r w:rsidRPr="0079341B">
        <w:rPr>
          <w:rFonts w:hint="cs"/>
          <w:color w:val="000080"/>
          <w:rtl/>
        </w:rPr>
        <w:t>.</w:t>
      </w:r>
      <w:r w:rsidR="0079341B">
        <w:rPr>
          <w:rStyle w:val="FootnoteReference"/>
          <w:color w:val="000080"/>
          <w:rtl/>
        </w:rPr>
        <w:footnoteReference w:id="2"/>
      </w:r>
    </w:p>
    <w:p w:rsidR="006B1EAF" w:rsidRDefault="00BF08C6" w:rsidP="006B1EAF">
      <w:pPr>
        <w:jc w:val="both"/>
        <w:rPr>
          <w:rtl/>
        </w:rPr>
      </w:pPr>
      <w:r>
        <w:rPr>
          <w:rFonts w:hint="cs"/>
          <w:rtl/>
        </w:rPr>
        <w:t>مشابه این عبارت در نهایة الاحکام هم آمده است.</w:t>
      </w:r>
    </w:p>
    <w:p w:rsidR="006B1EAF" w:rsidRDefault="00BF08C6" w:rsidP="00217474">
      <w:pPr>
        <w:pStyle w:val="Heading1"/>
        <w:rPr>
          <w:rtl/>
        </w:rPr>
      </w:pPr>
      <w:bookmarkStart w:id="4" w:name="_Toc38144771"/>
      <w:r>
        <w:rPr>
          <w:rFonts w:hint="cs"/>
          <w:rtl/>
        </w:rPr>
        <w:t>کلام علامه حلی در نهایة الاحکام</w:t>
      </w:r>
      <w:bookmarkEnd w:id="4"/>
    </w:p>
    <w:p w:rsidR="00BF08C6" w:rsidRDefault="00BF08C6" w:rsidP="006B1EAF">
      <w:pPr>
        <w:jc w:val="both"/>
        <w:rPr>
          <w:rtl/>
        </w:rPr>
      </w:pPr>
      <w:r>
        <w:rPr>
          <w:rFonts w:hint="cs"/>
          <w:rtl/>
        </w:rPr>
        <w:t>علامه حلی در نهایة الاحکام می فرماید:</w:t>
      </w:r>
    </w:p>
    <w:p w:rsidR="00F94E12" w:rsidRPr="006A2897" w:rsidRDefault="00F94E12" w:rsidP="00F94E12">
      <w:pPr>
        <w:jc w:val="both"/>
        <w:rPr>
          <w:color w:val="000080"/>
        </w:rPr>
      </w:pPr>
      <w:r w:rsidRPr="006A2897">
        <w:rPr>
          <w:rFonts w:hint="cs"/>
          <w:color w:val="000080"/>
          <w:rtl/>
        </w:rPr>
        <w:t>الأولى اعتبار الثلاثين، للتقدير به في بعض الروايات، قال الباقر عليه السلام: فإن لم يدر ما يقيم يوما أو أكثر فليعد ثلاثين يوما ثم ليتم.</w:t>
      </w:r>
    </w:p>
    <w:p w:rsidR="00F94E12" w:rsidRPr="006A2897" w:rsidRDefault="00F94E12" w:rsidP="00F94E12">
      <w:pPr>
        <w:jc w:val="both"/>
        <w:rPr>
          <w:color w:val="000080"/>
          <w:rtl/>
        </w:rPr>
      </w:pPr>
      <w:r w:rsidRPr="006A2897">
        <w:rPr>
          <w:rFonts w:hint="cs"/>
          <w:color w:val="000080"/>
          <w:rtl/>
        </w:rPr>
        <w:t xml:space="preserve">فلو كان الشهر هلاليا و أقام من أوله إلى آخره و نقص يوما، قصر على هذه الرواية و للاستصحاب، و </w:t>
      </w:r>
      <w:r w:rsidRPr="00880068">
        <w:rPr>
          <w:rFonts w:hint="cs"/>
          <w:color w:val="000080"/>
          <w:u w:val="single"/>
          <w:rtl/>
        </w:rPr>
        <w:t>لأن الشهر كالمجمل و الثلاثين كالمبين</w:t>
      </w:r>
      <w:r w:rsidRPr="006A2897">
        <w:rPr>
          <w:rFonts w:hint="cs"/>
          <w:color w:val="000080"/>
          <w:rtl/>
        </w:rPr>
        <w:t>، و على رواية الشهر يتم.</w:t>
      </w:r>
      <w:r w:rsidR="006A2897">
        <w:rPr>
          <w:rStyle w:val="FootnoteReference"/>
          <w:color w:val="000080"/>
          <w:rtl/>
        </w:rPr>
        <w:footnoteReference w:id="3"/>
      </w:r>
    </w:p>
    <w:p w:rsidR="006B1EAF" w:rsidRDefault="00880068" w:rsidP="00880068">
      <w:pPr>
        <w:jc w:val="both"/>
        <w:rPr>
          <w:rtl/>
        </w:rPr>
      </w:pPr>
      <w:r>
        <w:rPr>
          <w:rFonts w:hint="cs"/>
          <w:rtl/>
        </w:rPr>
        <w:lastRenderedPageBreak/>
        <w:t xml:space="preserve">دلیل اینکه فرموده است: </w:t>
      </w:r>
      <w:r w:rsidRPr="00880068">
        <w:rPr>
          <w:rFonts w:hint="cs"/>
          <w:color w:val="000080"/>
          <w:rtl/>
        </w:rPr>
        <w:t>كالمجمل</w:t>
      </w:r>
      <w:r>
        <w:rPr>
          <w:rFonts w:hint="cs"/>
          <w:rtl/>
        </w:rPr>
        <w:t xml:space="preserve"> و نفرموده است: مجمل، این است که گرچه «شهر» ظهورش در ماه هلالی است و «ثلاثین» ظهورش در سی روز است اما ظهور «شهر» در هلالی بودن خیلی قوی نیست و می تواند بر ماه عددی هم حمل شود اما «ثلاثین» قابل حمل بر ماه هلالی نمی باشد. بنابراین «شهر» کالمجمل است و قابلیت هر دو معنا را دارد.</w:t>
      </w:r>
      <w:r w:rsidR="0075533A">
        <w:rPr>
          <w:rFonts w:hint="cs"/>
          <w:rtl/>
        </w:rPr>
        <w:t xml:space="preserve"> گویا علامه حمل ظاهر بر اظهر می کند.</w:t>
      </w:r>
    </w:p>
    <w:p w:rsidR="004F18CE" w:rsidRDefault="004F18CE" w:rsidP="004F18CE">
      <w:pPr>
        <w:pStyle w:val="Heading1"/>
        <w:rPr>
          <w:rtl/>
        </w:rPr>
      </w:pPr>
      <w:bookmarkStart w:id="5" w:name="_Toc38144772"/>
      <w:r>
        <w:rPr>
          <w:rFonts w:hint="cs"/>
          <w:rtl/>
        </w:rPr>
        <w:t>کلام مرحوم وحید بهبهانی در مصابیح الظلام</w:t>
      </w:r>
      <w:bookmarkEnd w:id="5"/>
    </w:p>
    <w:p w:rsidR="006B1EAF" w:rsidRDefault="00DF1808" w:rsidP="006B1EAF">
      <w:pPr>
        <w:jc w:val="both"/>
        <w:rPr>
          <w:rtl/>
        </w:rPr>
      </w:pPr>
      <w:r>
        <w:rPr>
          <w:rFonts w:hint="cs"/>
          <w:rtl/>
        </w:rPr>
        <w:t xml:space="preserve">مرحوم وحید بهبهانی در مصابیح الظلام </w:t>
      </w:r>
      <w:r w:rsidR="0005298F">
        <w:rPr>
          <w:rFonts w:hint="cs"/>
          <w:rtl/>
        </w:rPr>
        <w:t xml:space="preserve">در استدلال بر ملاک بودن «ثلاثین» </w:t>
      </w:r>
      <w:r>
        <w:rPr>
          <w:rFonts w:hint="cs"/>
          <w:rtl/>
        </w:rPr>
        <w:t>می فرماید:</w:t>
      </w:r>
    </w:p>
    <w:p w:rsidR="00582F6C" w:rsidRPr="00582F6C" w:rsidRDefault="00582F6C" w:rsidP="00582F6C">
      <w:pPr>
        <w:jc w:val="both"/>
        <w:rPr>
          <w:color w:val="000080"/>
        </w:rPr>
      </w:pPr>
      <w:r w:rsidRPr="00582F6C">
        <w:rPr>
          <w:rFonts w:hint="cs"/>
          <w:color w:val="000080"/>
          <w:rtl/>
        </w:rPr>
        <w:t>أمّا أوّلا، فبأنّ لفظ «الشهر» كالمجمل، إذ لا يتبادر منه كونه ثلاثين بخصوصه، أو تسعة و عشرين كذلك، بل يحتمل الأمرين، و ورد الحسنة- التي هي حجّة عند الكلّ- حيث استندوا في خصوص الثلاثين إليها، و لفظ «الثلاثين» في الحسنة كالمبيّن، فيجب حمل المجمل على المبيّن، لما تقرّر في الأصول من وجوب حمل المجمل على المبيّن بعد التقاوم، و قد حصل هنا، فتأمّل!</w:t>
      </w:r>
      <w:r>
        <w:rPr>
          <w:rStyle w:val="FootnoteReference"/>
          <w:color w:val="000080"/>
          <w:rtl/>
        </w:rPr>
        <w:footnoteReference w:id="4"/>
      </w:r>
    </w:p>
    <w:p w:rsidR="00582F6C" w:rsidRDefault="000628EB" w:rsidP="006B1EAF">
      <w:pPr>
        <w:jc w:val="both"/>
        <w:rPr>
          <w:rtl/>
        </w:rPr>
      </w:pPr>
      <w:r>
        <w:rPr>
          <w:rFonts w:hint="cs"/>
          <w:rtl/>
        </w:rPr>
        <w:t>مرحوم وحید بهبهانی اجمال «شهر» را این طور بیان می کند که «شهر» هم بر بیست و نه روز و هم بر سی روز اطلاق می شود.</w:t>
      </w:r>
    </w:p>
    <w:p w:rsidR="00870097" w:rsidRDefault="0016555F" w:rsidP="0016555F">
      <w:pPr>
        <w:pStyle w:val="Heading2"/>
        <w:rPr>
          <w:rtl/>
        </w:rPr>
      </w:pPr>
      <w:bookmarkStart w:id="6" w:name="_Toc38144773"/>
      <w:r>
        <w:rPr>
          <w:rFonts w:hint="cs"/>
          <w:rtl/>
        </w:rPr>
        <w:t>اشکال به مرحوم وحید بهبهانی</w:t>
      </w:r>
      <w:bookmarkEnd w:id="6"/>
    </w:p>
    <w:p w:rsidR="0016555F" w:rsidRDefault="0016555F" w:rsidP="0016555F">
      <w:pPr>
        <w:jc w:val="both"/>
        <w:rPr>
          <w:rtl/>
        </w:rPr>
      </w:pPr>
      <w:r>
        <w:rPr>
          <w:rFonts w:hint="cs"/>
          <w:rtl/>
        </w:rPr>
        <w:t>اجمال «شهر» به این صورت است که گرچه «شهر» به معنای ماه هلالی است اما اراده</w:t>
      </w:r>
      <w:r>
        <w:rPr>
          <w:rFonts w:hint="eastAsia"/>
          <w:rtl/>
        </w:rPr>
        <w:t>‌</w:t>
      </w:r>
      <w:r>
        <w:rPr>
          <w:rFonts w:hint="cs"/>
          <w:rtl/>
        </w:rPr>
        <w:t>ی معنای</w:t>
      </w:r>
      <w:r w:rsidR="00152075">
        <w:rPr>
          <w:rFonts w:hint="cs"/>
          <w:rtl/>
        </w:rPr>
        <w:t xml:space="preserve"> ماه عددی (</w:t>
      </w:r>
      <w:r>
        <w:rPr>
          <w:rFonts w:hint="cs"/>
          <w:rtl/>
        </w:rPr>
        <w:t xml:space="preserve"> سی روز</w:t>
      </w:r>
      <w:r w:rsidR="00152075">
        <w:rPr>
          <w:rFonts w:hint="cs"/>
          <w:rtl/>
        </w:rPr>
        <w:t>)</w:t>
      </w:r>
      <w:r>
        <w:rPr>
          <w:rFonts w:hint="cs"/>
          <w:rtl/>
        </w:rPr>
        <w:t xml:space="preserve"> هم امکان دارد.</w:t>
      </w:r>
      <w:r w:rsidR="00D45BDF">
        <w:rPr>
          <w:rFonts w:hint="cs"/>
          <w:rtl/>
        </w:rPr>
        <w:t xml:space="preserve"> به عبارت دیگر </w:t>
      </w:r>
      <w:r w:rsidR="00152075">
        <w:rPr>
          <w:rFonts w:hint="cs"/>
          <w:rtl/>
        </w:rPr>
        <w:t xml:space="preserve">«شهر» به معنای سی روز </w:t>
      </w:r>
      <w:r w:rsidR="00D45BDF">
        <w:rPr>
          <w:rFonts w:hint="cs"/>
          <w:rtl/>
        </w:rPr>
        <w:t>مجاز شایعی است که لفظ ش</w:t>
      </w:r>
      <w:r w:rsidR="00562269">
        <w:rPr>
          <w:rFonts w:hint="cs"/>
          <w:rtl/>
        </w:rPr>
        <w:t>هر امکان پذیرش این معنا را دارد؛ اما «ثلاثین» امکان پذیرش معنای «شهر» را ندارد.</w:t>
      </w:r>
    </w:p>
    <w:p w:rsidR="0016555F" w:rsidRDefault="008D19F0" w:rsidP="006B1EAF">
      <w:pPr>
        <w:jc w:val="both"/>
        <w:rPr>
          <w:rtl/>
        </w:rPr>
      </w:pPr>
      <w:r w:rsidRPr="00D1216B">
        <w:rPr>
          <w:rFonts w:hint="cs"/>
          <w:highlight w:val="yellow"/>
          <w:rtl/>
        </w:rPr>
        <w:t xml:space="preserve">می توان </w:t>
      </w:r>
      <w:r>
        <w:rPr>
          <w:rFonts w:hint="cs"/>
          <w:rtl/>
        </w:rPr>
        <w:t>دو وجهی</w:t>
      </w:r>
      <w:r w:rsidR="001A67E0">
        <w:rPr>
          <w:rFonts w:hint="cs"/>
          <w:rtl/>
        </w:rPr>
        <w:t xml:space="preserve"> را</w:t>
      </w:r>
      <w:r>
        <w:rPr>
          <w:rFonts w:hint="cs"/>
          <w:rtl/>
        </w:rPr>
        <w:t xml:space="preserve"> که در کلام مرحوم شیخ عبدالکریم حائری آمده بود که اولا با توجه به تناسبات حکم و موضوع ملاک مدت زمان است و «شهر» خصوصیتی ندارد و ثانیا «شهر» مجمل است و «ثلاثین» مبین می باشد، تلفیق کرد.</w:t>
      </w:r>
    </w:p>
    <w:p w:rsidR="00582F6C" w:rsidRPr="00FF0713" w:rsidRDefault="00076981" w:rsidP="00952B59">
      <w:pPr>
        <w:jc w:val="both"/>
        <w:rPr>
          <w:color w:val="008000"/>
        </w:rPr>
      </w:pPr>
      <w:r>
        <w:rPr>
          <w:rFonts w:hint="cs"/>
          <w:rtl/>
        </w:rPr>
        <w:t>با وجود این که بر اساس تناسبات حکم و موض</w:t>
      </w:r>
      <w:r w:rsidR="00152075">
        <w:rPr>
          <w:rFonts w:hint="cs"/>
          <w:rtl/>
        </w:rPr>
        <w:t>و</w:t>
      </w:r>
      <w:r>
        <w:rPr>
          <w:rFonts w:hint="cs"/>
          <w:rtl/>
        </w:rPr>
        <w:t>ع، مدت زمان ملاک است؛ اما تعبد هم در این مورد وجود دارد؛ زیرا عرفا بین بیست و هشت روز و سی روز تفاوتی نیست</w:t>
      </w:r>
      <w:r w:rsidR="00E0279C">
        <w:rPr>
          <w:rFonts w:hint="cs"/>
          <w:rtl/>
        </w:rPr>
        <w:t>. شارع حدی را تعیین می کند که قبل از آن احکام مسافر جاری شود و</w:t>
      </w:r>
      <w:r w:rsidR="00424FFA">
        <w:rPr>
          <w:rFonts w:hint="cs"/>
          <w:rtl/>
        </w:rPr>
        <w:t xml:space="preserve"> پس از آن احکام مسافر جاری نشود؛ یعنی به نوعی تصرف حکمی است و شارع محدوده</w:t>
      </w:r>
      <w:r w:rsidR="00424FFA">
        <w:rPr>
          <w:rFonts w:hint="eastAsia"/>
          <w:rtl/>
        </w:rPr>
        <w:t>‌</w:t>
      </w:r>
      <w:r w:rsidR="00424FFA">
        <w:rPr>
          <w:rFonts w:hint="cs"/>
          <w:rtl/>
        </w:rPr>
        <w:t>ی حکم را بیان کرده است.</w:t>
      </w:r>
      <w:r w:rsidR="00952B59">
        <w:rPr>
          <w:rFonts w:hint="cs"/>
          <w:rtl/>
        </w:rPr>
        <w:t xml:space="preserve"> ممکن است شارع ملاک را ماه هلالی قرار دهد؛ زیرا هلال برای چنین محاسباتی وضع شده است. در سوره</w:t>
      </w:r>
      <w:r w:rsidR="00952B59">
        <w:rPr>
          <w:rFonts w:hint="eastAsia"/>
          <w:rtl/>
        </w:rPr>
        <w:t>‌</w:t>
      </w:r>
      <w:r w:rsidR="00952B59">
        <w:rPr>
          <w:rFonts w:hint="cs"/>
          <w:rtl/>
        </w:rPr>
        <w:t xml:space="preserve">ی بقره می فرماید: </w:t>
      </w:r>
      <w:r w:rsidR="00FF0713">
        <w:rPr>
          <w:rFonts w:cs="Calibri"/>
          <w:color w:val="008000"/>
          <w:rtl/>
        </w:rPr>
        <w:t>﴿</w:t>
      </w:r>
      <w:r w:rsidR="00FF0713" w:rsidRPr="00FF0713">
        <w:rPr>
          <w:rFonts w:hint="cs"/>
          <w:color w:val="008000"/>
          <w:rtl/>
        </w:rPr>
        <w:t>يَسْأَلُونَكَ عَنِ الْأَهِلَّةِ قُلْ هِيَ مَوَاقِيتُ لِلنَّاسِ وَ الْحَجّ</w:t>
      </w:r>
      <w:r w:rsidR="00582F6C" w:rsidRPr="00FF0713">
        <w:rPr>
          <w:rFonts w:hint="cs"/>
          <w:color w:val="008000"/>
          <w:rtl/>
        </w:rPr>
        <w:t>ِ</w:t>
      </w:r>
      <w:r w:rsidR="00FF0713" w:rsidRPr="00FF0713">
        <w:rPr>
          <w:rFonts w:cs="Calibri"/>
          <w:color w:val="008000"/>
          <w:rtl/>
        </w:rPr>
        <w:t>﴾</w:t>
      </w:r>
      <w:r w:rsidR="00FF0713">
        <w:rPr>
          <w:rStyle w:val="FootnoteReference"/>
          <w:rFonts w:cs="Calibri"/>
          <w:color w:val="008000"/>
          <w:rtl/>
        </w:rPr>
        <w:footnoteReference w:id="5"/>
      </w:r>
    </w:p>
    <w:p w:rsidR="006B1EAF" w:rsidRDefault="00952B59" w:rsidP="006B1EAF">
      <w:pPr>
        <w:jc w:val="both"/>
        <w:rPr>
          <w:rtl/>
        </w:rPr>
      </w:pPr>
      <w:r>
        <w:rPr>
          <w:rFonts w:hint="cs"/>
          <w:rtl/>
        </w:rPr>
        <w:lastRenderedPageBreak/>
        <w:t>شارع مقدس هلال را ملاک محاسبات قرار داده است و ممکن است در مسافر مردد هم ملاک را «شهر</w:t>
      </w:r>
      <w:r w:rsidR="00297B3C">
        <w:rPr>
          <w:rFonts w:hint="cs"/>
          <w:rtl/>
        </w:rPr>
        <w:t>» یعنی ماه هلالی قرار داده باشد، چه مسافرت اول ماه باشد و چه وسط ماه باشد.</w:t>
      </w:r>
      <w:r w:rsidR="002D39A9">
        <w:rPr>
          <w:rFonts w:hint="cs"/>
          <w:rtl/>
        </w:rPr>
        <w:t xml:space="preserve"> از طرفی ممکن است شارع سی روز را ملاک قرار داده باشد؛ بنابراین اگر روایت «ثلاثین</w:t>
      </w:r>
      <w:r w:rsidR="00A522B9">
        <w:rPr>
          <w:rFonts w:hint="cs"/>
          <w:rtl/>
        </w:rPr>
        <w:t>» نبود، روایات «شهر» مجمل بودند و شهر عددی و هلالی از آن متبادر نمی شد.</w:t>
      </w:r>
      <w:r w:rsidR="006C5AC2">
        <w:rPr>
          <w:rFonts w:hint="cs"/>
          <w:rtl/>
        </w:rPr>
        <w:t xml:space="preserve"> اما با وجود روایت «ثلاثین»، این روایت قرینه می شود که «شهر» را در آن روایات «شهر» عددی بگیریم.</w:t>
      </w:r>
    </w:p>
    <w:p w:rsidR="006C6EAC" w:rsidRDefault="006C6EAC" w:rsidP="006B1EAF">
      <w:pPr>
        <w:jc w:val="both"/>
        <w:rPr>
          <w:rtl/>
        </w:rPr>
      </w:pPr>
      <w:r>
        <w:rPr>
          <w:rFonts w:hint="cs"/>
          <w:rtl/>
        </w:rPr>
        <w:t>تناسبات حکم و موضوع منشا اجمال دلیل می شود و حمل مجمل بر مبین باعث می شود «شهر» در ماه عددی تعین یابد.</w:t>
      </w:r>
    </w:p>
    <w:p w:rsidR="009B3DCC" w:rsidRDefault="00D1216B" w:rsidP="00D1216B">
      <w:pPr>
        <w:pStyle w:val="Heading1"/>
        <w:rPr>
          <w:rtl/>
        </w:rPr>
      </w:pPr>
      <w:bookmarkStart w:id="7" w:name="_Toc38144774"/>
      <w:r>
        <w:rPr>
          <w:rFonts w:hint="cs"/>
          <w:rtl/>
        </w:rPr>
        <w:t>کلام مرحوم سبزواری در ذخیرة المعاد</w:t>
      </w:r>
      <w:bookmarkEnd w:id="7"/>
    </w:p>
    <w:p w:rsidR="00D1216B" w:rsidRDefault="00D1216B" w:rsidP="00D1216B">
      <w:pPr>
        <w:jc w:val="both"/>
        <w:rPr>
          <w:rtl/>
        </w:rPr>
      </w:pPr>
      <w:r>
        <w:rPr>
          <w:rFonts w:hint="cs"/>
          <w:rtl/>
        </w:rPr>
        <w:t>مرحوم سبزواری در ذخیرة المعاد می فرماید:</w:t>
      </w:r>
    </w:p>
    <w:p w:rsidR="00AD2DAD" w:rsidRPr="00AD2DAD" w:rsidRDefault="00AD2DAD" w:rsidP="00AD2DAD">
      <w:pPr>
        <w:jc w:val="both"/>
        <w:rPr>
          <w:color w:val="000080"/>
        </w:rPr>
      </w:pPr>
      <w:r w:rsidRPr="00AD2DAD">
        <w:rPr>
          <w:rFonts w:hint="cs"/>
          <w:color w:val="000080"/>
          <w:rtl/>
        </w:rPr>
        <w:t>و اعتبر المصنف في التذكرة الثلاثين و لم يعتبر الشهر الهلالي قال لأن لفظ الشهر كالمجمل و لفظ الثلاثين كالمبين و في كونهما كالمجمل و المبين تأمّل بل الظاهر كون الشهر حقيقة في المعنى المشترك بين المعنيين و حينئذ فالمتجه أن يقال يحمل على الثلاثين كما يحمل المطلق على المقيد و العام على الخاص‌</w:t>
      </w:r>
      <w:r>
        <w:rPr>
          <w:rStyle w:val="FootnoteReference"/>
          <w:color w:val="000080"/>
          <w:rtl/>
        </w:rPr>
        <w:footnoteReference w:id="6"/>
      </w:r>
    </w:p>
    <w:p w:rsidR="006B1EAF" w:rsidRDefault="00D1216B" w:rsidP="006B1EAF">
      <w:pPr>
        <w:jc w:val="both"/>
        <w:rPr>
          <w:rtl/>
        </w:rPr>
      </w:pPr>
      <w:r>
        <w:rPr>
          <w:rFonts w:hint="cs"/>
          <w:rtl/>
        </w:rPr>
        <w:t xml:space="preserve">مرحوم سبزواری «شهر» را مشترک معنوی بین «شهر» هلالی و «شهر» عددی بیان کرده است و حمل </w:t>
      </w:r>
      <w:r w:rsidR="00654839">
        <w:rPr>
          <w:rFonts w:hint="cs"/>
          <w:rtl/>
        </w:rPr>
        <w:t>مطلق بر مقید را وجیه دانسته است و به کلام علامه که حمل مجمل بر مبین کرده است، اشکال نموده است.</w:t>
      </w:r>
    </w:p>
    <w:p w:rsidR="00D1216B" w:rsidRDefault="00D1216B" w:rsidP="00D1216B">
      <w:pPr>
        <w:pStyle w:val="Heading2"/>
        <w:rPr>
          <w:rtl/>
        </w:rPr>
      </w:pPr>
      <w:bookmarkStart w:id="8" w:name="_Toc38144775"/>
      <w:r>
        <w:rPr>
          <w:rFonts w:hint="cs"/>
          <w:rtl/>
        </w:rPr>
        <w:t>اشکال</w:t>
      </w:r>
      <w:bookmarkEnd w:id="8"/>
    </w:p>
    <w:p w:rsidR="009C12DB" w:rsidRDefault="00D1216B" w:rsidP="009C12DB">
      <w:pPr>
        <w:jc w:val="both"/>
        <w:rPr>
          <w:rtl/>
        </w:rPr>
      </w:pPr>
      <w:r>
        <w:rPr>
          <w:rFonts w:hint="cs"/>
          <w:rtl/>
        </w:rPr>
        <w:t>خیلی بعید است که «شهر» به معنای سی روز و «شهر» به معنای ماه هلالی که گاهی بیست و نه روز است و گاهی سی روز است مشترک معنوی باشند. نهایتا مشترک لفظی می باشد؛ یعنی «شهر» در دو معنای ماه هلالی و ماه عددی حقیقیت است.</w:t>
      </w:r>
      <w:r w:rsidR="00F02D17">
        <w:rPr>
          <w:rFonts w:hint="cs"/>
          <w:rtl/>
        </w:rPr>
        <w:t xml:space="preserve"> با فرض مشترک لفظی، </w:t>
      </w:r>
      <w:r w:rsidR="004033E1">
        <w:rPr>
          <w:rFonts w:hint="cs"/>
          <w:rtl/>
        </w:rPr>
        <w:t xml:space="preserve">«شهر» </w:t>
      </w:r>
      <w:r w:rsidR="00F02D17">
        <w:rPr>
          <w:rFonts w:hint="cs"/>
          <w:rtl/>
        </w:rPr>
        <w:t>مجمل می شود و کلام علامه صحیح خواهد بود.</w:t>
      </w:r>
    </w:p>
    <w:p w:rsidR="00186261" w:rsidRDefault="00186261" w:rsidP="00186261">
      <w:pPr>
        <w:pStyle w:val="Heading1"/>
        <w:rPr>
          <w:rtl/>
        </w:rPr>
      </w:pPr>
      <w:bookmarkStart w:id="9" w:name="_Toc38144776"/>
      <w:r>
        <w:rPr>
          <w:rFonts w:hint="cs"/>
          <w:rtl/>
        </w:rPr>
        <w:t>کلام مرحوم شیخ محمد حسین اصفهانی در صلاة المسافر</w:t>
      </w:r>
      <w:bookmarkEnd w:id="9"/>
    </w:p>
    <w:p w:rsidR="00D1216B" w:rsidRDefault="00186261" w:rsidP="006B1EAF">
      <w:pPr>
        <w:jc w:val="both"/>
        <w:rPr>
          <w:rtl/>
        </w:rPr>
      </w:pPr>
      <w:r>
        <w:rPr>
          <w:rFonts w:hint="cs"/>
          <w:rtl/>
        </w:rPr>
        <w:t>مرحوم شیخ محمد حسین اصفهانی در صلاة المسافر می فرماید:</w:t>
      </w:r>
    </w:p>
    <w:p w:rsidR="00A245CE" w:rsidRPr="00A245CE" w:rsidRDefault="00A245CE" w:rsidP="00A245CE">
      <w:pPr>
        <w:jc w:val="both"/>
        <w:rPr>
          <w:color w:val="000080"/>
        </w:rPr>
      </w:pPr>
      <w:r w:rsidRPr="00A245CE">
        <w:rPr>
          <w:rFonts w:hint="cs"/>
          <w:color w:val="000080"/>
          <w:rtl/>
        </w:rPr>
        <w:t xml:space="preserve">ظاهر جملة من الروايات، اعتبار مضيّ شهر مترددا، و ظاهر بعضها اعتبار مضيّ ثلاثين يوما. و من الواضح أنّ الشهر هو ما بين الهلالين، و </w:t>
      </w:r>
      <w:r w:rsidRPr="00713ADB">
        <w:rPr>
          <w:rFonts w:hint="cs"/>
          <w:color w:val="000080"/>
          <w:u w:val="single"/>
          <w:rtl/>
        </w:rPr>
        <w:t>لا جامع بينه و بين ثلاثين يوما بالنسبة الى ما بين الهلالين</w:t>
      </w:r>
      <w:r w:rsidRPr="00A245CE">
        <w:rPr>
          <w:rFonts w:hint="cs"/>
          <w:color w:val="000080"/>
          <w:rtl/>
        </w:rPr>
        <w:t xml:space="preserve">. و أمّا بالنسبة إلى العدد فلا جامع بين مراتب العدد، فلا جامع بين ثلاثين و تسعة و عشرين. </w:t>
      </w:r>
      <w:r w:rsidRPr="00713ADB">
        <w:rPr>
          <w:rFonts w:hint="cs"/>
          <w:color w:val="000080"/>
          <w:u w:val="single"/>
          <w:rtl/>
        </w:rPr>
        <w:t xml:space="preserve">فلا مناص من كون الشهر حقيقة في خصوص ما بين الهلالين مجازا في خصوص الثلاثين، أو مشتركا </w:t>
      </w:r>
      <w:r w:rsidRPr="00713ADB">
        <w:rPr>
          <w:rFonts w:hint="cs"/>
          <w:color w:val="000080"/>
          <w:u w:val="single"/>
          <w:rtl/>
        </w:rPr>
        <w:lastRenderedPageBreak/>
        <w:t>لفظيا بينهما</w:t>
      </w:r>
      <w:r w:rsidRPr="00A245CE">
        <w:rPr>
          <w:rFonts w:hint="cs"/>
          <w:color w:val="000080"/>
          <w:rtl/>
        </w:rPr>
        <w:t>. و من الواضح انّ رواية الثلاثين صالحة لأن تكون قرينة على التّجوّز، أو على التعيين</w:t>
      </w:r>
      <w:r>
        <w:rPr>
          <w:rFonts w:hint="cs"/>
          <w:color w:val="000080"/>
          <w:rtl/>
        </w:rPr>
        <w:t xml:space="preserve"> </w:t>
      </w:r>
      <w:r w:rsidRPr="00A245CE">
        <w:rPr>
          <w:rFonts w:hint="cs"/>
          <w:color w:val="000080"/>
          <w:rtl/>
        </w:rPr>
        <w:t>خصوصا بملاحظة قوله (عليه السلام): «فليعدّ ثلاثين يوما»</w:t>
      </w:r>
      <w:r>
        <w:rPr>
          <w:rFonts w:hint="cs"/>
          <w:color w:val="000080"/>
          <w:rtl/>
        </w:rPr>
        <w:t xml:space="preserve"> </w:t>
      </w:r>
      <w:r w:rsidRPr="00A245CE">
        <w:rPr>
          <w:rFonts w:hint="cs"/>
          <w:color w:val="000080"/>
          <w:rtl/>
        </w:rPr>
        <w:t>فإنّه لا عدّ إلّا في العدد، و لا عدّ فيما بين الهلالين بما هو بين الطلوعين، فلا يمكن دعوى إرادة الشهر منه بلحاظ أنّ الغالب كونه ثلاثين مع أنّه لا غلبة، و على فرضه فلا غلبة في مرحلة الاستعمال. مضافا الى دعوى الاتفاق على أنّ الشهر في مقام التلفيق و الكسر يعتبر ثلاثين يوما، و إنّ محل الخلاف ما إذا كان مبدء تردده أوّل الشهر</w:t>
      </w:r>
      <w:r>
        <w:rPr>
          <w:rFonts w:hint="cs"/>
          <w:color w:val="000080"/>
          <w:rtl/>
        </w:rPr>
        <w:t xml:space="preserve"> </w:t>
      </w:r>
      <w:r w:rsidRPr="00A245CE">
        <w:rPr>
          <w:rFonts w:hint="cs"/>
          <w:color w:val="000080"/>
          <w:rtl/>
        </w:rPr>
        <w:t>و لا يمكن تنزيل إطلاقات الشهر على هذا الفرد النادر، كما لا يمكن التحفّظ على إرادة ما بين الهلالين مطلقا فتدبّر.</w:t>
      </w:r>
      <w:r>
        <w:rPr>
          <w:rStyle w:val="FootnoteReference"/>
          <w:color w:val="000080"/>
          <w:rtl/>
        </w:rPr>
        <w:footnoteReference w:id="7"/>
      </w:r>
    </w:p>
    <w:p w:rsidR="0038337D" w:rsidRDefault="00713ADB" w:rsidP="00084C69">
      <w:pPr>
        <w:jc w:val="both"/>
        <w:rPr>
          <w:rtl/>
        </w:rPr>
      </w:pPr>
      <w:r>
        <w:rPr>
          <w:rFonts w:hint="cs"/>
          <w:rtl/>
        </w:rPr>
        <w:t>مرحوم شیخ محمد حسین اصفهانی می فرماید: بین «شهر» به معنای «ما بین الهلالین» و «شهر» به معنای سی روز جامعی وجود ندارد.</w:t>
      </w:r>
      <w:r w:rsidR="00084C69">
        <w:rPr>
          <w:rFonts w:hint="cs"/>
          <w:rtl/>
        </w:rPr>
        <w:t xml:space="preserve"> </w:t>
      </w:r>
      <w:r w:rsidR="0038337D">
        <w:rPr>
          <w:rFonts w:hint="cs"/>
          <w:rtl/>
        </w:rPr>
        <w:t>در نتیجه «شهر» باید حقیقت در «ما بین الهلالین»</w:t>
      </w:r>
      <w:r w:rsidR="00040958">
        <w:rPr>
          <w:rFonts w:hint="cs"/>
          <w:rtl/>
        </w:rPr>
        <w:t xml:space="preserve"> و مجاز در سی روز باشد یا مشترک لفظی باشد.</w:t>
      </w:r>
    </w:p>
    <w:p w:rsidR="00AD2DAD" w:rsidRDefault="00084C69" w:rsidP="00084C69">
      <w:pPr>
        <w:jc w:val="both"/>
        <w:rPr>
          <w:rtl/>
        </w:rPr>
      </w:pPr>
      <w:r w:rsidRPr="00832FE2">
        <w:rPr>
          <w:rFonts w:hint="cs"/>
          <w:highlight w:val="yellow"/>
          <w:rtl/>
        </w:rPr>
        <w:t xml:space="preserve">با توجه </w:t>
      </w:r>
      <w:r>
        <w:rPr>
          <w:rFonts w:hint="cs"/>
          <w:rtl/>
        </w:rPr>
        <w:t>به این که روایات «شهر» متعددند و روایت «ثلاثین» فقط یک روایت است، نمی توان گفت به قرینه</w:t>
      </w:r>
      <w:r>
        <w:rPr>
          <w:rFonts w:hint="eastAsia"/>
          <w:rtl/>
        </w:rPr>
        <w:t>‌</w:t>
      </w:r>
      <w:r>
        <w:rPr>
          <w:rFonts w:hint="cs"/>
          <w:rtl/>
        </w:rPr>
        <w:t>ی یک روایت در همه</w:t>
      </w:r>
      <w:r>
        <w:rPr>
          <w:rFonts w:hint="eastAsia"/>
          <w:rtl/>
        </w:rPr>
        <w:t>‌</w:t>
      </w:r>
      <w:r>
        <w:rPr>
          <w:rFonts w:hint="cs"/>
          <w:rtl/>
        </w:rPr>
        <w:t>ی روایات</w:t>
      </w:r>
      <w:r w:rsidR="00E63B54">
        <w:rPr>
          <w:rFonts w:hint="cs"/>
          <w:rtl/>
        </w:rPr>
        <w:t>ِ</w:t>
      </w:r>
      <w:r>
        <w:rPr>
          <w:rFonts w:hint="cs"/>
          <w:rtl/>
        </w:rPr>
        <w:t xml:space="preserve"> «شهر» تجوز اراده شده است.</w:t>
      </w:r>
    </w:p>
    <w:p w:rsidR="002C31C1" w:rsidRDefault="002C31C1" w:rsidP="00084C69">
      <w:pPr>
        <w:jc w:val="both"/>
        <w:rPr>
          <w:rtl/>
        </w:rPr>
      </w:pPr>
      <w:r>
        <w:rPr>
          <w:rFonts w:hint="cs"/>
          <w:rtl/>
        </w:rPr>
        <w:t>حتی اگر «شهر» را مشترک لفظی ندانیم و حقیقت در ماه هلالی بدانیم، با توجه به تناسبات حکم و موضوع</w:t>
      </w:r>
      <w:r w:rsidR="00832FE2">
        <w:rPr>
          <w:rFonts w:hint="cs"/>
          <w:rtl/>
        </w:rPr>
        <w:t>،</w:t>
      </w:r>
      <w:r>
        <w:rPr>
          <w:rFonts w:hint="cs"/>
          <w:rtl/>
        </w:rPr>
        <w:t xml:space="preserve"> دلیل ظهوری در معنا</w:t>
      </w:r>
      <w:r w:rsidR="008028E3">
        <w:rPr>
          <w:rFonts w:hint="cs"/>
          <w:rtl/>
        </w:rPr>
        <w:t>ی حقیقی ندارد و اجمال دارد.</w:t>
      </w:r>
    </w:p>
    <w:p w:rsidR="00C806CE" w:rsidRDefault="00C806CE" w:rsidP="00C806CE">
      <w:pPr>
        <w:jc w:val="both"/>
        <w:rPr>
          <w:rtl/>
        </w:rPr>
      </w:pPr>
      <w:r>
        <w:rPr>
          <w:rFonts w:hint="cs"/>
          <w:rtl/>
        </w:rPr>
        <w:t>ممکن است علامه هم ناظر به این مطلب باشد که فرموده است: «کالمجمل»؛ زیرا گرچه موضوع له اولیه</w:t>
      </w:r>
      <w:r>
        <w:rPr>
          <w:rFonts w:hint="eastAsia"/>
          <w:rtl/>
        </w:rPr>
        <w:t>‌</w:t>
      </w:r>
      <w:r>
        <w:rPr>
          <w:rFonts w:hint="cs"/>
          <w:rtl/>
        </w:rPr>
        <w:t>ی «شهر»، ماه هلالی است؛ اما وقتی احتمال اراده</w:t>
      </w:r>
      <w:r>
        <w:rPr>
          <w:rFonts w:hint="eastAsia"/>
          <w:rtl/>
        </w:rPr>
        <w:t>‌</w:t>
      </w:r>
      <w:r>
        <w:rPr>
          <w:rFonts w:hint="cs"/>
          <w:rtl/>
        </w:rPr>
        <w:t>ی مجاز</w:t>
      </w:r>
      <w:r w:rsidR="00832FE2">
        <w:rPr>
          <w:rFonts w:hint="cs"/>
          <w:rtl/>
        </w:rPr>
        <w:t>ِ</w:t>
      </w:r>
      <w:r>
        <w:rPr>
          <w:rFonts w:hint="cs"/>
          <w:rtl/>
        </w:rPr>
        <w:t xml:space="preserve"> مشهوری زیاد است به طوری که مساوی با حقیقت می شود، این مجمل عرضی مانند مجمل ذاتی می شود</w:t>
      </w:r>
      <w:r w:rsidR="00412AA1">
        <w:rPr>
          <w:rFonts w:hint="cs"/>
          <w:rtl/>
        </w:rPr>
        <w:t>.</w:t>
      </w:r>
    </w:p>
    <w:p w:rsidR="00F06540" w:rsidRDefault="00F06540" w:rsidP="00BD4A63">
      <w:pPr>
        <w:jc w:val="both"/>
        <w:rPr>
          <w:rtl/>
        </w:rPr>
      </w:pPr>
      <w:r>
        <w:rPr>
          <w:rFonts w:hint="cs"/>
          <w:rtl/>
        </w:rPr>
        <w:t xml:space="preserve">در انتهای عبارت مرحوم شیخ محمد حسین اصفهانی چنین آمده است: </w:t>
      </w:r>
      <w:r w:rsidRPr="00A245CE">
        <w:rPr>
          <w:rFonts w:hint="cs"/>
          <w:color w:val="000080"/>
          <w:rtl/>
        </w:rPr>
        <w:t>مضافا الى دعوى الاتفاق</w:t>
      </w:r>
      <w:r>
        <w:rPr>
          <w:rFonts w:hint="cs"/>
          <w:rtl/>
        </w:rPr>
        <w:t xml:space="preserve"> ...</w:t>
      </w:r>
    </w:p>
    <w:p w:rsidR="00F06540" w:rsidRDefault="00F06540" w:rsidP="005105F4">
      <w:pPr>
        <w:jc w:val="both"/>
        <w:rPr>
          <w:rtl/>
        </w:rPr>
      </w:pPr>
      <w:r>
        <w:rPr>
          <w:rFonts w:hint="cs"/>
          <w:rtl/>
        </w:rPr>
        <w:t>یعنی ادعای اتفاق شده است که در صورتی که ماه تلفیقی محاسبه شود، ماه سی روزه در نظر گرفته می شود</w:t>
      </w:r>
      <w:r w:rsidR="005105F4">
        <w:rPr>
          <w:rFonts w:hint="cs"/>
          <w:rtl/>
        </w:rPr>
        <w:t xml:space="preserve"> و اختلاف در جایی است که تردد مسافر در اول ماه باشد</w:t>
      </w:r>
      <w:r>
        <w:rPr>
          <w:rFonts w:hint="cs"/>
          <w:rtl/>
        </w:rPr>
        <w:t xml:space="preserve"> و در انتها «فتدبر» آورده است که شاید اشاره به عدم چنین اتفاقی باشد.</w:t>
      </w:r>
    </w:p>
    <w:p w:rsidR="002E51E0" w:rsidRDefault="00596206" w:rsidP="00BD4A63">
      <w:pPr>
        <w:jc w:val="both"/>
        <w:rPr>
          <w:rtl/>
        </w:rPr>
      </w:pPr>
      <w:r>
        <w:rPr>
          <w:rFonts w:hint="cs"/>
          <w:rtl/>
        </w:rPr>
        <w:t>این مطلب که اختلاف در تردد اول ماه می باشد، در کلام فقهای دیگر هم آمده است:</w:t>
      </w:r>
    </w:p>
    <w:p w:rsidR="00596206" w:rsidRPr="00596206" w:rsidRDefault="00596206" w:rsidP="00596206">
      <w:pPr>
        <w:pStyle w:val="Heading1"/>
      </w:pPr>
      <w:bookmarkStart w:id="10" w:name="_Toc38144777"/>
      <w:r>
        <w:rPr>
          <w:rFonts w:hint="cs"/>
          <w:rtl/>
        </w:rPr>
        <w:t xml:space="preserve">کلام </w:t>
      </w:r>
      <w:r w:rsidRPr="00596206">
        <w:rPr>
          <w:rFonts w:hint="cs"/>
          <w:rtl/>
        </w:rPr>
        <w:t>محمد بن على موسوى‌</w:t>
      </w:r>
      <w:r>
        <w:rPr>
          <w:rFonts w:hint="cs"/>
          <w:rtl/>
        </w:rPr>
        <w:t xml:space="preserve"> عاملی در مدارک الاحکام</w:t>
      </w:r>
      <w:bookmarkEnd w:id="10"/>
    </w:p>
    <w:p w:rsidR="00596206" w:rsidRDefault="00596206" w:rsidP="00596206">
      <w:pPr>
        <w:jc w:val="both"/>
        <w:rPr>
          <w:rtl/>
        </w:rPr>
      </w:pPr>
      <w:r w:rsidRPr="00596206">
        <w:rPr>
          <w:rFonts w:hint="cs"/>
          <w:rtl/>
        </w:rPr>
        <w:t>محمد بن على موسوى‌</w:t>
      </w:r>
      <w:r>
        <w:rPr>
          <w:rFonts w:hint="cs"/>
          <w:rtl/>
        </w:rPr>
        <w:t xml:space="preserve"> عاملی در مدارک الاحکام می فرماید:</w:t>
      </w:r>
    </w:p>
    <w:p w:rsidR="00BD4A63" w:rsidRPr="00596206" w:rsidRDefault="00BD4A63" w:rsidP="00596206">
      <w:pPr>
        <w:jc w:val="both"/>
      </w:pPr>
      <w:r w:rsidRPr="00BD4A63">
        <w:rPr>
          <w:rFonts w:hint="cs"/>
          <w:color w:val="000080"/>
          <w:rtl/>
        </w:rPr>
        <w:t>قوله: (و إن تردد عزمه قصّر ما بينه و بين شهر، ثم أتم و لو صلاة واحدة).</w:t>
      </w:r>
    </w:p>
    <w:p w:rsidR="00BD4A63" w:rsidRPr="00BD4A63" w:rsidRDefault="00BD4A63" w:rsidP="00BD4A63">
      <w:pPr>
        <w:jc w:val="both"/>
        <w:rPr>
          <w:color w:val="000080"/>
          <w:rtl/>
        </w:rPr>
      </w:pPr>
      <w:r w:rsidRPr="00BD4A63">
        <w:rPr>
          <w:rFonts w:hint="cs"/>
          <w:color w:val="000080"/>
          <w:rtl/>
        </w:rPr>
        <w:lastRenderedPageBreak/>
        <w:t>هذا الحكم مجمع عليه بين الأصحاب. و تدل عليه روايات كثيرة، منها: قوله عليه السلام في صحيحة معاوية بن وهب: «و إن أردت دون العشرة فقصّر ما بينك و بين شهر، فإذا تم الشهر فأتم الصلاة».</w:t>
      </w:r>
    </w:p>
    <w:p w:rsidR="00BD4A63" w:rsidRPr="00BD4A63" w:rsidRDefault="00BD4A63" w:rsidP="00BD4A63">
      <w:pPr>
        <w:jc w:val="both"/>
        <w:rPr>
          <w:color w:val="000080"/>
          <w:rtl/>
        </w:rPr>
      </w:pPr>
      <w:r w:rsidRPr="00BD4A63">
        <w:rPr>
          <w:rFonts w:hint="cs"/>
          <w:color w:val="000080"/>
          <w:rtl/>
        </w:rPr>
        <w:t xml:space="preserve">و في حسنة أبي أيوب: «فإن لم يدر ما يقيم </w:t>
      </w:r>
      <w:r w:rsidR="002E51E0">
        <w:rPr>
          <w:rFonts w:hint="cs"/>
          <w:color w:val="000080"/>
          <w:rtl/>
        </w:rPr>
        <w:t>يوما أو أكثر فليعد ثلاثين يوما ث</w:t>
      </w:r>
      <w:r w:rsidRPr="00BD4A63">
        <w:rPr>
          <w:rFonts w:hint="cs"/>
          <w:color w:val="000080"/>
          <w:rtl/>
        </w:rPr>
        <w:t>م ليتم».</w:t>
      </w:r>
    </w:p>
    <w:p w:rsidR="00BD4A63" w:rsidRPr="00BD4A63" w:rsidRDefault="00BD4A63" w:rsidP="00BD4A63">
      <w:pPr>
        <w:jc w:val="both"/>
        <w:rPr>
          <w:color w:val="000080"/>
          <w:rtl/>
        </w:rPr>
      </w:pPr>
      <w:r w:rsidRPr="00BD4A63">
        <w:rPr>
          <w:rFonts w:hint="cs"/>
          <w:color w:val="000080"/>
          <w:rtl/>
        </w:rPr>
        <w:t>و إطلاق الرواية الأولى و كلام أكثر الأصحاب يقتضي الاكتفاء بالشهر الهلالي إذا حصل التردد في أوله و إن كان ناقصا. و اعتبر العلامة في التذكرة الثلاثين و لم يعتبر الشهر الهلالي، قال: لأن لفظ الشهر كالمجمل و لفظ الثلاثين كالمبين. و لا بأس به.</w:t>
      </w:r>
      <w:r>
        <w:rPr>
          <w:rStyle w:val="FootnoteReference"/>
          <w:color w:val="000080"/>
          <w:rtl/>
        </w:rPr>
        <w:footnoteReference w:id="8"/>
      </w:r>
    </w:p>
    <w:p w:rsidR="00596206" w:rsidRPr="00596206" w:rsidRDefault="00596206" w:rsidP="00596206">
      <w:pPr>
        <w:jc w:val="both"/>
      </w:pPr>
      <w:r>
        <w:rPr>
          <w:rFonts w:hint="cs"/>
          <w:rtl/>
        </w:rPr>
        <w:t xml:space="preserve">در </w:t>
      </w:r>
      <w:r w:rsidRPr="00596206">
        <w:rPr>
          <w:rFonts w:hint="cs"/>
          <w:rtl/>
        </w:rPr>
        <w:t>استقصاء الاعتبار في شرح الاستبصار‌</w:t>
      </w:r>
      <w:r>
        <w:rPr>
          <w:rFonts w:hint="cs"/>
          <w:rtl/>
        </w:rPr>
        <w:t xml:space="preserve"> ( ج 4، ص 138) هم شبیه این عبارت آمده است.</w:t>
      </w:r>
    </w:p>
    <w:p w:rsidR="00AD2DAD" w:rsidRDefault="00920570" w:rsidP="00920570">
      <w:pPr>
        <w:pStyle w:val="Heading1"/>
      </w:pPr>
      <w:bookmarkStart w:id="11" w:name="_Toc38144778"/>
      <w:r>
        <w:rPr>
          <w:rFonts w:hint="cs"/>
          <w:rtl/>
        </w:rPr>
        <w:t>کلام مرحوم سبزواری در ذخیرة المعاد</w:t>
      </w:r>
      <w:bookmarkEnd w:id="11"/>
    </w:p>
    <w:p w:rsidR="00920570" w:rsidRDefault="00920570" w:rsidP="006B1EAF">
      <w:pPr>
        <w:jc w:val="both"/>
        <w:rPr>
          <w:rtl/>
        </w:rPr>
      </w:pPr>
      <w:r>
        <w:rPr>
          <w:rFonts w:hint="cs"/>
          <w:rtl/>
        </w:rPr>
        <w:t>مرحوم سبزواری در ذخیرة المعاد می فرماید:</w:t>
      </w:r>
    </w:p>
    <w:p w:rsidR="00600B69" w:rsidRPr="00600B69" w:rsidRDefault="00600B69" w:rsidP="00600B69">
      <w:pPr>
        <w:jc w:val="both"/>
        <w:rPr>
          <w:color w:val="000080"/>
        </w:rPr>
      </w:pPr>
      <w:r w:rsidRPr="00600B69">
        <w:rPr>
          <w:rFonts w:hint="cs"/>
          <w:color w:val="000080"/>
          <w:rtl/>
        </w:rPr>
        <w:t xml:space="preserve">و هل يجوز الاكتفاء بالشهر الهلالي إذا حصل التردد في أوله يحتمل ذلك لصدق الشهر عليه و هو مقتضى إطلاق كلام أكثر الأصحاب و حينئذ فالثلاثين المذكورة في حسنة أبي أيوب </w:t>
      </w:r>
      <w:r w:rsidR="00EC73F5">
        <w:rPr>
          <w:rFonts w:hint="cs"/>
          <w:color w:val="000080"/>
          <w:rtl/>
        </w:rPr>
        <w:t>محمول على الغالب من عدم كون مبدا</w:t>
      </w:r>
      <w:r w:rsidRPr="00600B69">
        <w:rPr>
          <w:rFonts w:hint="cs"/>
          <w:color w:val="000080"/>
          <w:rtl/>
        </w:rPr>
        <w:t xml:space="preserve"> التردد مبدأ الشهر</w:t>
      </w:r>
      <w:r>
        <w:rPr>
          <w:rStyle w:val="FootnoteReference"/>
          <w:color w:val="000080"/>
          <w:rtl/>
        </w:rPr>
        <w:footnoteReference w:id="9"/>
      </w:r>
    </w:p>
    <w:p w:rsidR="007636B2" w:rsidRDefault="007636B2" w:rsidP="007636B2">
      <w:pPr>
        <w:jc w:val="both"/>
        <w:rPr>
          <w:rtl/>
        </w:rPr>
      </w:pPr>
      <w:r>
        <w:rPr>
          <w:rFonts w:hint="cs"/>
          <w:rtl/>
        </w:rPr>
        <w:t>به نظر می رسد این مطلب مسلم نباشد، البته ممکن است فقیهی چنین مبنایی داشته باشد که اگر وسط ماه باشد، باید ثلاثین لحاظ کنیم. مثلا مرحوم مجلسی اول در عده</w:t>
      </w:r>
      <w:r>
        <w:rPr>
          <w:rFonts w:hint="eastAsia"/>
          <w:rtl/>
        </w:rPr>
        <w:t>‌</w:t>
      </w:r>
      <w:r>
        <w:rPr>
          <w:rFonts w:hint="cs"/>
          <w:rtl/>
        </w:rPr>
        <w:t>ی طلاق در روضة المتقین می فرماید:</w:t>
      </w:r>
    </w:p>
    <w:p w:rsidR="007636B2" w:rsidRPr="007636B2" w:rsidRDefault="007636B2" w:rsidP="007636B2">
      <w:pPr>
        <w:jc w:val="both"/>
        <w:rPr>
          <w:color w:val="000080"/>
        </w:rPr>
      </w:pPr>
      <w:r w:rsidRPr="007636B2">
        <w:rPr>
          <w:rFonts w:hint="cs"/>
          <w:color w:val="000080"/>
          <w:rtl/>
        </w:rPr>
        <w:t>فإن كان الطلاق في أول الهلال فيراعي الأهلة و إن كان في وسطه فيراعي الثلاثين على الظاهر.</w:t>
      </w:r>
      <w:r>
        <w:rPr>
          <w:rStyle w:val="FootnoteReference"/>
          <w:color w:val="000080"/>
          <w:rtl/>
        </w:rPr>
        <w:footnoteReference w:id="10"/>
      </w:r>
    </w:p>
    <w:p w:rsidR="007636B2" w:rsidRDefault="007636B2" w:rsidP="000831C2">
      <w:pPr>
        <w:jc w:val="both"/>
        <w:rPr>
          <w:rtl/>
        </w:rPr>
      </w:pPr>
      <w:r>
        <w:rPr>
          <w:rFonts w:hint="cs"/>
          <w:rtl/>
        </w:rPr>
        <w:t>اما این مطلب مسلم نیست و شیخ</w:t>
      </w:r>
      <w:r w:rsidR="00FD7518">
        <w:rPr>
          <w:rFonts w:hint="cs"/>
          <w:rtl/>
        </w:rPr>
        <w:t xml:space="preserve"> طوسی در خلاف که اخ</w:t>
      </w:r>
      <w:r w:rsidR="00360618">
        <w:rPr>
          <w:rFonts w:hint="cs"/>
          <w:rtl/>
        </w:rPr>
        <w:t>تلاف اقوال عامه را نقل کرده،</w:t>
      </w:r>
      <w:r w:rsidR="00FD7518">
        <w:rPr>
          <w:rFonts w:hint="cs"/>
          <w:rtl/>
        </w:rPr>
        <w:t xml:space="preserve"> «ثلاثین» را از باب احتیاط</w:t>
      </w:r>
      <w:r w:rsidR="00360618">
        <w:rPr>
          <w:rFonts w:hint="cs"/>
          <w:rtl/>
        </w:rPr>
        <w:t xml:space="preserve"> بیان کرده است و قول ابوحنیفه را که به مقدار کمبود ماه او</w:t>
      </w:r>
      <w:r w:rsidR="00A6535E">
        <w:rPr>
          <w:rFonts w:hint="cs"/>
          <w:rtl/>
        </w:rPr>
        <w:t>ل</w:t>
      </w:r>
      <w:r w:rsidR="000831C2">
        <w:rPr>
          <w:rFonts w:hint="cs"/>
          <w:rtl/>
        </w:rPr>
        <w:t xml:space="preserve"> از ماه چهارم</w:t>
      </w:r>
      <w:r w:rsidR="00A6535E">
        <w:rPr>
          <w:rFonts w:hint="cs"/>
          <w:rtl/>
        </w:rPr>
        <w:t xml:space="preserve"> لحاظ کرده است، قوی دانسته است و در مواضع دیگر هم به این مطلب اشاره کرده است:</w:t>
      </w:r>
    </w:p>
    <w:p w:rsidR="007636B2" w:rsidRDefault="00A6535E" w:rsidP="00A6535E">
      <w:pPr>
        <w:pStyle w:val="Heading1"/>
        <w:rPr>
          <w:rtl/>
        </w:rPr>
      </w:pPr>
      <w:bookmarkStart w:id="12" w:name="_Toc38144779"/>
      <w:r>
        <w:rPr>
          <w:rFonts w:hint="cs"/>
          <w:rtl/>
        </w:rPr>
        <w:t>کلام شیخ طوسی در مبسوط</w:t>
      </w:r>
      <w:bookmarkEnd w:id="12"/>
    </w:p>
    <w:p w:rsidR="00600B69" w:rsidRPr="004813C4" w:rsidRDefault="00600B69" w:rsidP="00600B69">
      <w:pPr>
        <w:jc w:val="both"/>
        <w:rPr>
          <w:color w:val="000080"/>
        </w:rPr>
      </w:pPr>
      <w:r w:rsidRPr="004813C4">
        <w:rPr>
          <w:rFonts w:hint="cs"/>
          <w:color w:val="000080"/>
          <w:rtl/>
        </w:rPr>
        <w:t>و إن قال: إلى خمسة أشهر جاز أيضا و حمل على الأشهر الهلالية لأن الله تعالى علق بها مواقيت الناس.</w:t>
      </w:r>
    </w:p>
    <w:p w:rsidR="00600B69" w:rsidRPr="004813C4" w:rsidRDefault="00600B69" w:rsidP="00600B69">
      <w:pPr>
        <w:jc w:val="both"/>
        <w:rPr>
          <w:color w:val="000080"/>
          <w:rtl/>
        </w:rPr>
      </w:pPr>
      <w:r w:rsidRPr="004813C4">
        <w:rPr>
          <w:rFonts w:hint="cs"/>
          <w:color w:val="000080"/>
          <w:rtl/>
        </w:rPr>
        <w:lastRenderedPageBreak/>
        <w:t xml:space="preserve">و إذا ثبت ذلك نظر فإن لم يكن مضى من الهلال شي‌ء عد خمسة أشهر، و إن كان قد مضى من الهلال شي‌ء حسب ما بقي ثم عد ما بعده بالأهلة سواء كانت ناقصة أو تامة ثم أتم الشهر الأخير بالعدد ثلاثين يوما لأنه فات الهلال </w:t>
      </w:r>
      <w:r w:rsidRPr="00A6535E">
        <w:rPr>
          <w:rFonts w:hint="cs"/>
          <w:color w:val="000080"/>
          <w:u w:val="single"/>
          <w:rtl/>
        </w:rPr>
        <w:t>و إن قلنا: إنه يعد مثل ما فات من الشهر الأول الهلالي كان قويا</w:t>
      </w:r>
      <w:r w:rsidR="004813C4">
        <w:rPr>
          <w:rStyle w:val="FootnoteReference"/>
          <w:color w:val="000080"/>
          <w:rtl/>
        </w:rPr>
        <w:footnoteReference w:id="11"/>
      </w:r>
    </w:p>
    <w:p w:rsidR="00600B69" w:rsidRDefault="00A6535E" w:rsidP="006B1EAF">
      <w:pPr>
        <w:jc w:val="both"/>
        <w:rPr>
          <w:rtl/>
        </w:rPr>
      </w:pPr>
      <w:r>
        <w:rPr>
          <w:rFonts w:hint="cs"/>
          <w:rtl/>
        </w:rPr>
        <w:t>در جای دیگر می فرماید:</w:t>
      </w:r>
    </w:p>
    <w:p w:rsidR="004813C4" w:rsidRPr="004813C4" w:rsidRDefault="004813C4" w:rsidP="004813C4">
      <w:pPr>
        <w:jc w:val="both"/>
        <w:rPr>
          <w:color w:val="000080"/>
        </w:rPr>
      </w:pPr>
      <w:r w:rsidRPr="004813C4">
        <w:rPr>
          <w:rFonts w:hint="cs"/>
          <w:color w:val="000080"/>
          <w:rtl/>
        </w:rPr>
        <w:t>و إن أطلقا ذلك رجع إلى السنة الهلالية لأن الشرع ورد بها.</w:t>
      </w:r>
    </w:p>
    <w:p w:rsidR="004813C4" w:rsidRPr="004813C4" w:rsidRDefault="004813C4" w:rsidP="004813C4">
      <w:pPr>
        <w:jc w:val="both"/>
        <w:rPr>
          <w:color w:val="000080"/>
          <w:rtl/>
        </w:rPr>
      </w:pPr>
      <w:r w:rsidRPr="004813C4">
        <w:rPr>
          <w:rFonts w:hint="cs"/>
          <w:color w:val="000080"/>
          <w:rtl/>
        </w:rPr>
        <w:t xml:space="preserve">إذا ثبت هذا فان وافق ذلك أول الهلال كانت السنة كلها بالأهلة و إن لم يوافق ذلك أول الهلال عدد الباقي من ذلك الشهر، و كان ما عداه بالأهلة ثم يكمل ذلك الشهر الأول من الشهر الأخير ثلاثين يوما، </w:t>
      </w:r>
      <w:r w:rsidRPr="003F3306">
        <w:rPr>
          <w:rFonts w:hint="cs"/>
          <w:color w:val="000080"/>
          <w:u w:val="single"/>
          <w:rtl/>
        </w:rPr>
        <w:t>و إن قلنا: إنه يكمل بقدر ما مضى من ذلك الشهر كان قويا.</w:t>
      </w:r>
      <w:r>
        <w:rPr>
          <w:rStyle w:val="FootnoteReference"/>
          <w:color w:val="000080"/>
          <w:rtl/>
        </w:rPr>
        <w:footnoteReference w:id="12"/>
      </w:r>
    </w:p>
    <w:p w:rsidR="00582F6C" w:rsidRDefault="003F3306" w:rsidP="00096B01">
      <w:pPr>
        <w:jc w:val="both"/>
        <w:rPr>
          <w:rtl/>
        </w:rPr>
      </w:pPr>
      <w:r>
        <w:rPr>
          <w:rFonts w:hint="cs"/>
          <w:rtl/>
        </w:rPr>
        <w:t>عبارات مبسوط غالبا از شافعیه گرفته شده است. شیخ ابتدا مطالب آن ها را بیان می کند و در انتها نظر خودش را بیان می کند.</w:t>
      </w:r>
    </w:p>
    <w:p w:rsidR="00096B01" w:rsidRDefault="00096B01" w:rsidP="00096B01">
      <w:pPr>
        <w:jc w:val="both"/>
        <w:rPr>
          <w:rtl/>
        </w:rPr>
      </w:pPr>
      <w:r>
        <w:rPr>
          <w:rFonts w:hint="cs"/>
          <w:rtl/>
        </w:rPr>
        <w:t>در جای دیگر می فرماید:</w:t>
      </w:r>
    </w:p>
    <w:p w:rsidR="004813C4" w:rsidRPr="004813C4" w:rsidRDefault="004813C4" w:rsidP="004813C4">
      <w:pPr>
        <w:jc w:val="both"/>
        <w:rPr>
          <w:color w:val="000080"/>
        </w:rPr>
      </w:pPr>
      <w:r w:rsidRPr="004813C4">
        <w:rPr>
          <w:rFonts w:hint="cs"/>
          <w:color w:val="000080"/>
          <w:rtl/>
        </w:rPr>
        <w:t>أما إذا ابتدأ بصوم الشهرين من أول يوم الفطر أو صام شوال و ذا القعدة فيوم الفطر لا يصح صومه، و يصح صوم ما بعده، فأما ذو القعدة فإنه يصح و يجزى عن شهر تاما كان أو ناقصا، فان الشهرين اسم لما بين الهلالين.</w:t>
      </w:r>
    </w:p>
    <w:p w:rsidR="004813C4" w:rsidRPr="004813C4" w:rsidRDefault="004813C4" w:rsidP="004813C4">
      <w:pPr>
        <w:jc w:val="both"/>
        <w:rPr>
          <w:rtl/>
        </w:rPr>
      </w:pPr>
      <w:r w:rsidRPr="004813C4">
        <w:rPr>
          <w:rFonts w:hint="cs"/>
          <w:color w:val="000080"/>
          <w:rtl/>
        </w:rPr>
        <w:t xml:space="preserve">و أما شوال فإنه انقطع يوم من أوله فلا يمكن اعتباره بالهلال فتعتبر بالعدد فيحتاج، أن يتمه ثلاثين يوما: فان كان شوال تاما فقد حصل له تسعة و عشرون يوما فيصوم يوما واحدا من ذي الحجة، و إن كان ناقصا صام يومين، </w:t>
      </w:r>
      <w:r w:rsidRPr="00600954">
        <w:rPr>
          <w:rFonts w:hint="cs"/>
          <w:color w:val="000080"/>
          <w:u w:val="single"/>
          <w:rtl/>
        </w:rPr>
        <w:t>و إن قلنا يقضى يوما لأنه ما أفطر من الشهر الهلالي إلا يوما كان قويا</w:t>
      </w:r>
      <w:r w:rsidRPr="004813C4">
        <w:rPr>
          <w:rFonts w:hint="cs"/>
          <w:color w:val="000080"/>
          <w:rtl/>
        </w:rPr>
        <w:t>.</w:t>
      </w:r>
      <w:r>
        <w:rPr>
          <w:rStyle w:val="FootnoteReference"/>
          <w:color w:val="000080"/>
          <w:rtl/>
        </w:rPr>
        <w:footnoteReference w:id="13"/>
      </w:r>
    </w:p>
    <w:p w:rsidR="00582F6C" w:rsidRDefault="00600954" w:rsidP="006B1EAF">
      <w:pPr>
        <w:jc w:val="both"/>
        <w:rPr>
          <w:rtl/>
        </w:rPr>
      </w:pPr>
      <w:r>
        <w:rPr>
          <w:rFonts w:hint="cs"/>
          <w:rtl/>
        </w:rPr>
        <w:t>شیخ طوسی در این عبارات مقدار ناقصی از ماه اول را با ماه آخر کامل می کند.</w:t>
      </w:r>
    </w:p>
    <w:p w:rsidR="00F94E12" w:rsidRPr="006162A2" w:rsidRDefault="00F94E12" w:rsidP="006B1EAF">
      <w:pPr>
        <w:jc w:val="both"/>
        <w:rPr>
          <w:rtl/>
        </w:rPr>
      </w:pPr>
    </w:p>
    <w:sectPr w:rsidR="00F94E12"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0A2" w:rsidRDefault="001C30A2" w:rsidP="008B750B">
      <w:pPr>
        <w:spacing w:line="240" w:lineRule="auto"/>
      </w:pPr>
      <w:r>
        <w:separator/>
      </w:r>
    </w:p>
  </w:endnote>
  <w:endnote w:type="continuationSeparator" w:id="0">
    <w:p w:rsidR="001C30A2" w:rsidRDefault="001C30A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46AC0" w:rsidRPr="00746AC0">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903195" w:rsidP="001B6799">
          <w:pPr>
            <w:pStyle w:val="Footer"/>
            <w:bidi w:val="0"/>
            <w:rPr>
              <w:color w:val="808080" w:themeColor="background1" w:themeShade="80"/>
              <w:rtl/>
            </w:rPr>
          </w:pPr>
          <w:bookmarkStart w:id="20" w:name="BokAdres"/>
          <w:bookmarkEnd w:id="20"/>
          <w:r>
            <w:rPr>
              <w:color w:val="808080" w:themeColor="background1" w:themeShade="80"/>
            </w:rPr>
            <w:t>F1js1_13990130-089_mk3_mfeb.ir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0A2" w:rsidRDefault="001C30A2" w:rsidP="008B750B">
      <w:pPr>
        <w:spacing w:line="240" w:lineRule="auto"/>
      </w:pPr>
      <w:r>
        <w:separator/>
      </w:r>
    </w:p>
  </w:footnote>
  <w:footnote w:type="continuationSeparator" w:id="0">
    <w:p w:rsidR="001C30A2" w:rsidRDefault="001C30A2" w:rsidP="008B750B">
      <w:pPr>
        <w:spacing w:line="240" w:lineRule="auto"/>
      </w:pPr>
      <w:r>
        <w:continuationSeparator/>
      </w:r>
    </w:p>
  </w:footnote>
  <w:footnote w:id="1">
    <w:p w:rsidR="001F1123" w:rsidRDefault="001F1123" w:rsidP="009A553F">
      <w:pPr>
        <w:pStyle w:val="FootnoteText"/>
      </w:pPr>
      <w:r>
        <w:rPr>
          <w:rStyle w:val="FootnoteReference"/>
        </w:rPr>
        <w:footnoteRef/>
      </w:r>
      <w:r>
        <w:rPr>
          <w:rtl/>
        </w:rPr>
        <w:t xml:space="preserve"> </w:t>
      </w:r>
      <w:r w:rsidR="009A553F">
        <w:rPr>
          <w:rtl/>
        </w:rPr>
        <w:t>كتاب الصلاة</w:t>
      </w:r>
      <w:r w:rsidR="009A553F">
        <w:rPr>
          <w:rFonts w:hint="cs"/>
          <w:rtl/>
        </w:rPr>
        <w:t xml:space="preserve">، عبدالکریم </w:t>
      </w:r>
      <w:r w:rsidR="009A553F">
        <w:rPr>
          <w:rtl/>
        </w:rPr>
        <w:t>حائري</w:t>
      </w:r>
      <w:r>
        <w:rPr>
          <w:rtl/>
        </w:rPr>
        <w:t>، ص</w:t>
      </w:r>
      <w:r w:rsidRPr="001F1123">
        <w:rPr>
          <w:rtl/>
        </w:rPr>
        <w:t xml:space="preserve"> 642‌</w:t>
      </w:r>
    </w:p>
  </w:footnote>
  <w:footnote w:id="2">
    <w:p w:rsidR="0079341B" w:rsidRDefault="0079341B" w:rsidP="0079341B">
      <w:pPr>
        <w:pStyle w:val="FootnoteText"/>
      </w:pPr>
      <w:r>
        <w:rPr>
          <w:rStyle w:val="FootnoteReference"/>
        </w:rPr>
        <w:footnoteRef/>
      </w:r>
      <w:r>
        <w:rPr>
          <w:rtl/>
        </w:rPr>
        <w:t xml:space="preserve"> </w:t>
      </w:r>
      <w:hyperlink r:id="rId1" w:history="1">
        <w:r w:rsidRPr="00F94E12">
          <w:rPr>
            <w:rStyle w:val="Hyperlink"/>
            <w:rtl/>
          </w:rPr>
          <w:t>تذكرة الفقهاء</w:t>
        </w:r>
        <w:r w:rsidRPr="00F94E12">
          <w:rPr>
            <w:rStyle w:val="Hyperlink"/>
            <w:rFonts w:hint="cs"/>
            <w:rtl/>
          </w:rPr>
          <w:t xml:space="preserve">، </w:t>
        </w:r>
        <w:r w:rsidRPr="00F94E12">
          <w:rPr>
            <w:rStyle w:val="Hyperlink"/>
            <w:rtl/>
          </w:rPr>
          <w:t>العلامة الحلي</w:t>
        </w:r>
        <w:r w:rsidRPr="00F94E12">
          <w:rPr>
            <w:rStyle w:val="Hyperlink"/>
            <w:rFonts w:hint="cs"/>
            <w:rtl/>
          </w:rPr>
          <w:t>،</w:t>
        </w:r>
        <w:r w:rsidRPr="00F94E12">
          <w:rPr>
            <w:rStyle w:val="Hyperlink"/>
            <w:rtl/>
          </w:rPr>
          <w:t xml:space="preserve"> جلد 4</w:t>
        </w:r>
        <w:r w:rsidRPr="00F94E12">
          <w:rPr>
            <w:rStyle w:val="Hyperlink"/>
            <w:rFonts w:hint="cs"/>
            <w:rtl/>
          </w:rPr>
          <w:t xml:space="preserve">، </w:t>
        </w:r>
        <w:r w:rsidRPr="00F94E12">
          <w:rPr>
            <w:rStyle w:val="Hyperlink"/>
            <w:rtl/>
          </w:rPr>
          <w:t>صفحه 389</w:t>
        </w:r>
      </w:hyperlink>
    </w:p>
  </w:footnote>
  <w:footnote w:id="3">
    <w:p w:rsidR="006A2897" w:rsidRDefault="006A2897">
      <w:pPr>
        <w:pStyle w:val="FootnoteText"/>
      </w:pPr>
      <w:r>
        <w:rPr>
          <w:rStyle w:val="FootnoteReference"/>
        </w:rPr>
        <w:footnoteRef/>
      </w:r>
      <w:r>
        <w:rPr>
          <w:rtl/>
        </w:rPr>
        <w:t xml:space="preserve"> </w:t>
      </w:r>
      <w:hyperlink r:id="rId2" w:history="1">
        <w:r w:rsidRPr="006A2897">
          <w:rPr>
            <w:rStyle w:val="Hyperlink"/>
            <w:rFonts w:hint="cs"/>
            <w:rtl/>
          </w:rPr>
          <w:t xml:space="preserve">نهایة </w:t>
        </w:r>
        <w:r w:rsidRPr="006A2897">
          <w:rPr>
            <w:rStyle w:val="Hyperlink"/>
            <w:rFonts w:hint="cs"/>
            <w:rtl/>
          </w:rPr>
          <w:t>الاحکام، العلامة الحلی، ج 2، ص 176</w:t>
        </w:r>
      </w:hyperlink>
    </w:p>
  </w:footnote>
  <w:footnote w:id="4">
    <w:p w:rsidR="00582F6C" w:rsidRDefault="00582F6C">
      <w:pPr>
        <w:pStyle w:val="FootnoteText"/>
      </w:pPr>
      <w:r>
        <w:rPr>
          <w:rStyle w:val="FootnoteReference"/>
        </w:rPr>
        <w:footnoteRef/>
      </w:r>
      <w:r>
        <w:rPr>
          <w:rtl/>
        </w:rPr>
        <w:t xml:space="preserve"> </w:t>
      </w:r>
      <w:hyperlink r:id="rId3" w:history="1">
        <w:r w:rsidRPr="00582F6C">
          <w:rPr>
            <w:rStyle w:val="Hyperlink"/>
            <w:rtl/>
          </w:rPr>
          <w:t xml:space="preserve">مصابيح </w:t>
        </w:r>
        <w:r w:rsidRPr="00582F6C">
          <w:rPr>
            <w:rStyle w:val="Hyperlink"/>
            <w:rtl/>
          </w:rPr>
          <w:t>الظلام ف</w:t>
        </w:r>
        <w:r w:rsidRPr="00582F6C">
          <w:rPr>
            <w:rStyle w:val="Hyperlink"/>
            <w:rFonts w:hint="cs"/>
            <w:rtl/>
          </w:rPr>
          <w:t>ی</w:t>
        </w:r>
        <w:r w:rsidRPr="00582F6C">
          <w:rPr>
            <w:rStyle w:val="Hyperlink"/>
            <w:rtl/>
          </w:rPr>
          <w:t xml:space="preserve"> شرح مفات</w:t>
        </w:r>
        <w:r w:rsidRPr="00582F6C">
          <w:rPr>
            <w:rStyle w:val="Hyperlink"/>
            <w:rFonts w:hint="cs"/>
            <w:rtl/>
          </w:rPr>
          <w:t>ی</w:t>
        </w:r>
        <w:r w:rsidRPr="00582F6C">
          <w:rPr>
            <w:rStyle w:val="Hyperlink"/>
            <w:rFonts w:hint="eastAsia"/>
            <w:rtl/>
          </w:rPr>
          <w:t>ح</w:t>
        </w:r>
        <w:r w:rsidRPr="00582F6C">
          <w:rPr>
            <w:rStyle w:val="Hyperlink"/>
            <w:rtl/>
          </w:rPr>
          <w:t xml:space="preserve"> الشرا</w:t>
        </w:r>
        <w:r w:rsidRPr="00582F6C">
          <w:rPr>
            <w:rStyle w:val="Hyperlink"/>
            <w:rFonts w:hint="cs"/>
            <w:rtl/>
          </w:rPr>
          <w:t>ی</w:t>
        </w:r>
        <w:r w:rsidRPr="00582F6C">
          <w:rPr>
            <w:rStyle w:val="Hyperlink"/>
            <w:rFonts w:hint="eastAsia"/>
            <w:rtl/>
          </w:rPr>
          <w:t>ع</w:t>
        </w:r>
        <w:r w:rsidRPr="00582F6C">
          <w:rPr>
            <w:rStyle w:val="Hyperlink"/>
            <w:rFonts w:hint="cs"/>
            <w:rtl/>
          </w:rPr>
          <w:t xml:space="preserve">، </w:t>
        </w:r>
        <w:r w:rsidRPr="00582F6C">
          <w:rPr>
            <w:rStyle w:val="Hyperlink"/>
            <w:rtl/>
          </w:rPr>
          <w:t>الوحيد البهبهاني، محمّد باقر</w:t>
        </w:r>
        <w:r w:rsidRPr="00582F6C">
          <w:rPr>
            <w:rStyle w:val="Hyperlink"/>
            <w:rFonts w:hint="cs"/>
            <w:rtl/>
          </w:rPr>
          <w:t xml:space="preserve">، </w:t>
        </w:r>
        <w:r w:rsidRPr="00582F6C">
          <w:rPr>
            <w:rStyle w:val="Hyperlink"/>
            <w:rtl/>
          </w:rPr>
          <w:t>ج 2 ص 146</w:t>
        </w:r>
      </w:hyperlink>
    </w:p>
  </w:footnote>
  <w:footnote w:id="5">
    <w:p w:rsidR="00FF0713" w:rsidRPr="00FF0713" w:rsidRDefault="00FF0713" w:rsidP="00FF0713">
      <w:pPr>
        <w:pStyle w:val="FootnoteText"/>
      </w:pPr>
      <w:r w:rsidRPr="00FF0713">
        <w:footnoteRef/>
      </w:r>
      <w:r w:rsidRPr="00FF0713">
        <w:rPr>
          <w:rtl/>
        </w:rPr>
        <w:t xml:space="preserve"> </w:t>
      </w:r>
      <w:r w:rsidRPr="00FF0713">
        <w:rPr>
          <w:rFonts w:hint="eastAsia"/>
          <w:rtl/>
        </w:rPr>
        <w:t>سوره</w:t>
      </w:r>
      <w:r w:rsidRPr="00FF0713">
        <w:rPr>
          <w:rtl/>
        </w:rPr>
        <w:t xml:space="preserve"> </w:t>
      </w:r>
      <w:r w:rsidRPr="00FF0713">
        <w:rPr>
          <w:rtl/>
        </w:rPr>
        <w:t>بقره، آيه 189.</w:t>
      </w:r>
    </w:p>
  </w:footnote>
  <w:footnote w:id="6">
    <w:p w:rsidR="00AD2DAD" w:rsidRDefault="00AD2DAD">
      <w:pPr>
        <w:pStyle w:val="FootnoteText"/>
      </w:pPr>
      <w:r>
        <w:rPr>
          <w:rStyle w:val="FootnoteReference"/>
        </w:rPr>
        <w:footnoteRef/>
      </w:r>
      <w:r>
        <w:rPr>
          <w:rtl/>
        </w:rPr>
        <w:t xml:space="preserve"> </w:t>
      </w:r>
      <w:hyperlink r:id="rId4" w:history="1">
        <w:r w:rsidRPr="00A245CE">
          <w:rPr>
            <w:rStyle w:val="Hyperlink"/>
            <w:rtl/>
          </w:rPr>
          <w:t>ذخ</w:t>
        </w:r>
        <w:r w:rsidRPr="00A245CE">
          <w:rPr>
            <w:rStyle w:val="Hyperlink"/>
            <w:rFonts w:hint="cs"/>
            <w:rtl/>
          </w:rPr>
          <w:t>ی</w:t>
        </w:r>
        <w:r w:rsidRPr="00A245CE">
          <w:rPr>
            <w:rStyle w:val="Hyperlink"/>
            <w:rFonts w:hint="eastAsia"/>
            <w:rtl/>
          </w:rPr>
          <w:t>رة</w:t>
        </w:r>
        <w:r w:rsidRPr="00A245CE">
          <w:rPr>
            <w:rStyle w:val="Hyperlink"/>
            <w:rtl/>
          </w:rPr>
          <w:t xml:space="preserve"> </w:t>
        </w:r>
        <w:r w:rsidRPr="00A245CE">
          <w:rPr>
            <w:rStyle w:val="Hyperlink"/>
            <w:rtl/>
          </w:rPr>
          <w:t>المعاد في شرح الإرشاد</w:t>
        </w:r>
        <w:r w:rsidRPr="00A245CE">
          <w:rPr>
            <w:rStyle w:val="Hyperlink"/>
            <w:rFonts w:hint="cs"/>
            <w:rtl/>
          </w:rPr>
          <w:t>،</w:t>
        </w:r>
        <w:r w:rsidRPr="00A245CE">
          <w:rPr>
            <w:rStyle w:val="Hyperlink"/>
            <w:rtl/>
          </w:rPr>
          <w:t xml:space="preserve"> المحقق السبزواري</w:t>
        </w:r>
        <w:r w:rsidRPr="00A245CE">
          <w:rPr>
            <w:rStyle w:val="Hyperlink"/>
            <w:rFonts w:hint="cs"/>
            <w:rtl/>
          </w:rPr>
          <w:t xml:space="preserve">، </w:t>
        </w:r>
        <w:r w:rsidRPr="00A245CE">
          <w:rPr>
            <w:rStyle w:val="Hyperlink"/>
            <w:rtl/>
          </w:rPr>
          <w:t>ج 2</w:t>
        </w:r>
        <w:r w:rsidRPr="00A245CE">
          <w:rPr>
            <w:rStyle w:val="Hyperlink"/>
            <w:rFonts w:hint="cs"/>
            <w:rtl/>
          </w:rPr>
          <w:t>،</w:t>
        </w:r>
        <w:r w:rsidRPr="00A245CE">
          <w:rPr>
            <w:rStyle w:val="Hyperlink"/>
            <w:rtl/>
          </w:rPr>
          <w:t xml:space="preserve"> ص</w:t>
        </w:r>
        <w:r w:rsidRPr="00A245CE">
          <w:rPr>
            <w:rStyle w:val="Hyperlink"/>
            <w:rFonts w:hint="cs"/>
            <w:rtl/>
          </w:rPr>
          <w:t xml:space="preserve"> </w:t>
        </w:r>
        <w:r w:rsidRPr="00A245CE">
          <w:rPr>
            <w:rStyle w:val="Hyperlink"/>
            <w:rtl/>
          </w:rPr>
          <w:t>412</w:t>
        </w:r>
      </w:hyperlink>
    </w:p>
  </w:footnote>
  <w:footnote w:id="7">
    <w:p w:rsidR="00A245CE" w:rsidRPr="00A245CE" w:rsidRDefault="00A245CE" w:rsidP="00A245CE">
      <w:pPr>
        <w:pStyle w:val="FootnoteText"/>
      </w:pPr>
      <w:r w:rsidRPr="00A245CE">
        <w:footnoteRef/>
      </w:r>
      <w:r w:rsidRPr="00A245CE">
        <w:rPr>
          <w:rtl/>
        </w:rPr>
        <w:t xml:space="preserve"> </w:t>
      </w:r>
      <w:hyperlink r:id="rId5" w:history="1">
        <w:r w:rsidRPr="00A245CE">
          <w:rPr>
            <w:rStyle w:val="Hyperlink"/>
            <w:rtl/>
          </w:rPr>
          <w:t>صلاة المسافر، محمد حس</w:t>
        </w:r>
        <w:r w:rsidRPr="00A245CE">
          <w:rPr>
            <w:rStyle w:val="Hyperlink"/>
            <w:rFonts w:hint="cs"/>
            <w:rtl/>
          </w:rPr>
          <w:t>ی</w:t>
        </w:r>
        <w:r w:rsidRPr="00A245CE">
          <w:rPr>
            <w:rStyle w:val="Hyperlink"/>
            <w:rFonts w:hint="eastAsia"/>
            <w:rtl/>
          </w:rPr>
          <w:t>ن</w:t>
        </w:r>
        <w:r w:rsidRPr="00A245CE">
          <w:rPr>
            <w:rStyle w:val="Hyperlink"/>
            <w:rtl/>
          </w:rPr>
          <w:t xml:space="preserve"> الأصفهان</w:t>
        </w:r>
        <w:r w:rsidRPr="00A245CE">
          <w:rPr>
            <w:rStyle w:val="Hyperlink"/>
            <w:rFonts w:hint="cs"/>
            <w:rtl/>
          </w:rPr>
          <w:t>ی</w:t>
        </w:r>
        <w:r w:rsidRPr="00A245CE">
          <w:rPr>
            <w:rStyle w:val="Hyperlink"/>
            <w:rFonts w:hint="eastAsia"/>
            <w:rtl/>
          </w:rPr>
          <w:t>،</w:t>
        </w:r>
        <w:r w:rsidRPr="00A245CE">
          <w:rPr>
            <w:rStyle w:val="Hyperlink"/>
            <w:rtl/>
          </w:rPr>
          <w:t xml:space="preserve"> ج1، ص152.</w:t>
        </w:r>
      </w:hyperlink>
    </w:p>
  </w:footnote>
  <w:footnote w:id="8">
    <w:p w:rsidR="00BD4A63" w:rsidRDefault="00BD4A63">
      <w:pPr>
        <w:pStyle w:val="FootnoteText"/>
      </w:pPr>
      <w:r>
        <w:rPr>
          <w:rStyle w:val="FootnoteReference"/>
        </w:rPr>
        <w:footnoteRef/>
      </w:r>
      <w:r>
        <w:rPr>
          <w:rtl/>
        </w:rPr>
        <w:t xml:space="preserve"> </w:t>
      </w:r>
      <w:hyperlink r:id="rId6" w:history="1">
        <w:r w:rsidRPr="00600B69">
          <w:rPr>
            <w:rStyle w:val="Hyperlink"/>
            <w:rtl/>
          </w:rPr>
          <w:t xml:space="preserve">مدارك </w:t>
        </w:r>
        <w:r w:rsidRPr="00600B69">
          <w:rPr>
            <w:rStyle w:val="Hyperlink"/>
            <w:rtl/>
          </w:rPr>
          <w:t xml:space="preserve">الأحكام في شرح عبادات شرائع الإسلام، </w:t>
        </w:r>
        <w:r w:rsidR="00600B69" w:rsidRPr="00600B69">
          <w:rPr>
            <w:rStyle w:val="Hyperlink"/>
            <w:rtl/>
          </w:rPr>
          <w:t>ج‌4، ص</w:t>
        </w:r>
        <w:r w:rsidRPr="00600B69">
          <w:rPr>
            <w:rStyle w:val="Hyperlink"/>
            <w:rtl/>
          </w:rPr>
          <w:t xml:space="preserve"> 463‌</w:t>
        </w:r>
      </w:hyperlink>
    </w:p>
  </w:footnote>
  <w:footnote w:id="9">
    <w:p w:rsidR="00600B69" w:rsidRDefault="00600B69" w:rsidP="00600B69">
      <w:pPr>
        <w:pStyle w:val="FootnoteText"/>
      </w:pPr>
      <w:r>
        <w:rPr>
          <w:rStyle w:val="FootnoteReference"/>
        </w:rPr>
        <w:footnoteRef/>
      </w:r>
      <w:r>
        <w:rPr>
          <w:rtl/>
        </w:rPr>
        <w:t xml:space="preserve"> </w:t>
      </w:r>
      <w:hyperlink r:id="rId7" w:history="1">
        <w:r w:rsidRPr="00600B69">
          <w:rPr>
            <w:rStyle w:val="Hyperlink"/>
            <w:rFonts w:hint="cs"/>
            <w:rtl/>
          </w:rPr>
          <w:t>ذخيرة المعاد في شرح الإرشاد، ج‌2، ص 412‌</w:t>
        </w:r>
      </w:hyperlink>
    </w:p>
  </w:footnote>
  <w:footnote w:id="10">
    <w:p w:rsidR="007636B2" w:rsidRPr="007636B2" w:rsidRDefault="007636B2" w:rsidP="007636B2">
      <w:pPr>
        <w:pStyle w:val="FootnoteText"/>
      </w:pPr>
      <w:r w:rsidRPr="007636B2">
        <w:footnoteRef/>
      </w:r>
      <w:r w:rsidRPr="007636B2">
        <w:rPr>
          <w:rtl/>
        </w:rPr>
        <w:t xml:space="preserve"> </w:t>
      </w:r>
      <w:hyperlink r:id="rId8" w:history="1">
        <w:r w:rsidRPr="007636B2">
          <w:rPr>
            <w:rStyle w:val="Hyperlink"/>
            <w:rtl/>
          </w:rPr>
          <w:t xml:space="preserve">روضة </w:t>
        </w:r>
        <w:r w:rsidRPr="007636B2">
          <w:rPr>
            <w:rStyle w:val="Hyperlink"/>
            <w:rtl/>
          </w:rPr>
          <w:t>المتق</w:t>
        </w:r>
        <w:r w:rsidRPr="007636B2">
          <w:rPr>
            <w:rStyle w:val="Hyperlink"/>
            <w:rFonts w:hint="cs"/>
            <w:rtl/>
          </w:rPr>
          <w:t>ی</w:t>
        </w:r>
        <w:r w:rsidRPr="007636B2">
          <w:rPr>
            <w:rStyle w:val="Hyperlink"/>
            <w:rFonts w:hint="eastAsia"/>
            <w:rtl/>
          </w:rPr>
          <w:t>ن،</w:t>
        </w:r>
        <w:r w:rsidRPr="007636B2">
          <w:rPr>
            <w:rStyle w:val="Hyperlink"/>
            <w:rtl/>
          </w:rPr>
          <w:t xml:space="preserve"> محمد تق</w:t>
        </w:r>
        <w:r w:rsidRPr="007636B2">
          <w:rPr>
            <w:rStyle w:val="Hyperlink"/>
            <w:rFonts w:hint="cs"/>
            <w:rtl/>
          </w:rPr>
          <w:t>ی</w:t>
        </w:r>
        <w:r w:rsidRPr="007636B2">
          <w:rPr>
            <w:rStyle w:val="Hyperlink"/>
            <w:rtl/>
          </w:rPr>
          <w:t xml:space="preserve"> المجلس</w:t>
        </w:r>
        <w:r w:rsidRPr="007636B2">
          <w:rPr>
            <w:rStyle w:val="Hyperlink"/>
            <w:rFonts w:hint="cs"/>
            <w:rtl/>
          </w:rPr>
          <w:t>ی</w:t>
        </w:r>
        <w:r w:rsidRPr="007636B2">
          <w:rPr>
            <w:rStyle w:val="Hyperlink"/>
            <w:rFonts w:hint="eastAsia"/>
            <w:rtl/>
          </w:rPr>
          <w:t>،</w:t>
        </w:r>
        <w:r w:rsidRPr="007636B2">
          <w:rPr>
            <w:rStyle w:val="Hyperlink"/>
            <w:rtl/>
          </w:rPr>
          <w:t xml:space="preserve"> ج9، ص58.</w:t>
        </w:r>
      </w:hyperlink>
    </w:p>
  </w:footnote>
  <w:footnote w:id="11">
    <w:p w:rsidR="004813C4" w:rsidRPr="004813C4" w:rsidRDefault="004813C4" w:rsidP="004813C4">
      <w:pPr>
        <w:pStyle w:val="FootnoteText"/>
      </w:pPr>
      <w:r w:rsidRPr="004813C4">
        <w:footnoteRef/>
      </w:r>
      <w:r w:rsidRPr="004813C4">
        <w:rPr>
          <w:rtl/>
        </w:rPr>
        <w:t xml:space="preserve"> </w:t>
      </w:r>
      <w:hyperlink r:id="rId9" w:history="1">
        <w:r w:rsidRPr="004813C4">
          <w:rPr>
            <w:rStyle w:val="Hyperlink"/>
            <w:rFonts w:hint="eastAsia"/>
            <w:rtl/>
          </w:rPr>
          <w:t>المبسوط</w:t>
        </w:r>
        <w:r w:rsidRPr="004813C4">
          <w:rPr>
            <w:rStyle w:val="Hyperlink"/>
            <w:rtl/>
          </w:rPr>
          <w:t xml:space="preserve"> </w:t>
        </w:r>
        <w:r w:rsidRPr="004813C4">
          <w:rPr>
            <w:rStyle w:val="Hyperlink"/>
            <w:rtl/>
          </w:rPr>
          <w:t>ف</w:t>
        </w:r>
        <w:r w:rsidRPr="004813C4">
          <w:rPr>
            <w:rStyle w:val="Hyperlink"/>
            <w:rFonts w:hint="cs"/>
            <w:rtl/>
          </w:rPr>
          <w:t>ی</w:t>
        </w:r>
        <w:r w:rsidRPr="004813C4">
          <w:rPr>
            <w:rStyle w:val="Hyperlink"/>
            <w:rtl/>
          </w:rPr>
          <w:t xml:space="preserve"> فقه الإمام</w:t>
        </w:r>
        <w:r w:rsidRPr="004813C4">
          <w:rPr>
            <w:rStyle w:val="Hyperlink"/>
            <w:rFonts w:hint="cs"/>
            <w:rtl/>
          </w:rPr>
          <w:t>ی</w:t>
        </w:r>
        <w:r w:rsidRPr="004813C4">
          <w:rPr>
            <w:rStyle w:val="Hyperlink"/>
            <w:rFonts w:hint="eastAsia"/>
            <w:rtl/>
          </w:rPr>
          <w:t>ة،</w:t>
        </w:r>
        <w:r w:rsidRPr="004813C4">
          <w:rPr>
            <w:rStyle w:val="Hyperlink"/>
            <w:rtl/>
          </w:rPr>
          <w:t xml:space="preserve"> ش</w:t>
        </w:r>
        <w:r w:rsidRPr="004813C4">
          <w:rPr>
            <w:rStyle w:val="Hyperlink"/>
            <w:rFonts w:hint="cs"/>
            <w:rtl/>
          </w:rPr>
          <w:t>ی</w:t>
        </w:r>
        <w:r w:rsidRPr="004813C4">
          <w:rPr>
            <w:rStyle w:val="Hyperlink"/>
            <w:rFonts w:hint="eastAsia"/>
            <w:rtl/>
          </w:rPr>
          <w:t>خ</w:t>
        </w:r>
        <w:r w:rsidRPr="004813C4">
          <w:rPr>
            <w:rStyle w:val="Hyperlink"/>
            <w:rtl/>
          </w:rPr>
          <w:t xml:space="preserve"> طوس</w:t>
        </w:r>
        <w:r w:rsidRPr="004813C4">
          <w:rPr>
            <w:rStyle w:val="Hyperlink"/>
            <w:rFonts w:hint="cs"/>
            <w:rtl/>
          </w:rPr>
          <w:t>ی</w:t>
        </w:r>
        <w:r w:rsidRPr="004813C4">
          <w:rPr>
            <w:rStyle w:val="Hyperlink"/>
            <w:rFonts w:hint="eastAsia"/>
            <w:rtl/>
          </w:rPr>
          <w:t>،</w:t>
        </w:r>
        <w:r w:rsidRPr="004813C4">
          <w:rPr>
            <w:rStyle w:val="Hyperlink"/>
            <w:rtl/>
          </w:rPr>
          <w:t xml:space="preserve"> ج2، ص171.</w:t>
        </w:r>
      </w:hyperlink>
    </w:p>
  </w:footnote>
  <w:footnote w:id="12">
    <w:p w:rsidR="004813C4" w:rsidRPr="004813C4" w:rsidRDefault="004813C4" w:rsidP="004813C4">
      <w:pPr>
        <w:pStyle w:val="FootnoteText"/>
      </w:pPr>
      <w:r w:rsidRPr="004813C4">
        <w:footnoteRef/>
      </w:r>
      <w:r w:rsidRPr="004813C4">
        <w:rPr>
          <w:rtl/>
        </w:rPr>
        <w:t xml:space="preserve"> </w:t>
      </w:r>
      <w:hyperlink r:id="rId10" w:history="1">
        <w:r w:rsidRPr="004813C4">
          <w:rPr>
            <w:rStyle w:val="Hyperlink"/>
            <w:rtl/>
          </w:rPr>
          <w:t xml:space="preserve">المبسوط </w:t>
        </w:r>
        <w:r w:rsidRPr="004813C4">
          <w:rPr>
            <w:rStyle w:val="Hyperlink"/>
            <w:rtl/>
          </w:rPr>
          <w:t>ف</w:t>
        </w:r>
        <w:r w:rsidRPr="004813C4">
          <w:rPr>
            <w:rStyle w:val="Hyperlink"/>
            <w:rFonts w:hint="cs"/>
            <w:rtl/>
          </w:rPr>
          <w:t>ی</w:t>
        </w:r>
        <w:r w:rsidRPr="004813C4">
          <w:rPr>
            <w:rStyle w:val="Hyperlink"/>
            <w:rtl/>
          </w:rPr>
          <w:t xml:space="preserve"> فقه الإمام</w:t>
        </w:r>
        <w:r w:rsidRPr="004813C4">
          <w:rPr>
            <w:rStyle w:val="Hyperlink"/>
            <w:rFonts w:hint="cs"/>
            <w:rtl/>
          </w:rPr>
          <w:t>ی</w:t>
        </w:r>
        <w:r w:rsidRPr="004813C4">
          <w:rPr>
            <w:rStyle w:val="Hyperlink"/>
            <w:rFonts w:hint="eastAsia"/>
            <w:rtl/>
          </w:rPr>
          <w:t>ة،</w:t>
        </w:r>
        <w:r w:rsidRPr="004813C4">
          <w:rPr>
            <w:rStyle w:val="Hyperlink"/>
            <w:rtl/>
          </w:rPr>
          <w:t xml:space="preserve"> ش</w:t>
        </w:r>
        <w:r w:rsidRPr="004813C4">
          <w:rPr>
            <w:rStyle w:val="Hyperlink"/>
            <w:rFonts w:hint="cs"/>
            <w:rtl/>
          </w:rPr>
          <w:t>ی</w:t>
        </w:r>
        <w:r w:rsidRPr="004813C4">
          <w:rPr>
            <w:rStyle w:val="Hyperlink"/>
            <w:rFonts w:hint="eastAsia"/>
            <w:rtl/>
          </w:rPr>
          <w:t>خ</w:t>
        </w:r>
        <w:r w:rsidRPr="004813C4">
          <w:rPr>
            <w:rStyle w:val="Hyperlink"/>
            <w:rtl/>
          </w:rPr>
          <w:t xml:space="preserve"> طوس</w:t>
        </w:r>
        <w:r w:rsidRPr="004813C4">
          <w:rPr>
            <w:rStyle w:val="Hyperlink"/>
            <w:rFonts w:hint="cs"/>
            <w:rtl/>
          </w:rPr>
          <w:t>ی</w:t>
        </w:r>
        <w:r w:rsidRPr="004813C4">
          <w:rPr>
            <w:rStyle w:val="Hyperlink"/>
            <w:rFonts w:hint="eastAsia"/>
            <w:rtl/>
          </w:rPr>
          <w:t>،</w:t>
        </w:r>
        <w:r w:rsidRPr="004813C4">
          <w:rPr>
            <w:rStyle w:val="Hyperlink"/>
            <w:rtl/>
          </w:rPr>
          <w:t xml:space="preserve"> ج3، ص255.</w:t>
        </w:r>
      </w:hyperlink>
    </w:p>
  </w:footnote>
  <w:footnote w:id="13">
    <w:p w:rsidR="004813C4" w:rsidRPr="004813C4" w:rsidRDefault="004813C4" w:rsidP="004813C4">
      <w:pPr>
        <w:pStyle w:val="FootnoteText"/>
      </w:pPr>
      <w:r w:rsidRPr="004813C4">
        <w:footnoteRef/>
      </w:r>
      <w:r w:rsidRPr="004813C4">
        <w:rPr>
          <w:rtl/>
        </w:rPr>
        <w:t xml:space="preserve"> </w:t>
      </w:r>
      <w:hyperlink r:id="rId11" w:history="1">
        <w:r w:rsidRPr="004813C4">
          <w:rPr>
            <w:rStyle w:val="Hyperlink"/>
            <w:rtl/>
          </w:rPr>
          <w:t xml:space="preserve">المبسوط </w:t>
        </w:r>
        <w:r w:rsidRPr="004813C4">
          <w:rPr>
            <w:rStyle w:val="Hyperlink"/>
            <w:rtl/>
          </w:rPr>
          <w:t>ف</w:t>
        </w:r>
        <w:r w:rsidRPr="004813C4">
          <w:rPr>
            <w:rStyle w:val="Hyperlink"/>
            <w:rFonts w:hint="cs"/>
            <w:rtl/>
          </w:rPr>
          <w:t>ی</w:t>
        </w:r>
        <w:r w:rsidRPr="004813C4">
          <w:rPr>
            <w:rStyle w:val="Hyperlink"/>
            <w:rtl/>
          </w:rPr>
          <w:t xml:space="preserve"> فقه الإمام</w:t>
        </w:r>
        <w:r w:rsidRPr="004813C4">
          <w:rPr>
            <w:rStyle w:val="Hyperlink"/>
            <w:rFonts w:hint="cs"/>
            <w:rtl/>
          </w:rPr>
          <w:t>ی</w:t>
        </w:r>
        <w:r w:rsidRPr="004813C4">
          <w:rPr>
            <w:rStyle w:val="Hyperlink"/>
            <w:rFonts w:hint="eastAsia"/>
            <w:rtl/>
          </w:rPr>
          <w:t>ة،</w:t>
        </w:r>
        <w:r w:rsidRPr="004813C4">
          <w:rPr>
            <w:rStyle w:val="Hyperlink"/>
            <w:rtl/>
          </w:rPr>
          <w:t xml:space="preserve"> ش</w:t>
        </w:r>
        <w:r w:rsidRPr="004813C4">
          <w:rPr>
            <w:rStyle w:val="Hyperlink"/>
            <w:rFonts w:hint="cs"/>
            <w:rtl/>
          </w:rPr>
          <w:t>ی</w:t>
        </w:r>
        <w:r w:rsidRPr="004813C4">
          <w:rPr>
            <w:rStyle w:val="Hyperlink"/>
            <w:rFonts w:hint="eastAsia"/>
            <w:rtl/>
          </w:rPr>
          <w:t>خ</w:t>
        </w:r>
        <w:r w:rsidRPr="004813C4">
          <w:rPr>
            <w:rStyle w:val="Hyperlink"/>
            <w:rtl/>
          </w:rPr>
          <w:t xml:space="preserve"> طوس</w:t>
        </w:r>
        <w:r w:rsidRPr="004813C4">
          <w:rPr>
            <w:rStyle w:val="Hyperlink"/>
            <w:rFonts w:hint="cs"/>
            <w:rtl/>
          </w:rPr>
          <w:t>ی</w:t>
        </w:r>
        <w:r w:rsidRPr="004813C4">
          <w:rPr>
            <w:rStyle w:val="Hyperlink"/>
            <w:rFonts w:hint="eastAsia"/>
            <w:rtl/>
          </w:rPr>
          <w:t>،</w:t>
        </w:r>
        <w:r w:rsidRPr="004813C4">
          <w:rPr>
            <w:rStyle w:val="Hyperlink"/>
            <w:rtl/>
          </w:rPr>
          <w:t xml:space="preserve"> ج5، ص173.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903195">
      <w:rPr>
        <w:b/>
        <w:bCs/>
        <w:sz w:val="20"/>
        <w:szCs w:val="24"/>
        <w:rtl/>
      </w:rPr>
      <w:t>089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903195">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903195">
      <w:rPr>
        <w:b/>
        <w:bCs/>
        <w:color w:val="632423" w:themeColor="accent2" w:themeShade="80"/>
        <w:sz w:val="20"/>
        <w:szCs w:val="24"/>
        <w:rtl/>
      </w:rPr>
      <w:t>س</w:t>
    </w:r>
    <w:r w:rsidR="00903195">
      <w:rPr>
        <w:rFonts w:hint="cs"/>
        <w:b/>
        <w:bCs/>
        <w:color w:val="632423" w:themeColor="accent2" w:themeShade="80"/>
        <w:sz w:val="20"/>
        <w:szCs w:val="24"/>
        <w:rtl/>
      </w:rPr>
      <w:t>ی</w:t>
    </w:r>
    <w:r w:rsidR="00903195">
      <w:rPr>
        <w:rFonts w:hint="eastAsia"/>
        <w:b/>
        <w:bCs/>
        <w:color w:val="632423" w:themeColor="accent2" w:themeShade="80"/>
        <w:sz w:val="20"/>
        <w:szCs w:val="24"/>
        <w:rtl/>
      </w:rPr>
      <w:t>د</w:t>
    </w:r>
    <w:r w:rsidR="00903195">
      <w:rPr>
        <w:b/>
        <w:bCs/>
        <w:color w:val="632423" w:themeColor="accent2" w:themeShade="80"/>
        <w:sz w:val="20"/>
        <w:szCs w:val="24"/>
        <w:rtl/>
      </w:rPr>
      <w:t xml:space="preserve"> محمد جواد شب</w:t>
    </w:r>
    <w:r w:rsidR="00903195">
      <w:rPr>
        <w:rFonts w:hint="cs"/>
        <w:b/>
        <w:bCs/>
        <w:color w:val="632423" w:themeColor="accent2" w:themeShade="80"/>
        <w:sz w:val="20"/>
        <w:szCs w:val="24"/>
        <w:rtl/>
      </w:rPr>
      <w:t>ی</w:t>
    </w:r>
    <w:r w:rsidR="00903195">
      <w:rPr>
        <w:rFonts w:hint="eastAsia"/>
        <w:b/>
        <w:bCs/>
        <w:color w:val="632423" w:themeColor="accent2" w:themeShade="80"/>
        <w:sz w:val="20"/>
        <w:szCs w:val="24"/>
        <w:rtl/>
      </w:rPr>
      <w:t>ر</w:t>
    </w:r>
    <w:r w:rsidR="0090319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903195">
      <w:rPr>
        <w:sz w:val="24"/>
        <w:szCs w:val="24"/>
        <w:rtl/>
      </w:rPr>
      <w:t>30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903195">
      <w:rPr>
        <w:color w:val="000000" w:themeColor="text1"/>
        <w:sz w:val="24"/>
        <w:szCs w:val="24"/>
        <w:rtl/>
      </w:rPr>
      <w:t>مساله‌</w:t>
    </w:r>
    <w:r w:rsidR="00903195">
      <w:rPr>
        <w:rFonts w:hint="cs"/>
        <w:color w:val="000000" w:themeColor="text1"/>
        <w:sz w:val="24"/>
        <w:szCs w:val="24"/>
        <w:rtl/>
      </w:rPr>
      <w:t>ی</w:t>
    </w:r>
    <w:r w:rsidR="00903195">
      <w:rPr>
        <w:color w:val="000000" w:themeColor="text1"/>
        <w:sz w:val="24"/>
        <w:szCs w:val="24"/>
        <w:rtl/>
      </w:rPr>
      <w:t xml:space="preserve"> دهم تکمله‌</w:t>
    </w:r>
    <w:r w:rsidR="00903195">
      <w:rPr>
        <w:rFonts w:hint="cs"/>
        <w:color w:val="000000" w:themeColor="text1"/>
        <w:sz w:val="24"/>
        <w:szCs w:val="24"/>
        <w:rtl/>
      </w:rPr>
      <w:t>ی</w:t>
    </w:r>
    <w:r w:rsidR="00903195">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FC4ACA">
      <w:rPr>
        <w:sz w:val="24"/>
        <w:szCs w:val="24"/>
        <w:rtl/>
      </w:rPr>
      <w:t>م</w:t>
    </w:r>
    <w:r w:rsidR="00FC4ACA">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903195">
      <w:rPr>
        <w:sz w:val="24"/>
        <w:szCs w:val="24"/>
        <w:rtl/>
      </w:rPr>
      <w:t>مراد از ثلاثة اشهر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0958"/>
    <w:rsid w:val="0005298F"/>
    <w:rsid w:val="00055496"/>
    <w:rsid w:val="000628EB"/>
    <w:rsid w:val="00076981"/>
    <w:rsid w:val="00080A41"/>
    <w:rsid w:val="0008299B"/>
    <w:rsid w:val="000831C2"/>
    <w:rsid w:val="00084C69"/>
    <w:rsid w:val="000913AA"/>
    <w:rsid w:val="00094847"/>
    <w:rsid w:val="00096B01"/>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2075"/>
    <w:rsid w:val="0016555F"/>
    <w:rsid w:val="00181844"/>
    <w:rsid w:val="001837E9"/>
    <w:rsid w:val="00186261"/>
    <w:rsid w:val="00187DFA"/>
    <w:rsid w:val="001A1BC1"/>
    <w:rsid w:val="001A1EA5"/>
    <w:rsid w:val="001A2574"/>
    <w:rsid w:val="001A27D7"/>
    <w:rsid w:val="001A294E"/>
    <w:rsid w:val="001A4ED8"/>
    <w:rsid w:val="001A67E0"/>
    <w:rsid w:val="001B2488"/>
    <w:rsid w:val="001B5444"/>
    <w:rsid w:val="001B6799"/>
    <w:rsid w:val="001C1362"/>
    <w:rsid w:val="001C30A2"/>
    <w:rsid w:val="001D2E9A"/>
    <w:rsid w:val="001D597F"/>
    <w:rsid w:val="001E3FD4"/>
    <w:rsid w:val="001F1123"/>
    <w:rsid w:val="00201356"/>
    <w:rsid w:val="0020241A"/>
    <w:rsid w:val="00203821"/>
    <w:rsid w:val="00211632"/>
    <w:rsid w:val="0021630D"/>
    <w:rsid w:val="00217474"/>
    <w:rsid w:val="0024121B"/>
    <w:rsid w:val="00247D2F"/>
    <w:rsid w:val="00256560"/>
    <w:rsid w:val="0027605E"/>
    <w:rsid w:val="00281E00"/>
    <w:rsid w:val="00294A52"/>
    <w:rsid w:val="00297B3C"/>
    <w:rsid w:val="002B575F"/>
    <w:rsid w:val="002B729B"/>
    <w:rsid w:val="002C23B5"/>
    <w:rsid w:val="002C31C1"/>
    <w:rsid w:val="002C53A2"/>
    <w:rsid w:val="002D0040"/>
    <w:rsid w:val="002D2FA8"/>
    <w:rsid w:val="002D39A9"/>
    <w:rsid w:val="002E0B68"/>
    <w:rsid w:val="002E220F"/>
    <w:rsid w:val="002E51E0"/>
    <w:rsid w:val="00307311"/>
    <w:rsid w:val="0032100F"/>
    <w:rsid w:val="0033402C"/>
    <w:rsid w:val="00340521"/>
    <w:rsid w:val="00345C73"/>
    <w:rsid w:val="0034794B"/>
    <w:rsid w:val="00354A99"/>
    <w:rsid w:val="00360311"/>
    <w:rsid w:val="00360618"/>
    <w:rsid w:val="00361922"/>
    <w:rsid w:val="0037339B"/>
    <w:rsid w:val="00374198"/>
    <w:rsid w:val="0038337D"/>
    <w:rsid w:val="00386C11"/>
    <w:rsid w:val="00397466"/>
    <w:rsid w:val="003A6148"/>
    <w:rsid w:val="003C33F6"/>
    <w:rsid w:val="003C3D2E"/>
    <w:rsid w:val="003C43A5"/>
    <w:rsid w:val="003E1C5C"/>
    <w:rsid w:val="003E6650"/>
    <w:rsid w:val="003F3306"/>
    <w:rsid w:val="003F5B46"/>
    <w:rsid w:val="00401363"/>
    <w:rsid w:val="00402E47"/>
    <w:rsid w:val="004033E1"/>
    <w:rsid w:val="00412AA1"/>
    <w:rsid w:val="00424FFA"/>
    <w:rsid w:val="00425015"/>
    <w:rsid w:val="00430994"/>
    <w:rsid w:val="00441B6D"/>
    <w:rsid w:val="004556EF"/>
    <w:rsid w:val="00462B07"/>
    <w:rsid w:val="00465BD2"/>
    <w:rsid w:val="004715C8"/>
    <w:rsid w:val="004813C4"/>
    <w:rsid w:val="00481C31"/>
    <w:rsid w:val="00482FC1"/>
    <w:rsid w:val="00483027"/>
    <w:rsid w:val="004871AA"/>
    <w:rsid w:val="004918D7"/>
    <w:rsid w:val="004926E1"/>
    <w:rsid w:val="004A2FEA"/>
    <w:rsid w:val="004A39AF"/>
    <w:rsid w:val="004D2DD7"/>
    <w:rsid w:val="004D75C5"/>
    <w:rsid w:val="004E2186"/>
    <w:rsid w:val="004E66FB"/>
    <w:rsid w:val="004F18CE"/>
    <w:rsid w:val="004F470A"/>
    <w:rsid w:val="004F4C59"/>
    <w:rsid w:val="00500C8F"/>
    <w:rsid w:val="00501909"/>
    <w:rsid w:val="00507BBB"/>
    <w:rsid w:val="005105F4"/>
    <w:rsid w:val="005128DF"/>
    <w:rsid w:val="0051592A"/>
    <w:rsid w:val="005206FE"/>
    <w:rsid w:val="005257ED"/>
    <w:rsid w:val="005306F8"/>
    <w:rsid w:val="0054023D"/>
    <w:rsid w:val="005426BF"/>
    <w:rsid w:val="0056213C"/>
    <w:rsid w:val="00562269"/>
    <w:rsid w:val="00580C24"/>
    <w:rsid w:val="00582F6C"/>
    <w:rsid w:val="00594DBA"/>
    <w:rsid w:val="00596206"/>
    <w:rsid w:val="005968EF"/>
    <w:rsid w:val="00596C1E"/>
    <w:rsid w:val="005A2E26"/>
    <w:rsid w:val="005B7BCA"/>
    <w:rsid w:val="005C0DAE"/>
    <w:rsid w:val="005C188E"/>
    <w:rsid w:val="005D2349"/>
    <w:rsid w:val="005E1B60"/>
    <w:rsid w:val="005E5507"/>
    <w:rsid w:val="005E607B"/>
    <w:rsid w:val="005F0A8D"/>
    <w:rsid w:val="00600954"/>
    <w:rsid w:val="00600B69"/>
    <w:rsid w:val="00601229"/>
    <w:rsid w:val="00603B67"/>
    <w:rsid w:val="006162A2"/>
    <w:rsid w:val="006240DA"/>
    <w:rsid w:val="0063109F"/>
    <w:rsid w:val="0063256E"/>
    <w:rsid w:val="00633F04"/>
    <w:rsid w:val="00635219"/>
    <w:rsid w:val="00635EC0"/>
    <w:rsid w:val="00640B58"/>
    <w:rsid w:val="00651B02"/>
    <w:rsid w:val="00651B19"/>
    <w:rsid w:val="00654839"/>
    <w:rsid w:val="00660A29"/>
    <w:rsid w:val="006756B9"/>
    <w:rsid w:val="00695519"/>
    <w:rsid w:val="006A2897"/>
    <w:rsid w:val="006A4134"/>
    <w:rsid w:val="006A5DDA"/>
    <w:rsid w:val="006A6701"/>
    <w:rsid w:val="006B1EAF"/>
    <w:rsid w:val="006B21F4"/>
    <w:rsid w:val="006B3753"/>
    <w:rsid w:val="006B7AD6"/>
    <w:rsid w:val="006C50FD"/>
    <w:rsid w:val="006C5AC2"/>
    <w:rsid w:val="006C6707"/>
    <w:rsid w:val="006C6EAC"/>
    <w:rsid w:val="006D1DD4"/>
    <w:rsid w:val="006D4014"/>
    <w:rsid w:val="006D44C1"/>
    <w:rsid w:val="006E5651"/>
    <w:rsid w:val="006E5B85"/>
    <w:rsid w:val="006F026A"/>
    <w:rsid w:val="0070265B"/>
    <w:rsid w:val="00704813"/>
    <w:rsid w:val="00713ADB"/>
    <w:rsid w:val="0072290D"/>
    <w:rsid w:val="00723D6D"/>
    <w:rsid w:val="00724537"/>
    <w:rsid w:val="00731724"/>
    <w:rsid w:val="0073474B"/>
    <w:rsid w:val="00735511"/>
    <w:rsid w:val="00737208"/>
    <w:rsid w:val="00744DE6"/>
    <w:rsid w:val="00746AC0"/>
    <w:rsid w:val="0075533A"/>
    <w:rsid w:val="00762452"/>
    <w:rsid w:val="007636B2"/>
    <w:rsid w:val="007639E0"/>
    <w:rsid w:val="00775507"/>
    <w:rsid w:val="00783473"/>
    <w:rsid w:val="0078594B"/>
    <w:rsid w:val="0079341B"/>
    <w:rsid w:val="00795E02"/>
    <w:rsid w:val="007979D0"/>
    <w:rsid w:val="007A4E18"/>
    <w:rsid w:val="007A7B8C"/>
    <w:rsid w:val="007C6D9E"/>
    <w:rsid w:val="007D1C43"/>
    <w:rsid w:val="007D52DE"/>
    <w:rsid w:val="007D6C53"/>
    <w:rsid w:val="007E1564"/>
    <w:rsid w:val="007E1E87"/>
    <w:rsid w:val="007E5B3F"/>
    <w:rsid w:val="007F2257"/>
    <w:rsid w:val="0080091D"/>
    <w:rsid w:val="008028E3"/>
    <w:rsid w:val="00804108"/>
    <w:rsid w:val="00804FC4"/>
    <w:rsid w:val="00816367"/>
    <w:rsid w:val="00816A0B"/>
    <w:rsid w:val="00824B22"/>
    <w:rsid w:val="00830C53"/>
    <w:rsid w:val="00832FE2"/>
    <w:rsid w:val="00837FAA"/>
    <w:rsid w:val="00841F77"/>
    <w:rsid w:val="0085276D"/>
    <w:rsid w:val="00863390"/>
    <w:rsid w:val="0086385C"/>
    <w:rsid w:val="00866CC0"/>
    <w:rsid w:val="00870097"/>
    <w:rsid w:val="00871916"/>
    <w:rsid w:val="00880068"/>
    <w:rsid w:val="008956DD"/>
    <w:rsid w:val="008A510E"/>
    <w:rsid w:val="008A522A"/>
    <w:rsid w:val="008B4464"/>
    <w:rsid w:val="008B750B"/>
    <w:rsid w:val="008C3162"/>
    <w:rsid w:val="008D19F0"/>
    <w:rsid w:val="008D1F14"/>
    <w:rsid w:val="008E3924"/>
    <w:rsid w:val="008F13F7"/>
    <w:rsid w:val="008F5B4D"/>
    <w:rsid w:val="00903195"/>
    <w:rsid w:val="00903D2A"/>
    <w:rsid w:val="00907425"/>
    <w:rsid w:val="00920570"/>
    <w:rsid w:val="00923C34"/>
    <w:rsid w:val="00924152"/>
    <w:rsid w:val="0092513D"/>
    <w:rsid w:val="00927A9F"/>
    <w:rsid w:val="009335CC"/>
    <w:rsid w:val="00935A55"/>
    <w:rsid w:val="00941CEB"/>
    <w:rsid w:val="0094720F"/>
    <w:rsid w:val="00952B59"/>
    <w:rsid w:val="00953B28"/>
    <w:rsid w:val="00954322"/>
    <w:rsid w:val="00957CAA"/>
    <w:rsid w:val="0096778A"/>
    <w:rsid w:val="00977656"/>
    <w:rsid w:val="009846A7"/>
    <w:rsid w:val="0098794D"/>
    <w:rsid w:val="0099497B"/>
    <w:rsid w:val="00996A31"/>
    <w:rsid w:val="009A43BA"/>
    <w:rsid w:val="009A553F"/>
    <w:rsid w:val="009B0D05"/>
    <w:rsid w:val="009B3DCC"/>
    <w:rsid w:val="009B4CA6"/>
    <w:rsid w:val="009B79F8"/>
    <w:rsid w:val="009C12DB"/>
    <w:rsid w:val="009C66D5"/>
    <w:rsid w:val="009D13FD"/>
    <w:rsid w:val="009D266A"/>
    <w:rsid w:val="009F7E07"/>
    <w:rsid w:val="00A01522"/>
    <w:rsid w:val="00A10A11"/>
    <w:rsid w:val="00A13C6A"/>
    <w:rsid w:val="00A17B09"/>
    <w:rsid w:val="00A245CE"/>
    <w:rsid w:val="00A457C6"/>
    <w:rsid w:val="00A46AD0"/>
    <w:rsid w:val="00A47063"/>
    <w:rsid w:val="00A473A8"/>
    <w:rsid w:val="00A513F0"/>
    <w:rsid w:val="00A522B9"/>
    <w:rsid w:val="00A61AC8"/>
    <w:rsid w:val="00A6366F"/>
    <w:rsid w:val="00A6535E"/>
    <w:rsid w:val="00A65D4C"/>
    <w:rsid w:val="00A70512"/>
    <w:rsid w:val="00AA1F60"/>
    <w:rsid w:val="00AA40D7"/>
    <w:rsid w:val="00AB5F7D"/>
    <w:rsid w:val="00AC0C50"/>
    <w:rsid w:val="00AC6FE2"/>
    <w:rsid w:val="00AD2DAD"/>
    <w:rsid w:val="00AF3925"/>
    <w:rsid w:val="00B1296B"/>
    <w:rsid w:val="00B2292F"/>
    <w:rsid w:val="00B43169"/>
    <w:rsid w:val="00B501A8"/>
    <w:rsid w:val="00B55AE4"/>
    <w:rsid w:val="00B70B46"/>
    <w:rsid w:val="00B739B0"/>
    <w:rsid w:val="00B814A3"/>
    <w:rsid w:val="00B96F38"/>
    <w:rsid w:val="00BC716B"/>
    <w:rsid w:val="00BD0E74"/>
    <w:rsid w:val="00BD4A63"/>
    <w:rsid w:val="00BD5F8C"/>
    <w:rsid w:val="00BE29DD"/>
    <w:rsid w:val="00BF08C6"/>
    <w:rsid w:val="00C066AF"/>
    <w:rsid w:val="00C10E06"/>
    <w:rsid w:val="00C145B8"/>
    <w:rsid w:val="00C2438F"/>
    <w:rsid w:val="00C26CC3"/>
    <w:rsid w:val="00C31AF0"/>
    <w:rsid w:val="00C32A7E"/>
    <w:rsid w:val="00C34F28"/>
    <w:rsid w:val="00C368DF"/>
    <w:rsid w:val="00C442C5"/>
    <w:rsid w:val="00C57B5C"/>
    <w:rsid w:val="00C57C7C"/>
    <w:rsid w:val="00C61049"/>
    <w:rsid w:val="00C63FFE"/>
    <w:rsid w:val="00C806C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216B"/>
    <w:rsid w:val="00D15CBD"/>
    <w:rsid w:val="00D221CB"/>
    <w:rsid w:val="00D23391"/>
    <w:rsid w:val="00D31805"/>
    <w:rsid w:val="00D45BDF"/>
    <w:rsid w:val="00D552B9"/>
    <w:rsid w:val="00D735B2"/>
    <w:rsid w:val="00D74021"/>
    <w:rsid w:val="00D76D01"/>
    <w:rsid w:val="00D922A9"/>
    <w:rsid w:val="00D9394A"/>
    <w:rsid w:val="00DB0CBB"/>
    <w:rsid w:val="00DB67CC"/>
    <w:rsid w:val="00DC3783"/>
    <w:rsid w:val="00DD5C75"/>
    <w:rsid w:val="00DE1070"/>
    <w:rsid w:val="00DF1808"/>
    <w:rsid w:val="00DF682C"/>
    <w:rsid w:val="00E00219"/>
    <w:rsid w:val="00E0279C"/>
    <w:rsid w:val="00E0316B"/>
    <w:rsid w:val="00E25E10"/>
    <w:rsid w:val="00E27F29"/>
    <w:rsid w:val="00E50B41"/>
    <w:rsid w:val="00E5219B"/>
    <w:rsid w:val="00E52D07"/>
    <w:rsid w:val="00E5518B"/>
    <w:rsid w:val="00E609FE"/>
    <w:rsid w:val="00E630BE"/>
    <w:rsid w:val="00E63B54"/>
    <w:rsid w:val="00E75920"/>
    <w:rsid w:val="00E80D96"/>
    <w:rsid w:val="00E871FA"/>
    <w:rsid w:val="00E936A4"/>
    <w:rsid w:val="00E954BB"/>
    <w:rsid w:val="00EA45E7"/>
    <w:rsid w:val="00EB4914"/>
    <w:rsid w:val="00EB78E3"/>
    <w:rsid w:val="00EB7BE3"/>
    <w:rsid w:val="00EC1C4B"/>
    <w:rsid w:val="00EC735A"/>
    <w:rsid w:val="00EC73F5"/>
    <w:rsid w:val="00ED5F38"/>
    <w:rsid w:val="00EF27FE"/>
    <w:rsid w:val="00F02D17"/>
    <w:rsid w:val="00F06540"/>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4E12"/>
    <w:rsid w:val="00FA3B17"/>
    <w:rsid w:val="00FA5E8D"/>
    <w:rsid w:val="00FA5F3D"/>
    <w:rsid w:val="00FB399E"/>
    <w:rsid w:val="00FB7F50"/>
    <w:rsid w:val="00FC2A85"/>
    <w:rsid w:val="00FC40AF"/>
    <w:rsid w:val="00FC4ACA"/>
    <w:rsid w:val="00FC73B9"/>
    <w:rsid w:val="00FD0A16"/>
    <w:rsid w:val="00FD7518"/>
    <w:rsid w:val="00FE3D7D"/>
    <w:rsid w:val="00FE6DCF"/>
    <w:rsid w:val="00FF0713"/>
    <w:rsid w:val="00FF5004"/>
    <w:rsid w:val="00FF640B"/>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136">
      <w:bodyDiv w:val="1"/>
      <w:marLeft w:val="0"/>
      <w:marRight w:val="0"/>
      <w:marTop w:val="0"/>
      <w:marBottom w:val="0"/>
      <w:divBdr>
        <w:top w:val="none" w:sz="0" w:space="0" w:color="auto"/>
        <w:left w:val="none" w:sz="0" w:space="0" w:color="auto"/>
        <w:bottom w:val="none" w:sz="0" w:space="0" w:color="auto"/>
        <w:right w:val="none" w:sz="0" w:space="0" w:color="auto"/>
      </w:divBdr>
    </w:div>
    <w:div w:id="7829425">
      <w:bodyDiv w:val="1"/>
      <w:marLeft w:val="0"/>
      <w:marRight w:val="0"/>
      <w:marTop w:val="0"/>
      <w:marBottom w:val="0"/>
      <w:divBdr>
        <w:top w:val="none" w:sz="0" w:space="0" w:color="auto"/>
        <w:left w:val="none" w:sz="0" w:space="0" w:color="auto"/>
        <w:bottom w:val="none" w:sz="0" w:space="0" w:color="auto"/>
        <w:right w:val="none" w:sz="0" w:space="0" w:color="auto"/>
      </w:divBdr>
    </w:div>
    <w:div w:id="5886842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3986695">
      <w:bodyDiv w:val="1"/>
      <w:marLeft w:val="0"/>
      <w:marRight w:val="0"/>
      <w:marTop w:val="0"/>
      <w:marBottom w:val="0"/>
      <w:divBdr>
        <w:top w:val="none" w:sz="0" w:space="0" w:color="auto"/>
        <w:left w:val="none" w:sz="0" w:space="0" w:color="auto"/>
        <w:bottom w:val="none" w:sz="0" w:space="0" w:color="auto"/>
        <w:right w:val="none" w:sz="0" w:space="0" w:color="auto"/>
      </w:divBdr>
    </w:div>
    <w:div w:id="168838805">
      <w:bodyDiv w:val="1"/>
      <w:marLeft w:val="0"/>
      <w:marRight w:val="0"/>
      <w:marTop w:val="0"/>
      <w:marBottom w:val="0"/>
      <w:divBdr>
        <w:top w:val="none" w:sz="0" w:space="0" w:color="auto"/>
        <w:left w:val="none" w:sz="0" w:space="0" w:color="auto"/>
        <w:bottom w:val="none" w:sz="0" w:space="0" w:color="auto"/>
        <w:right w:val="none" w:sz="0" w:space="0" w:color="auto"/>
      </w:divBdr>
    </w:div>
    <w:div w:id="22125750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5796629">
      <w:bodyDiv w:val="1"/>
      <w:marLeft w:val="0"/>
      <w:marRight w:val="0"/>
      <w:marTop w:val="0"/>
      <w:marBottom w:val="0"/>
      <w:divBdr>
        <w:top w:val="none" w:sz="0" w:space="0" w:color="auto"/>
        <w:left w:val="none" w:sz="0" w:space="0" w:color="auto"/>
        <w:bottom w:val="none" w:sz="0" w:space="0" w:color="auto"/>
        <w:right w:val="none" w:sz="0" w:space="0" w:color="auto"/>
      </w:divBdr>
    </w:div>
    <w:div w:id="277373855">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2046081">
      <w:bodyDiv w:val="1"/>
      <w:marLeft w:val="0"/>
      <w:marRight w:val="0"/>
      <w:marTop w:val="0"/>
      <w:marBottom w:val="0"/>
      <w:divBdr>
        <w:top w:val="none" w:sz="0" w:space="0" w:color="auto"/>
        <w:left w:val="none" w:sz="0" w:space="0" w:color="auto"/>
        <w:bottom w:val="none" w:sz="0" w:space="0" w:color="auto"/>
        <w:right w:val="none" w:sz="0" w:space="0" w:color="auto"/>
      </w:divBdr>
    </w:div>
    <w:div w:id="368259078">
      <w:bodyDiv w:val="1"/>
      <w:marLeft w:val="0"/>
      <w:marRight w:val="0"/>
      <w:marTop w:val="0"/>
      <w:marBottom w:val="0"/>
      <w:divBdr>
        <w:top w:val="none" w:sz="0" w:space="0" w:color="auto"/>
        <w:left w:val="none" w:sz="0" w:space="0" w:color="auto"/>
        <w:bottom w:val="none" w:sz="0" w:space="0" w:color="auto"/>
        <w:right w:val="none" w:sz="0" w:space="0" w:color="auto"/>
      </w:divBdr>
    </w:div>
    <w:div w:id="39605089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9007250">
      <w:bodyDiv w:val="1"/>
      <w:marLeft w:val="0"/>
      <w:marRight w:val="0"/>
      <w:marTop w:val="0"/>
      <w:marBottom w:val="0"/>
      <w:divBdr>
        <w:top w:val="none" w:sz="0" w:space="0" w:color="auto"/>
        <w:left w:val="none" w:sz="0" w:space="0" w:color="auto"/>
        <w:bottom w:val="none" w:sz="0" w:space="0" w:color="auto"/>
        <w:right w:val="none" w:sz="0" w:space="0" w:color="auto"/>
      </w:divBdr>
    </w:div>
    <w:div w:id="500120390">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2327585">
      <w:bodyDiv w:val="1"/>
      <w:marLeft w:val="0"/>
      <w:marRight w:val="0"/>
      <w:marTop w:val="0"/>
      <w:marBottom w:val="0"/>
      <w:divBdr>
        <w:top w:val="none" w:sz="0" w:space="0" w:color="auto"/>
        <w:left w:val="none" w:sz="0" w:space="0" w:color="auto"/>
        <w:bottom w:val="none" w:sz="0" w:space="0" w:color="auto"/>
        <w:right w:val="none" w:sz="0" w:space="0" w:color="auto"/>
      </w:divBdr>
    </w:div>
    <w:div w:id="60276172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293358">
      <w:bodyDiv w:val="1"/>
      <w:marLeft w:val="0"/>
      <w:marRight w:val="0"/>
      <w:marTop w:val="0"/>
      <w:marBottom w:val="0"/>
      <w:divBdr>
        <w:top w:val="none" w:sz="0" w:space="0" w:color="auto"/>
        <w:left w:val="none" w:sz="0" w:space="0" w:color="auto"/>
        <w:bottom w:val="none" w:sz="0" w:space="0" w:color="auto"/>
        <w:right w:val="none" w:sz="0" w:space="0" w:color="auto"/>
      </w:divBdr>
    </w:div>
    <w:div w:id="698050435">
      <w:bodyDiv w:val="1"/>
      <w:marLeft w:val="0"/>
      <w:marRight w:val="0"/>
      <w:marTop w:val="0"/>
      <w:marBottom w:val="0"/>
      <w:divBdr>
        <w:top w:val="none" w:sz="0" w:space="0" w:color="auto"/>
        <w:left w:val="none" w:sz="0" w:space="0" w:color="auto"/>
        <w:bottom w:val="none" w:sz="0" w:space="0" w:color="auto"/>
        <w:right w:val="none" w:sz="0" w:space="0" w:color="auto"/>
      </w:divBdr>
    </w:div>
    <w:div w:id="705299038">
      <w:bodyDiv w:val="1"/>
      <w:marLeft w:val="0"/>
      <w:marRight w:val="0"/>
      <w:marTop w:val="0"/>
      <w:marBottom w:val="0"/>
      <w:divBdr>
        <w:top w:val="none" w:sz="0" w:space="0" w:color="auto"/>
        <w:left w:val="none" w:sz="0" w:space="0" w:color="auto"/>
        <w:bottom w:val="none" w:sz="0" w:space="0" w:color="auto"/>
        <w:right w:val="none" w:sz="0" w:space="0" w:color="auto"/>
      </w:divBdr>
    </w:div>
    <w:div w:id="718473484">
      <w:bodyDiv w:val="1"/>
      <w:marLeft w:val="0"/>
      <w:marRight w:val="0"/>
      <w:marTop w:val="0"/>
      <w:marBottom w:val="0"/>
      <w:divBdr>
        <w:top w:val="none" w:sz="0" w:space="0" w:color="auto"/>
        <w:left w:val="none" w:sz="0" w:space="0" w:color="auto"/>
        <w:bottom w:val="none" w:sz="0" w:space="0" w:color="auto"/>
        <w:right w:val="none" w:sz="0" w:space="0" w:color="auto"/>
      </w:divBdr>
    </w:div>
    <w:div w:id="730276240">
      <w:bodyDiv w:val="1"/>
      <w:marLeft w:val="0"/>
      <w:marRight w:val="0"/>
      <w:marTop w:val="0"/>
      <w:marBottom w:val="0"/>
      <w:divBdr>
        <w:top w:val="none" w:sz="0" w:space="0" w:color="auto"/>
        <w:left w:val="none" w:sz="0" w:space="0" w:color="auto"/>
        <w:bottom w:val="none" w:sz="0" w:space="0" w:color="auto"/>
        <w:right w:val="none" w:sz="0" w:space="0" w:color="auto"/>
      </w:divBdr>
    </w:div>
    <w:div w:id="865093834">
      <w:bodyDiv w:val="1"/>
      <w:marLeft w:val="0"/>
      <w:marRight w:val="0"/>
      <w:marTop w:val="0"/>
      <w:marBottom w:val="0"/>
      <w:divBdr>
        <w:top w:val="none" w:sz="0" w:space="0" w:color="auto"/>
        <w:left w:val="none" w:sz="0" w:space="0" w:color="auto"/>
        <w:bottom w:val="none" w:sz="0" w:space="0" w:color="auto"/>
        <w:right w:val="none" w:sz="0" w:space="0" w:color="auto"/>
      </w:divBdr>
    </w:div>
    <w:div w:id="962004191">
      <w:bodyDiv w:val="1"/>
      <w:marLeft w:val="0"/>
      <w:marRight w:val="0"/>
      <w:marTop w:val="0"/>
      <w:marBottom w:val="0"/>
      <w:divBdr>
        <w:top w:val="none" w:sz="0" w:space="0" w:color="auto"/>
        <w:left w:val="none" w:sz="0" w:space="0" w:color="auto"/>
        <w:bottom w:val="none" w:sz="0" w:space="0" w:color="auto"/>
        <w:right w:val="none" w:sz="0" w:space="0" w:color="auto"/>
      </w:divBdr>
    </w:div>
    <w:div w:id="964505565">
      <w:bodyDiv w:val="1"/>
      <w:marLeft w:val="0"/>
      <w:marRight w:val="0"/>
      <w:marTop w:val="0"/>
      <w:marBottom w:val="0"/>
      <w:divBdr>
        <w:top w:val="none" w:sz="0" w:space="0" w:color="auto"/>
        <w:left w:val="none" w:sz="0" w:space="0" w:color="auto"/>
        <w:bottom w:val="none" w:sz="0" w:space="0" w:color="auto"/>
        <w:right w:val="none" w:sz="0" w:space="0" w:color="auto"/>
      </w:divBdr>
    </w:div>
    <w:div w:id="979262657">
      <w:bodyDiv w:val="1"/>
      <w:marLeft w:val="0"/>
      <w:marRight w:val="0"/>
      <w:marTop w:val="0"/>
      <w:marBottom w:val="0"/>
      <w:divBdr>
        <w:top w:val="none" w:sz="0" w:space="0" w:color="auto"/>
        <w:left w:val="none" w:sz="0" w:space="0" w:color="auto"/>
        <w:bottom w:val="none" w:sz="0" w:space="0" w:color="auto"/>
        <w:right w:val="none" w:sz="0" w:space="0" w:color="auto"/>
      </w:divBdr>
    </w:div>
    <w:div w:id="998851901">
      <w:bodyDiv w:val="1"/>
      <w:marLeft w:val="0"/>
      <w:marRight w:val="0"/>
      <w:marTop w:val="0"/>
      <w:marBottom w:val="0"/>
      <w:divBdr>
        <w:top w:val="none" w:sz="0" w:space="0" w:color="auto"/>
        <w:left w:val="none" w:sz="0" w:space="0" w:color="auto"/>
        <w:bottom w:val="none" w:sz="0" w:space="0" w:color="auto"/>
        <w:right w:val="none" w:sz="0" w:space="0" w:color="auto"/>
      </w:divBdr>
    </w:div>
    <w:div w:id="1037513019">
      <w:bodyDiv w:val="1"/>
      <w:marLeft w:val="0"/>
      <w:marRight w:val="0"/>
      <w:marTop w:val="0"/>
      <w:marBottom w:val="0"/>
      <w:divBdr>
        <w:top w:val="none" w:sz="0" w:space="0" w:color="auto"/>
        <w:left w:val="none" w:sz="0" w:space="0" w:color="auto"/>
        <w:bottom w:val="none" w:sz="0" w:space="0" w:color="auto"/>
        <w:right w:val="none" w:sz="0" w:space="0" w:color="auto"/>
      </w:divBdr>
    </w:div>
    <w:div w:id="117893163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146704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0127664">
      <w:bodyDiv w:val="1"/>
      <w:marLeft w:val="0"/>
      <w:marRight w:val="0"/>
      <w:marTop w:val="0"/>
      <w:marBottom w:val="0"/>
      <w:divBdr>
        <w:top w:val="none" w:sz="0" w:space="0" w:color="auto"/>
        <w:left w:val="none" w:sz="0" w:space="0" w:color="auto"/>
        <w:bottom w:val="none" w:sz="0" w:space="0" w:color="auto"/>
        <w:right w:val="none" w:sz="0" w:space="0" w:color="auto"/>
      </w:divBdr>
    </w:div>
    <w:div w:id="1425495040">
      <w:bodyDiv w:val="1"/>
      <w:marLeft w:val="0"/>
      <w:marRight w:val="0"/>
      <w:marTop w:val="0"/>
      <w:marBottom w:val="0"/>
      <w:divBdr>
        <w:top w:val="none" w:sz="0" w:space="0" w:color="auto"/>
        <w:left w:val="none" w:sz="0" w:space="0" w:color="auto"/>
        <w:bottom w:val="none" w:sz="0" w:space="0" w:color="auto"/>
        <w:right w:val="none" w:sz="0" w:space="0" w:color="auto"/>
      </w:divBdr>
    </w:div>
    <w:div w:id="144369406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5144371">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7342822">
      <w:bodyDiv w:val="1"/>
      <w:marLeft w:val="0"/>
      <w:marRight w:val="0"/>
      <w:marTop w:val="0"/>
      <w:marBottom w:val="0"/>
      <w:divBdr>
        <w:top w:val="none" w:sz="0" w:space="0" w:color="auto"/>
        <w:left w:val="none" w:sz="0" w:space="0" w:color="auto"/>
        <w:bottom w:val="none" w:sz="0" w:space="0" w:color="auto"/>
        <w:right w:val="none" w:sz="0" w:space="0" w:color="auto"/>
      </w:divBdr>
    </w:div>
    <w:div w:id="1679581660">
      <w:bodyDiv w:val="1"/>
      <w:marLeft w:val="0"/>
      <w:marRight w:val="0"/>
      <w:marTop w:val="0"/>
      <w:marBottom w:val="0"/>
      <w:divBdr>
        <w:top w:val="none" w:sz="0" w:space="0" w:color="auto"/>
        <w:left w:val="none" w:sz="0" w:space="0" w:color="auto"/>
        <w:bottom w:val="none" w:sz="0" w:space="0" w:color="auto"/>
        <w:right w:val="none" w:sz="0" w:space="0" w:color="auto"/>
      </w:divBdr>
    </w:div>
    <w:div w:id="1729762995">
      <w:bodyDiv w:val="1"/>
      <w:marLeft w:val="0"/>
      <w:marRight w:val="0"/>
      <w:marTop w:val="0"/>
      <w:marBottom w:val="0"/>
      <w:divBdr>
        <w:top w:val="none" w:sz="0" w:space="0" w:color="auto"/>
        <w:left w:val="none" w:sz="0" w:space="0" w:color="auto"/>
        <w:bottom w:val="none" w:sz="0" w:space="0" w:color="auto"/>
        <w:right w:val="none" w:sz="0" w:space="0" w:color="auto"/>
      </w:divBdr>
    </w:div>
    <w:div w:id="1737118970">
      <w:bodyDiv w:val="1"/>
      <w:marLeft w:val="0"/>
      <w:marRight w:val="0"/>
      <w:marTop w:val="0"/>
      <w:marBottom w:val="0"/>
      <w:divBdr>
        <w:top w:val="none" w:sz="0" w:space="0" w:color="auto"/>
        <w:left w:val="none" w:sz="0" w:space="0" w:color="auto"/>
        <w:bottom w:val="none" w:sz="0" w:space="0" w:color="auto"/>
        <w:right w:val="none" w:sz="0" w:space="0" w:color="auto"/>
      </w:divBdr>
    </w:div>
    <w:div w:id="1762994190">
      <w:bodyDiv w:val="1"/>
      <w:marLeft w:val="0"/>
      <w:marRight w:val="0"/>
      <w:marTop w:val="0"/>
      <w:marBottom w:val="0"/>
      <w:divBdr>
        <w:top w:val="none" w:sz="0" w:space="0" w:color="auto"/>
        <w:left w:val="none" w:sz="0" w:space="0" w:color="auto"/>
        <w:bottom w:val="none" w:sz="0" w:space="0" w:color="auto"/>
        <w:right w:val="none" w:sz="0" w:space="0" w:color="auto"/>
      </w:divBdr>
    </w:div>
    <w:div w:id="1776434726">
      <w:bodyDiv w:val="1"/>
      <w:marLeft w:val="0"/>
      <w:marRight w:val="0"/>
      <w:marTop w:val="0"/>
      <w:marBottom w:val="0"/>
      <w:divBdr>
        <w:top w:val="none" w:sz="0" w:space="0" w:color="auto"/>
        <w:left w:val="none" w:sz="0" w:space="0" w:color="auto"/>
        <w:bottom w:val="none" w:sz="0" w:space="0" w:color="auto"/>
        <w:right w:val="none" w:sz="0" w:space="0" w:color="auto"/>
      </w:divBdr>
    </w:div>
    <w:div w:id="180014577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328124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635109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71453/9/58/&#1575;&#1604;&#1607;&#1604;&#1575;&#1604;" TargetMode="External"/><Relationship Id="rId3" Type="http://schemas.openxmlformats.org/officeDocument/2006/relationships/hyperlink" Target="http://lib.eshia.ir/10438/2/146/%D9%83%D8%A7%D9%84%D9%85%D8%AC%D9%85%D9%84" TargetMode="External"/><Relationship Id="rId7" Type="http://schemas.openxmlformats.org/officeDocument/2006/relationships/hyperlink" Target="http://lib.eshia.ir/10095/2/412/%D8%A7%D9%84%D8%A7%DA%A9%D8%AA%D9%81%D8%A7%D8%A1" TargetMode="External"/><Relationship Id="rId2" Type="http://schemas.openxmlformats.org/officeDocument/2006/relationships/hyperlink" Target="http://lib.eshia.ir/10173/2/176/%D9%88%D8%A7%D9%84%D8%A3%D9%88%D9%84%D9%89" TargetMode="External"/><Relationship Id="rId1" Type="http://schemas.openxmlformats.org/officeDocument/2006/relationships/hyperlink" Target="http://lib.eshia.ir/10075/4/389/%D9%83%D8%A7%D9%84%D9%85%D8%A8%D9%8A%D9%86" TargetMode="External"/><Relationship Id="rId6" Type="http://schemas.openxmlformats.org/officeDocument/2006/relationships/hyperlink" Target="http://lib.eshia.ir/10149/4/463/%D9%85%D8%AC%D9%85%D8%B9" TargetMode="External"/><Relationship Id="rId11" Type="http://schemas.openxmlformats.org/officeDocument/2006/relationships/hyperlink" Target="http://lib.eshia.ir/10036/5/173/&#1575;&#1606;&#1602;&#1591;&#1593;" TargetMode="External"/><Relationship Id="rId5" Type="http://schemas.openxmlformats.org/officeDocument/2006/relationships/hyperlink" Target="http://lib.eshia.ir/10106/1/152/&#1605;&#1578;&#1585;&#1583;&#1583;&#1575;" TargetMode="External"/><Relationship Id="rId10" Type="http://schemas.openxmlformats.org/officeDocument/2006/relationships/hyperlink" Target="http://lib.eshia.ir/10036/3/255/&#1575;&#1591;&#1604;&#1602;&#1575;" TargetMode="External"/><Relationship Id="rId4" Type="http://schemas.openxmlformats.org/officeDocument/2006/relationships/hyperlink" Target="http://lib.eshia.ir/10095/2/412/%D8%A7%D9%84%D9%85%D8%B7%D9%84%D9%82" TargetMode="External"/><Relationship Id="rId9" Type="http://schemas.openxmlformats.org/officeDocument/2006/relationships/hyperlink" Target="http://lib.eshia.ir/10036/2/171/&#1575;&#1740;&#1590;&#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FAAB-B6AD-406F-B35B-731E0454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7</Pages>
  <Words>1705</Words>
  <Characters>9719</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11402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2020-04-19T05:46:00Z</dcterms:created>
  <dcterms:modified xsi:type="dcterms:W3CDTF">2020-04-21T12:56:00Z</dcterms:modified>
  <cp:contentStatus>ویرایش 2.5</cp:contentStatus>
  <cp:version>2.7</cp:version>
</cp:coreProperties>
</file>