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36" w:rsidRDefault="00706836" w:rsidP="0070683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706836" w:rsidRPr="00825F78" w:rsidRDefault="00706836" w:rsidP="0070683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 xml:space="preserve">قبول قول </w:t>
      </w:r>
      <w:r>
        <w:rPr>
          <w:rFonts w:ascii="IRANSans" w:hAnsi="IRANSans" w:cs="IRANSans" w:hint="cs"/>
          <w:b/>
          <w:bCs/>
          <w:color w:val="0101FF"/>
          <w:sz w:val="24"/>
          <w:szCs w:val="24"/>
          <w:shd w:val="clear" w:color="auto" w:fill="FFFFFF"/>
          <w:rtl/>
        </w:rPr>
        <w:t>مرد در طلاق</w:t>
      </w:r>
      <w:r>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6017BA">
        <w:rPr>
          <w:rStyle w:val="Emphasis"/>
          <w:rFonts w:hint="eastAsia"/>
          <w:b/>
          <w:bCs w:val="0"/>
          <w:rtl/>
        </w:rPr>
        <w:t>‌</w:t>
      </w:r>
      <w:r w:rsidR="006017BA">
        <w:rPr>
          <w:rStyle w:val="Emphasis"/>
          <w:rFonts w:hint="cs"/>
          <w:b/>
          <w:bCs w:val="0"/>
          <w:rtl/>
        </w:rPr>
        <w:t>ی</w:t>
      </w:r>
      <w:r w:rsidRPr="009C66D5">
        <w:rPr>
          <w:rStyle w:val="Emphasis"/>
          <w:rFonts w:hint="cs"/>
          <w:b/>
          <w:bCs w:val="0"/>
          <w:rtl/>
        </w:rPr>
        <w:t xml:space="preserve"> مباحث گذشته:</w:t>
      </w:r>
    </w:p>
    <w:p w:rsidR="003A6148" w:rsidRDefault="00E777DC" w:rsidP="006017BA">
      <w:pPr>
        <w:pBdr>
          <w:bottom w:val="double" w:sz="6" w:space="1" w:color="auto"/>
        </w:pBdr>
        <w:jc w:val="both"/>
        <w:rPr>
          <w:rtl/>
        </w:rPr>
      </w:pPr>
      <w:r>
        <w:rPr>
          <w:rFonts w:hint="cs"/>
          <w:rtl/>
        </w:rPr>
        <w:t>بحث در جایی بود که مرد و زن در وقوع طلاق اختلاف داشتند.</w:t>
      </w:r>
      <w:r w:rsidR="00EF7AA7">
        <w:rPr>
          <w:rFonts w:hint="cs"/>
          <w:rtl/>
        </w:rPr>
        <w:t xml:space="preserve"> بحث در این بود که آیا قول مرد مقدم می شود؟ مخصوصا در جایی که مرد ادعای طلاق می کند و قول او مخالف با اصل عدم طلاق است.</w:t>
      </w:r>
    </w:p>
    <w:p w:rsidR="00EF7AA7" w:rsidRDefault="00EF7AA7" w:rsidP="006017BA">
      <w:pPr>
        <w:pBdr>
          <w:bottom w:val="double" w:sz="6" w:space="1" w:color="auto"/>
        </w:pBdr>
        <w:jc w:val="both"/>
        <w:rPr>
          <w:rtl/>
        </w:rPr>
      </w:pPr>
      <w:r>
        <w:rPr>
          <w:rFonts w:hint="cs"/>
          <w:rtl/>
        </w:rPr>
        <w:t>کلام بعضی از فقها را مطرح کردیم و کلام بعضی دیگر را هم بیان می کنیم.</w:t>
      </w:r>
    </w:p>
    <w:p w:rsidR="00247D2F" w:rsidRPr="003A6148" w:rsidRDefault="00247D2F" w:rsidP="006017BA">
      <w:pPr>
        <w:pBdr>
          <w:bottom w:val="double" w:sz="6" w:space="1" w:color="auto"/>
        </w:pBdr>
        <w:jc w:val="both"/>
      </w:pPr>
    </w:p>
    <w:p w:rsidR="008F5B4D" w:rsidRDefault="008F5B4D" w:rsidP="006017BA">
      <w:pPr>
        <w:jc w:val="both"/>
      </w:pPr>
    </w:p>
    <w:p w:rsidR="003E6650" w:rsidRPr="001A27D7" w:rsidRDefault="00EF7AA7" w:rsidP="00910353">
      <w:pPr>
        <w:pStyle w:val="Heading1"/>
        <w:rPr>
          <w:rtl/>
        </w:rPr>
      </w:pPr>
      <w:bookmarkStart w:id="1" w:name="_Toc30343263"/>
      <w:bookmarkStart w:id="2" w:name="_Toc30348121"/>
      <w:r>
        <w:rPr>
          <w:rFonts w:hint="cs"/>
          <w:rtl/>
        </w:rPr>
        <w:t>کلام آقای حکیم در منهاج الصالحین</w:t>
      </w:r>
      <w:bookmarkEnd w:id="1"/>
      <w:bookmarkEnd w:id="2"/>
    </w:p>
    <w:p w:rsidR="00700B9C" w:rsidRDefault="00700B9C" w:rsidP="00700B9C">
      <w:pPr>
        <w:jc w:val="both"/>
        <w:rPr>
          <w:color w:val="000080"/>
          <w:u w:val="single"/>
          <w:rtl/>
        </w:rPr>
      </w:pPr>
      <w:r w:rsidRPr="00700B9C">
        <w:rPr>
          <w:rFonts w:hint="cs"/>
          <w:color w:val="000080"/>
          <w:rtl/>
        </w:rPr>
        <w:t xml:space="preserve">(مسألة 6) يقبل قول المرأة في انقضاء العدة بالحيض و بالشهور و </w:t>
      </w:r>
      <w:r w:rsidRPr="00B24ABA">
        <w:rPr>
          <w:rFonts w:hint="cs"/>
          <w:color w:val="000080"/>
          <w:u w:val="single"/>
          <w:rtl/>
        </w:rPr>
        <w:t>يقبل قول الرجل في الطلاق حتى بعد انقضاء العدة</w:t>
      </w:r>
      <w:r w:rsidR="00C97F2B">
        <w:rPr>
          <w:rStyle w:val="FootnoteReference"/>
          <w:color w:val="000080"/>
          <w:rtl/>
        </w:rPr>
        <w:footnoteReference w:id="1"/>
      </w:r>
    </w:p>
    <w:p w:rsidR="00B24ABA" w:rsidRPr="00B24ABA" w:rsidRDefault="00B24ABA" w:rsidP="00B24ABA">
      <w:pPr>
        <w:rPr>
          <w:rtl/>
        </w:rPr>
      </w:pPr>
      <w:r>
        <w:rPr>
          <w:rFonts w:hint="cs"/>
          <w:rtl/>
        </w:rPr>
        <w:t>منظور آقای حکیم قبول قول مرد در اصل طلاق می باشد.</w:t>
      </w:r>
    </w:p>
    <w:p w:rsidR="001A1EA5" w:rsidRPr="00910353" w:rsidRDefault="003D6BE5" w:rsidP="00910353">
      <w:pPr>
        <w:pStyle w:val="Heading1"/>
        <w:rPr>
          <w:rtl/>
        </w:rPr>
      </w:pPr>
      <w:bookmarkStart w:id="3" w:name="_Toc30343264"/>
      <w:bookmarkStart w:id="4" w:name="_Toc30348122"/>
      <w:r w:rsidRPr="00910353">
        <w:rPr>
          <w:rtl/>
        </w:rPr>
        <w:lastRenderedPageBreak/>
        <w:t>کلام مرحوم آقای خویی در منهاج الصالحین</w:t>
      </w:r>
      <w:bookmarkEnd w:id="3"/>
      <w:bookmarkEnd w:id="4"/>
    </w:p>
    <w:p w:rsidR="003D6BE5" w:rsidRPr="003D6BE5" w:rsidRDefault="003D6BE5" w:rsidP="003D6BE5">
      <w:pPr>
        <w:jc w:val="both"/>
        <w:rPr>
          <w:color w:val="000080"/>
          <w:rtl/>
        </w:rPr>
      </w:pPr>
      <w:r w:rsidRPr="003D6BE5">
        <w:rPr>
          <w:rFonts w:hint="cs"/>
          <w:color w:val="000080"/>
          <w:rtl/>
        </w:rPr>
        <w:t xml:space="preserve">(مسألة 1442): يقبل قول المرأة في انقضاء العدة بالحيض و بالشهور، </w:t>
      </w:r>
      <w:r w:rsidRPr="00E20E9A">
        <w:rPr>
          <w:rFonts w:hint="cs"/>
          <w:color w:val="000080"/>
          <w:u w:val="single"/>
          <w:rtl/>
        </w:rPr>
        <w:t>و يقبل قول الرجل في الطلاق حتى بعد انقضاء العدة بالنسبة إلى أصل الطلاق</w:t>
      </w:r>
      <w:r w:rsidRPr="003D6BE5">
        <w:rPr>
          <w:rFonts w:hint="cs"/>
          <w:color w:val="000080"/>
          <w:rtl/>
        </w:rPr>
        <w:t xml:space="preserve"> و عدم الحق له على زوجته. و أما بالنسبة إلى حقوق الزوجة كمطالبتها النفقة للأي</w:t>
      </w:r>
      <w:r w:rsidR="00E34A14">
        <w:rPr>
          <w:rFonts w:hint="cs"/>
          <w:color w:val="000080"/>
          <w:rtl/>
        </w:rPr>
        <w:t>ام السابقة على إ</w:t>
      </w:r>
      <w:r w:rsidRPr="003D6BE5">
        <w:rPr>
          <w:rFonts w:hint="cs"/>
          <w:color w:val="000080"/>
          <w:rtl/>
        </w:rPr>
        <w:t>خباره بالطلاق فلا يقبل قوله على الأظهر.</w:t>
      </w:r>
      <w:r>
        <w:rPr>
          <w:rStyle w:val="FootnoteReference"/>
          <w:color w:val="000080"/>
          <w:rtl/>
        </w:rPr>
        <w:footnoteReference w:id="2"/>
      </w:r>
    </w:p>
    <w:p w:rsidR="003D6BE5" w:rsidRDefault="00A2441A" w:rsidP="00910353">
      <w:pPr>
        <w:pStyle w:val="Heading1"/>
        <w:rPr>
          <w:rtl/>
        </w:rPr>
      </w:pPr>
      <w:bookmarkStart w:id="5" w:name="_Toc30343265"/>
      <w:bookmarkStart w:id="6" w:name="_Toc30348123"/>
      <w:r>
        <w:rPr>
          <w:rFonts w:hint="cs"/>
          <w:rtl/>
        </w:rPr>
        <w:t>کلام مرحوم سبزواری در جامع الاحکام الشرعیة</w:t>
      </w:r>
      <w:bookmarkEnd w:id="5"/>
      <w:bookmarkEnd w:id="6"/>
    </w:p>
    <w:p w:rsidR="00A2441A" w:rsidRPr="00A2441A" w:rsidRDefault="00A2441A" w:rsidP="00A2441A">
      <w:pPr>
        <w:jc w:val="both"/>
        <w:rPr>
          <w:color w:val="000080"/>
        </w:rPr>
      </w:pPr>
      <w:r w:rsidRPr="00A2441A">
        <w:rPr>
          <w:rFonts w:hint="cs"/>
          <w:color w:val="000080"/>
          <w:rtl/>
        </w:rPr>
        <w:t>(مسألة 16): يقبل قول المرأة في انقضاء العدة بالحيض و بالشهور، و يقبل قول الرجل في الطلاق حتّى بعد انقضاء العدة بالنسبة إلى أصل الطلاق و عدم الحق له على زوجته. و أما بالنسبة إلى حقوق الزوجة كمطالبتها النفقة للأيام السابقة على إخباره بالطلاق فلا يقبل قوله إلا بالبينة.</w:t>
      </w:r>
      <w:r w:rsidR="00196F89">
        <w:rPr>
          <w:rStyle w:val="FootnoteReference"/>
          <w:color w:val="000080"/>
          <w:rtl/>
        </w:rPr>
        <w:footnoteReference w:id="3"/>
      </w:r>
    </w:p>
    <w:p w:rsidR="006017BA" w:rsidRDefault="00CE083B" w:rsidP="00910353">
      <w:pPr>
        <w:pStyle w:val="Heading1"/>
        <w:rPr>
          <w:rtl/>
        </w:rPr>
      </w:pPr>
      <w:bookmarkStart w:id="7" w:name="_Toc30343266"/>
      <w:bookmarkStart w:id="8" w:name="_Toc30348124"/>
      <w:r>
        <w:rPr>
          <w:rFonts w:hint="cs"/>
          <w:rtl/>
        </w:rPr>
        <w:t>کلام مرحوم آقای تبریزی در منهاج الصالحین</w:t>
      </w:r>
      <w:bookmarkEnd w:id="7"/>
      <w:bookmarkEnd w:id="8"/>
    </w:p>
    <w:p w:rsidR="00CE083B" w:rsidRPr="00CE083B" w:rsidRDefault="00CE083B" w:rsidP="00CE083B">
      <w:pPr>
        <w:jc w:val="both"/>
        <w:rPr>
          <w:color w:val="000080"/>
          <w:rtl/>
        </w:rPr>
      </w:pPr>
      <w:r w:rsidRPr="00CE083B">
        <w:rPr>
          <w:rFonts w:hint="cs"/>
          <w:color w:val="000080"/>
          <w:rtl/>
        </w:rPr>
        <w:t>(مسألة 1442): يقبل قول المرأة في انقضاء العدة بالحيض و بالشهور</w:t>
      </w:r>
      <w:r w:rsidRPr="00CE083B">
        <w:rPr>
          <w:rFonts w:hint="cs"/>
          <w:color w:val="000080"/>
        </w:rPr>
        <w:t>‌</w:t>
      </w:r>
      <w:r w:rsidRPr="00CE083B">
        <w:rPr>
          <w:rFonts w:hint="cs"/>
          <w:color w:val="000080"/>
          <w:rtl/>
        </w:rPr>
        <w:t>، و يقبل قول الرجل في الطلاق حتى بعد انقضاء العدة بالنسبة إلى أصل الطلاق و عدم الحق له على زوجته. و أما بالنسبة إلى حقوق الزوجة كمطالبتها النفقة للأيام السابقة على إخباره بالطلاق فلا يقبل قوله على الأظهر.</w:t>
      </w:r>
      <w:r>
        <w:rPr>
          <w:rStyle w:val="FootnoteReference"/>
          <w:color w:val="000080"/>
          <w:rtl/>
        </w:rPr>
        <w:footnoteReference w:id="4"/>
      </w:r>
    </w:p>
    <w:p w:rsidR="006017BA" w:rsidRDefault="00B27C8C" w:rsidP="00910353">
      <w:pPr>
        <w:pStyle w:val="Heading1"/>
        <w:rPr>
          <w:rtl/>
        </w:rPr>
      </w:pPr>
      <w:bookmarkStart w:id="9" w:name="_Toc30343267"/>
      <w:bookmarkStart w:id="10" w:name="_Toc30348125"/>
      <w:r>
        <w:rPr>
          <w:rFonts w:hint="cs"/>
          <w:rtl/>
        </w:rPr>
        <w:t>کلام آیت الله وحید در منهاج الصالحین</w:t>
      </w:r>
      <w:bookmarkEnd w:id="9"/>
      <w:bookmarkEnd w:id="10"/>
    </w:p>
    <w:p w:rsidR="00B27C8C" w:rsidRPr="00016D5B" w:rsidRDefault="00B27C8C" w:rsidP="00B27C8C">
      <w:pPr>
        <w:jc w:val="both"/>
        <w:rPr>
          <w:color w:val="000080"/>
          <w:rtl/>
        </w:rPr>
      </w:pPr>
      <w:r w:rsidRPr="00016D5B">
        <w:rPr>
          <w:rFonts w:hint="cs"/>
          <w:color w:val="000080"/>
          <w:rtl/>
        </w:rPr>
        <w:t>(مسألة 1442): يقبل قول المرأة في انقضاء العدة بالحيض و بالشهور، و يقبل قول الرجل في الطلاق حتى بعد انقضاء العدة بالنسبة إلى أصل الطلاق و عدم الحق له على زوجته. و أما بالنسبة إلى حقوق الزوجة كمطال</w:t>
      </w:r>
      <w:r w:rsidR="0027204E">
        <w:rPr>
          <w:rFonts w:hint="cs"/>
          <w:color w:val="000080"/>
          <w:rtl/>
        </w:rPr>
        <w:t>بتها النفقة للأيام السابقة على إ</w:t>
      </w:r>
      <w:r w:rsidRPr="00016D5B">
        <w:rPr>
          <w:rFonts w:hint="cs"/>
          <w:color w:val="000080"/>
          <w:rtl/>
        </w:rPr>
        <w:t>خباره بالطلاق فلا يقبل قوله على الأظهر.</w:t>
      </w:r>
      <w:r w:rsidR="00016D5B">
        <w:rPr>
          <w:rStyle w:val="FootnoteReference"/>
          <w:color w:val="000080"/>
          <w:rtl/>
        </w:rPr>
        <w:footnoteReference w:id="5"/>
      </w:r>
    </w:p>
    <w:p w:rsidR="006017BA" w:rsidRDefault="002F0655" w:rsidP="00910353">
      <w:pPr>
        <w:pStyle w:val="Heading1"/>
        <w:rPr>
          <w:rtl/>
        </w:rPr>
      </w:pPr>
      <w:bookmarkStart w:id="11" w:name="_Toc30343268"/>
      <w:bookmarkStart w:id="12" w:name="_Toc30348126"/>
      <w:r>
        <w:rPr>
          <w:rFonts w:hint="cs"/>
          <w:rtl/>
        </w:rPr>
        <w:t>کلام آقای روحانی در منهاج الصالحین</w:t>
      </w:r>
      <w:bookmarkEnd w:id="11"/>
      <w:bookmarkEnd w:id="12"/>
    </w:p>
    <w:p w:rsidR="002F0655" w:rsidRPr="007E02AB" w:rsidRDefault="002F0655" w:rsidP="002F0655">
      <w:pPr>
        <w:jc w:val="both"/>
        <w:rPr>
          <w:color w:val="000080"/>
        </w:rPr>
      </w:pPr>
      <w:r w:rsidRPr="007E02AB">
        <w:rPr>
          <w:rFonts w:hint="cs"/>
          <w:color w:val="000080"/>
          <w:rtl/>
        </w:rPr>
        <w:t>م 3065: يُقبل قو</w:t>
      </w:r>
      <w:r w:rsidR="00981673">
        <w:rPr>
          <w:rFonts w:hint="cs"/>
          <w:color w:val="000080"/>
          <w:rtl/>
        </w:rPr>
        <w:t>ل المرأة في انقضاء العدة بالحيض</w:t>
      </w:r>
      <w:r w:rsidRPr="007E02AB">
        <w:rPr>
          <w:rFonts w:hint="cs"/>
          <w:color w:val="000080"/>
          <w:rtl/>
        </w:rPr>
        <w:t xml:space="preserve"> و بالشهور، و يُقبل قول الرجل في الطلاق حتى بعد انقضاء العدة بالنسبة إلى أصل الطلاق و عدم الحق له على زوجته. و أما بالنسبة إلى حقوق الزوجة كمطالبتها النفقة للأيام السابقة على إخباره بالطلاق فيقبل قوله.</w:t>
      </w:r>
      <w:r w:rsidR="007E02AB">
        <w:rPr>
          <w:rStyle w:val="FootnoteReference"/>
          <w:color w:val="000080"/>
          <w:rtl/>
        </w:rPr>
        <w:footnoteReference w:id="6"/>
      </w:r>
    </w:p>
    <w:p w:rsidR="001A5B7A" w:rsidRDefault="001A5B7A" w:rsidP="00910353">
      <w:pPr>
        <w:pStyle w:val="Heading1"/>
        <w:rPr>
          <w:rtl/>
        </w:rPr>
      </w:pPr>
      <w:bookmarkStart w:id="13" w:name="_Toc30343269"/>
      <w:bookmarkStart w:id="14" w:name="_Toc30348127"/>
      <w:r>
        <w:rPr>
          <w:rFonts w:hint="cs"/>
          <w:rtl/>
        </w:rPr>
        <w:t>کلام آیت الله سیستانی در منهاج الصالحین</w:t>
      </w:r>
      <w:bookmarkEnd w:id="13"/>
      <w:bookmarkEnd w:id="14"/>
    </w:p>
    <w:p w:rsidR="001A5B7A" w:rsidRPr="001A5B7A" w:rsidRDefault="001A5B7A" w:rsidP="001A5B7A">
      <w:pPr>
        <w:jc w:val="both"/>
        <w:rPr>
          <w:color w:val="000080"/>
          <w:rtl/>
        </w:rPr>
      </w:pPr>
      <w:r w:rsidRPr="001A5B7A">
        <w:rPr>
          <w:rFonts w:hint="cs"/>
          <w:color w:val="000080"/>
          <w:rtl/>
        </w:rPr>
        <w:t>إذا ادّعت الزوجة ان زوجها طلّقها و أنكر كان القول قوله بيمينه</w:t>
      </w:r>
      <w:r w:rsidRPr="001A5B7A">
        <w:rPr>
          <w:rFonts w:hint="cs"/>
          <w:color w:val="000080"/>
        </w:rPr>
        <w:t>‌</w:t>
      </w:r>
      <w:r w:rsidRPr="001A5B7A">
        <w:rPr>
          <w:rFonts w:hint="cs"/>
          <w:color w:val="000080"/>
          <w:rtl/>
        </w:rPr>
        <w:t>، و ان انعكس بأن ادّعى الزوج انّه طلّقها و انكرت فالأظهر ان القول قولها بيمينها</w:t>
      </w:r>
      <w:r>
        <w:rPr>
          <w:rStyle w:val="FootnoteReference"/>
          <w:color w:val="000080"/>
          <w:rtl/>
        </w:rPr>
        <w:footnoteReference w:id="7"/>
      </w:r>
    </w:p>
    <w:p w:rsidR="006017BA" w:rsidRDefault="0051202B" w:rsidP="00910353">
      <w:pPr>
        <w:pStyle w:val="Heading1"/>
        <w:rPr>
          <w:rtl/>
        </w:rPr>
      </w:pPr>
      <w:bookmarkStart w:id="15" w:name="_Toc30343270"/>
      <w:bookmarkStart w:id="16" w:name="_Toc30348128"/>
      <w:r>
        <w:rPr>
          <w:rFonts w:hint="cs"/>
          <w:rtl/>
        </w:rPr>
        <w:t>کلام حاج آقا تقی قمی در مبانی منهاج الصالحین</w:t>
      </w:r>
      <w:bookmarkEnd w:id="15"/>
      <w:bookmarkEnd w:id="16"/>
    </w:p>
    <w:p w:rsidR="000A3DC2" w:rsidRPr="000A3DC2" w:rsidRDefault="000A3DC2" w:rsidP="000A3DC2">
      <w:pPr>
        <w:jc w:val="both"/>
        <w:rPr>
          <w:b/>
          <w:bCs/>
          <w:color w:val="000080"/>
        </w:rPr>
      </w:pPr>
      <w:r w:rsidRPr="000A3DC2">
        <w:rPr>
          <w:rFonts w:hint="cs"/>
          <w:b/>
          <w:bCs/>
          <w:color w:val="000080"/>
          <w:rtl/>
        </w:rPr>
        <w:t>يقبل قول الرجل في الطلاق حتى بعد انقضاء العدة بالنسبة الى اصل الطلاق و عدم الحق له على زوجته</w:t>
      </w:r>
    </w:p>
    <w:p w:rsidR="000A3DC2" w:rsidRPr="000A3DC2" w:rsidRDefault="000A3DC2" w:rsidP="000A3DC2">
      <w:pPr>
        <w:jc w:val="both"/>
        <w:rPr>
          <w:color w:val="000080"/>
        </w:rPr>
      </w:pPr>
      <w:r w:rsidRPr="000A3DC2">
        <w:rPr>
          <w:rFonts w:hint="cs"/>
          <w:color w:val="000080"/>
          <w:rtl/>
        </w:rPr>
        <w:t xml:space="preserve">الظاهر ان الوجه قاعدة </w:t>
      </w:r>
      <w:r w:rsidRPr="00E20E9A">
        <w:rPr>
          <w:rFonts w:hint="cs"/>
          <w:color w:val="000080"/>
          <w:u w:val="single"/>
          <w:rtl/>
        </w:rPr>
        <w:t>«من ملك شيئا ملك الاقرار به»</w:t>
      </w:r>
      <w:r w:rsidRPr="000A3DC2">
        <w:rPr>
          <w:rFonts w:hint="cs"/>
          <w:color w:val="000080"/>
          <w:rtl/>
        </w:rPr>
        <w:t xml:space="preserve"> و حيث ان الزوج مالك للطلاق و له أن يطلق يكون له الاقرار به مضافا الى </w:t>
      </w:r>
      <w:r w:rsidRPr="00E20E9A">
        <w:rPr>
          <w:rFonts w:hint="cs"/>
          <w:color w:val="000080"/>
          <w:u w:val="single"/>
          <w:rtl/>
        </w:rPr>
        <w:t>جواز اقرار العقلاء على أنفسهم</w:t>
      </w:r>
      <w:r w:rsidRPr="000A3DC2">
        <w:rPr>
          <w:rFonts w:hint="cs"/>
          <w:color w:val="000080"/>
          <w:rtl/>
        </w:rPr>
        <w:t xml:space="preserve"> فان اقرار كل احد نافذ عليه.</w:t>
      </w:r>
      <w:r>
        <w:rPr>
          <w:rStyle w:val="FootnoteReference"/>
          <w:color w:val="000080"/>
          <w:rtl/>
        </w:rPr>
        <w:footnoteReference w:id="8"/>
      </w:r>
    </w:p>
    <w:p w:rsidR="006017BA" w:rsidRDefault="007A28C6" w:rsidP="006017BA">
      <w:pPr>
        <w:jc w:val="both"/>
        <w:rPr>
          <w:rtl/>
        </w:rPr>
      </w:pPr>
      <w:r>
        <w:rPr>
          <w:rFonts w:hint="cs"/>
          <w:rtl/>
        </w:rPr>
        <w:t>حاج آقا تقی قمی بر این مطلب دو استدلال دارند:</w:t>
      </w:r>
    </w:p>
    <w:p w:rsidR="007A28C6" w:rsidRDefault="007A28C6" w:rsidP="007A28C6">
      <w:pPr>
        <w:pStyle w:val="ListParagraph"/>
        <w:numPr>
          <w:ilvl w:val="0"/>
          <w:numId w:val="16"/>
        </w:numPr>
        <w:jc w:val="both"/>
      </w:pPr>
      <w:r>
        <w:rPr>
          <w:rtl/>
        </w:rPr>
        <w:t>قاعد</w:t>
      </w:r>
      <w:r>
        <w:rPr>
          <w:rFonts w:hint="cs"/>
          <w:rtl/>
        </w:rPr>
        <w:t>ه</w:t>
      </w:r>
      <w:r>
        <w:rPr>
          <w:rFonts w:ascii="Arial" w:eastAsia="Arial" w:hAnsi="Arial" w:cs="Arial" w:hint="cs"/>
          <w:rtl/>
        </w:rPr>
        <w:t>‌</w:t>
      </w:r>
      <w:r>
        <w:rPr>
          <w:rFonts w:hint="cs"/>
          <w:rtl/>
        </w:rPr>
        <w:t>ی</w:t>
      </w:r>
      <w:r w:rsidRPr="007A28C6">
        <w:rPr>
          <w:rtl/>
        </w:rPr>
        <w:t xml:space="preserve"> «من ملك شيئا ملك الاقرار به»</w:t>
      </w:r>
    </w:p>
    <w:p w:rsidR="007A28C6" w:rsidRPr="007A28C6" w:rsidRDefault="007A28C6" w:rsidP="007A28C6">
      <w:pPr>
        <w:pStyle w:val="ListParagraph"/>
        <w:numPr>
          <w:ilvl w:val="0"/>
          <w:numId w:val="16"/>
        </w:numPr>
        <w:jc w:val="both"/>
        <w:rPr>
          <w:rtl/>
        </w:rPr>
      </w:pPr>
      <w:r>
        <w:rPr>
          <w:rFonts w:hint="cs"/>
          <w:rtl/>
        </w:rPr>
        <w:t>قاعده</w:t>
      </w:r>
      <w:r>
        <w:rPr>
          <w:rFonts w:hint="eastAsia"/>
          <w:rtl/>
        </w:rPr>
        <w:t>‌</w:t>
      </w:r>
      <w:r>
        <w:rPr>
          <w:rFonts w:hint="cs"/>
          <w:rtl/>
        </w:rPr>
        <w:t>ی اقرار</w:t>
      </w:r>
    </w:p>
    <w:p w:rsidR="006017BA" w:rsidRDefault="006D5E25" w:rsidP="006017BA">
      <w:pPr>
        <w:jc w:val="both"/>
        <w:rPr>
          <w:rtl/>
        </w:rPr>
      </w:pPr>
      <w:r>
        <w:rPr>
          <w:rFonts w:hint="cs"/>
          <w:rtl/>
        </w:rPr>
        <w:t>قاعده</w:t>
      </w:r>
      <w:r>
        <w:rPr>
          <w:rFonts w:hint="eastAsia"/>
          <w:rtl/>
        </w:rPr>
        <w:t>‌</w:t>
      </w:r>
      <w:r>
        <w:rPr>
          <w:rFonts w:hint="cs"/>
          <w:rtl/>
        </w:rPr>
        <w:t>ی «من ملک شیئا ملک الاقرار به» دلیلی ندارد. مرحوم شیخ انصاری رساله ای در مورد این قاعده نوشته است</w:t>
      </w:r>
      <w:r w:rsidR="00472D4A">
        <w:rPr>
          <w:rFonts w:hint="cs"/>
          <w:rtl/>
        </w:rPr>
        <w:t xml:space="preserve"> که در آن جا هم دلیل محکمی برای این قاعده بیان نشده است.</w:t>
      </w:r>
    </w:p>
    <w:p w:rsidR="00472D4A" w:rsidRPr="0066328A" w:rsidRDefault="004B6308" w:rsidP="001C1D0A">
      <w:pPr>
        <w:jc w:val="both"/>
        <w:rPr>
          <w:rFonts w:ascii="Arial" w:eastAsia="Arial" w:hAnsi="Arial" w:cs="Arial"/>
          <w:rtl/>
        </w:rPr>
      </w:pPr>
      <w:r>
        <w:rPr>
          <w:rFonts w:hint="cs"/>
          <w:rtl/>
        </w:rPr>
        <w:t>در این قاعده لزومی ندارد</w:t>
      </w:r>
      <w:r w:rsidR="00E20E9A" w:rsidRPr="00E20E9A">
        <w:rPr>
          <w:rFonts w:hint="cs"/>
          <w:rtl/>
        </w:rPr>
        <w:t xml:space="preserve"> </w:t>
      </w:r>
      <w:r w:rsidR="00E20E9A">
        <w:rPr>
          <w:rFonts w:hint="cs"/>
          <w:rtl/>
        </w:rPr>
        <w:t>اقرار</w:t>
      </w:r>
      <w:r>
        <w:rPr>
          <w:rFonts w:hint="cs"/>
          <w:rtl/>
        </w:rPr>
        <w:t xml:space="preserve"> علیه خود شخص باشد، اگر به نفع او هم باشد، مقبول است.</w:t>
      </w:r>
      <w:r w:rsidR="001C1D0A">
        <w:rPr>
          <w:rFonts w:hint="cs"/>
          <w:rtl/>
        </w:rPr>
        <w:t xml:space="preserve"> در واقع قول کسی که مالک چیزی می باشد، نسبت به مملوکش معتبر می باشد چه به ضرر شخص باشد و چه به نفع شخص </w:t>
      </w:r>
      <w:r w:rsidR="0066328A">
        <w:rPr>
          <w:rFonts w:hint="cs"/>
          <w:rtl/>
        </w:rPr>
        <w:t>باشد، در نتیجه این قاعده غیر از قاعده</w:t>
      </w:r>
      <w:r w:rsidR="0066328A">
        <w:rPr>
          <w:rFonts w:hint="eastAsia"/>
          <w:rtl/>
        </w:rPr>
        <w:t>‌ی</w:t>
      </w:r>
      <w:r w:rsidR="0066328A">
        <w:rPr>
          <w:rFonts w:hint="cs"/>
          <w:rtl/>
        </w:rPr>
        <w:t xml:space="preserve"> </w:t>
      </w:r>
      <w:r w:rsidR="00E20E9A">
        <w:rPr>
          <w:rFonts w:hint="cs"/>
          <w:rtl/>
        </w:rPr>
        <w:t>«</w:t>
      </w:r>
      <w:r w:rsidR="0066328A">
        <w:rPr>
          <w:rFonts w:hint="cs"/>
          <w:rtl/>
        </w:rPr>
        <w:t>اقرار</w:t>
      </w:r>
      <w:r w:rsidR="00E20E9A">
        <w:rPr>
          <w:rFonts w:hint="cs"/>
          <w:rtl/>
        </w:rPr>
        <w:t>»</w:t>
      </w:r>
      <w:r w:rsidR="0066328A">
        <w:rPr>
          <w:rFonts w:hint="cs"/>
          <w:rtl/>
        </w:rPr>
        <w:t xml:space="preserve"> می باشد.</w:t>
      </w:r>
    </w:p>
    <w:p w:rsidR="006017BA" w:rsidRDefault="00707409" w:rsidP="00910353">
      <w:pPr>
        <w:pStyle w:val="Heading1"/>
        <w:rPr>
          <w:rtl/>
        </w:rPr>
      </w:pPr>
      <w:bookmarkStart w:id="17" w:name="_Toc30343271"/>
      <w:bookmarkStart w:id="18" w:name="_Toc30348129"/>
      <w:r>
        <w:rPr>
          <w:rFonts w:hint="cs"/>
          <w:rtl/>
        </w:rPr>
        <w:t>کلام آقای فاضل در جامع المسائل</w:t>
      </w:r>
      <w:bookmarkEnd w:id="17"/>
      <w:bookmarkEnd w:id="18"/>
    </w:p>
    <w:p w:rsidR="00960489" w:rsidRPr="00960489" w:rsidRDefault="00960489" w:rsidP="00960489">
      <w:pPr>
        <w:jc w:val="both"/>
        <w:rPr>
          <w:color w:val="000080"/>
        </w:rPr>
      </w:pPr>
      <w:r w:rsidRPr="00960489">
        <w:rPr>
          <w:rFonts w:hint="cs"/>
          <w:color w:val="000080"/>
          <w:rtl/>
        </w:rPr>
        <w:t xml:space="preserve">1444: هل يقبل قول الرجل المدّعي لطلاق زوجته بدون بيّنة، أم يحتاج إلى البيّنة؟ الجواب: يكفي إقرار الرّجل في ترتيب آثار الطلاق، إلّا إذا علمت الزوجة أو غيرها كذبه، ففي هذه الصورة يجب على من علم بكذبه أن يعمل بموجب علمه، بالرغم من أنّ الحاكم إذا حكم بموجب </w:t>
      </w:r>
      <w:r w:rsidRPr="00AE6B56">
        <w:rPr>
          <w:rFonts w:hint="cs"/>
          <w:color w:val="000080"/>
          <w:u w:val="single"/>
          <w:rtl/>
        </w:rPr>
        <w:t>اعتراف</w:t>
      </w:r>
      <w:r w:rsidRPr="00960489">
        <w:rPr>
          <w:rFonts w:hint="cs"/>
          <w:color w:val="000080"/>
          <w:rtl/>
        </w:rPr>
        <w:t xml:space="preserve"> الزوج، فلا يمكن في الظاهر ردّ الحكم</w:t>
      </w:r>
      <w:r>
        <w:rPr>
          <w:rStyle w:val="FootnoteReference"/>
          <w:color w:val="000080"/>
          <w:rtl/>
        </w:rPr>
        <w:footnoteReference w:id="9"/>
      </w:r>
    </w:p>
    <w:p w:rsidR="006017BA" w:rsidRDefault="00960489" w:rsidP="006017BA">
      <w:pPr>
        <w:jc w:val="both"/>
        <w:rPr>
          <w:rtl/>
        </w:rPr>
      </w:pPr>
      <w:r>
        <w:rPr>
          <w:rFonts w:hint="cs"/>
          <w:rtl/>
        </w:rPr>
        <w:t>آقای فاض</w:t>
      </w:r>
      <w:r w:rsidR="00AE6B56">
        <w:rPr>
          <w:rFonts w:hint="cs"/>
          <w:rtl/>
        </w:rPr>
        <w:t>ل به اقرار تمسک کرده است، موید آن هم استفاده از لفظ «اعتراف» می باشد.</w:t>
      </w:r>
    </w:p>
    <w:p w:rsidR="00960489" w:rsidRDefault="00D217CA" w:rsidP="00910353">
      <w:pPr>
        <w:jc w:val="both"/>
        <w:rPr>
          <w:rtl/>
        </w:rPr>
      </w:pPr>
      <w:r w:rsidRPr="00F97556">
        <w:rPr>
          <w:rFonts w:hint="cs"/>
          <w:highlight w:val="yellow"/>
          <w:rtl/>
        </w:rPr>
        <w:t>در جلسه</w:t>
      </w:r>
      <w:r w:rsidRPr="00F97556">
        <w:rPr>
          <w:rFonts w:hint="eastAsia"/>
          <w:highlight w:val="yellow"/>
          <w:rtl/>
        </w:rPr>
        <w:t>‌ی</w:t>
      </w:r>
      <w:r>
        <w:rPr>
          <w:rFonts w:hint="cs"/>
          <w:rtl/>
        </w:rPr>
        <w:t xml:space="preserve"> گذشته گفتیم که در بحث اقرار باید مجموع «مخبَر به» را ملاحظه کنیم، اگر مجموع آن علیه شخص باشد، قول او در آن نافذ است اما اگر مجموع آن، علیه شخص نباشد، قول او نافذ نیست. طلاق از مصادیقی</w:t>
      </w:r>
      <w:r w:rsidR="00910353">
        <w:t xml:space="preserve"> </w:t>
      </w:r>
      <w:r w:rsidR="00910353">
        <w:rPr>
          <w:rFonts w:hint="cs"/>
          <w:rtl/>
        </w:rPr>
        <w:t>نیست</w:t>
      </w:r>
      <w:r>
        <w:rPr>
          <w:rFonts w:hint="cs"/>
          <w:rtl/>
        </w:rPr>
        <w:t xml:space="preserve"> که علیه </w:t>
      </w:r>
      <w:r w:rsidR="00910353">
        <w:rPr>
          <w:rFonts w:hint="cs"/>
          <w:rtl/>
        </w:rPr>
        <w:t>مرد باشد</w:t>
      </w:r>
      <w:r>
        <w:rPr>
          <w:rFonts w:hint="cs"/>
          <w:rtl/>
        </w:rPr>
        <w:t>؛ اگر علیه او بود طلاق نمی داد</w:t>
      </w:r>
      <w:r w:rsidR="001F39DB">
        <w:rPr>
          <w:rFonts w:hint="cs"/>
          <w:rtl/>
        </w:rPr>
        <w:t>، حتما به نفع او بوده که طلاق داده است</w:t>
      </w:r>
      <w:r w:rsidR="005D30B6">
        <w:rPr>
          <w:rFonts w:hint="cs"/>
          <w:rtl/>
        </w:rPr>
        <w:t>.</w:t>
      </w:r>
    </w:p>
    <w:p w:rsidR="00960489" w:rsidRDefault="005D30B6" w:rsidP="00910353">
      <w:pPr>
        <w:pStyle w:val="Heading1"/>
        <w:rPr>
          <w:rtl/>
        </w:rPr>
      </w:pPr>
      <w:bookmarkStart w:id="19" w:name="_Toc30343272"/>
      <w:bookmarkStart w:id="20" w:name="_Toc30348130"/>
      <w:r>
        <w:rPr>
          <w:rFonts w:hint="cs"/>
          <w:rtl/>
        </w:rPr>
        <w:t>کلام سید یزدی در کتاب القضاء</w:t>
      </w:r>
      <w:bookmarkEnd w:id="19"/>
      <w:bookmarkEnd w:id="20"/>
    </w:p>
    <w:p w:rsidR="00EF4D9A" w:rsidRPr="00D93D1B" w:rsidRDefault="00EF4D9A" w:rsidP="008944E6">
      <w:pPr>
        <w:jc w:val="both"/>
        <w:rPr>
          <w:color w:val="0000FF"/>
          <w:rtl/>
        </w:rPr>
      </w:pPr>
      <w:r w:rsidRPr="00D93D1B">
        <w:rPr>
          <w:rFonts w:hint="cs"/>
          <w:color w:val="0000FF"/>
          <w:rtl/>
        </w:rPr>
        <w:t>مسألة 1: إذا ادعت أنّ زوجها طلقها و أنكر، فمع عدم البينة لها، قدم قول الزوج</w:t>
      </w:r>
      <w:r w:rsidRPr="00D93D1B">
        <w:rPr>
          <w:rFonts w:hint="cs"/>
          <w:color w:val="0000FF"/>
        </w:rPr>
        <w:t>‌</w:t>
      </w:r>
      <w:r w:rsidRPr="00D93D1B">
        <w:rPr>
          <w:rFonts w:hint="cs"/>
          <w:color w:val="0000FF"/>
          <w:rtl/>
        </w:rPr>
        <w:t xml:space="preserve"> مع اليمين، و إن انعكس بأن ادعى الزوج أنّه طلقها و أنكرت الزوجة، فقد يقال: بتقديم قوله أيضا كما نقله المحقق القمي (قده)- عن جماعة من معاصريه- لأنّ الطلاق من فعله و أمره بيده، و لقاعدة من ملك شيئا ملك الإقرار به، و لأنّه أمين من قبل اللّه تعالى فيكون كسائر الأمناء من الوكيل و الولي في تقديم قوله فحينئذ مع عدم البينة يحلف على ذلك و يحكم له بوقوع الطلاق، بل ربما يحتمل عدم الحاجة إلى الحلف أيضا، و قد يقال:</w:t>
      </w:r>
      <w:r w:rsidR="008944E6">
        <w:rPr>
          <w:rFonts w:hint="cs"/>
          <w:color w:val="0000FF"/>
          <w:rtl/>
        </w:rPr>
        <w:t xml:space="preserve"> </w:t>
      </w:r>
      <w:r w:rsidRPr="00D93D1B">
        <w:rPr>
          <w:rFonts w:hint="cs"/>
          <w:color w:val="0000FF"/>
          <w:rtl/>
        </w:rPr>
        <w:t>بتقديم قولها و انّه لا يسمع منه إلّا بالبينة لأنّه مدع فيشمله عموم قوله (ص): «البينة للمدعي و اليمين على من أنكر». و هو الّذي اختاره المحقق القمي في رسالته الطويلة في هذه المسألة و كون الأمر بيده لا يوجب تقديم قوله، و القدر المعلوم من قاعدة من ملك صورة عدم النزاع، و تقديم قول الوكيل على الموكل مع النزاع انّما هو من جهة كونه بمنزلة الموكل حيث انّه جعل الأمر بيده و كون فعله بمنزلة فعله لا من هذه القاعدة- مع انّه لا دليل عليها كليّة، و من هذا يظهر الجواب عن دعوى كونه أمينا من قبل اللّه فيكون كسائر الأمناء للفرق البيّن بينه و بينهم. و لو كان نزاعهما في زمان وقوع الطلاق بعد ثبوته، أو اتفاقهما عليه بأن ادعى انّه طلقها قبل بسنة لغرض عدم استحقاقها النفقة لتلك المدة، و ادعت تأخره، فالظاهر عدم الإشكال في تقديم قولها، إذ النزاع حينئذ ليس في الطلاق بل في زمانه، و قاعدة من ملك على فرض جريانها في أصل الطلاق لا تجري بالنسبة إلى زمانه.</w:t>
      </w:r>
      <w:r w:rsidR="00D93D1B">
        <w:rPr>
          <w:rStyle w:val="FootnoteReference"/>
          <w:color w:val="0000FF"/>
          <w:rtl/>
        </w:rPr>
        <w:footnoteReference w:id="10"/>
      </w:r>
    </w:p>
    <w:p w:rsidR="00960489" w:rsidRDefault="00B05F4D" w:rsidP="00960489">
      <w:pPr>
        <w:jc w:val="both"/>
        <w:rPr>
          <w:rtl/>
        </w:rPr>
      </w:pPr>
      <w:r>
        <w:rPr>
          <w:rFonts w:hint="cs"/>
          <w:rtl/>
        </w:rPr>
        <w:t>مرحوم سید می فرماید: در صورتی که مرد مدعی طلاق است و زن منکر طلاق می باشد، گفته شده که قول مرد مقدم است و سه دلیل بیان می کند:</w:t>
      </w:r>
    </w:p>
    <w:p w:rsidR="00B05F4D" w:rsidRDefault="00B05F4D" w:rsidP="00B05F4D">
      <w:pPr>
        <w:pStyle w:val="ListParagraph"/>
        <w:numPr>
          <w:ilvl w:val="0"/>
          <w:numId w:val="17"/>
        </w:numPr>
        <w:jc w:val="both"/>
      </w:pPr>
      <w:r>
        <w:rPr>
          <w:rFonts w:hint="cs"/>
          <w:rtl/>
        </w:rPr>
        <w:t>طلاق فعل مرد است و به اختیار او می باشد.</w:t>
      </w:r>
    </w:p>
    <w:p w:rsidR="00B05F4D" w:rsidRDefault="00B05F4D" w:rsidP="00B05F4D">
      <w:pPr>
        <w:pStyle w:val="ListParagraph"/>
        <w:numPr>
          <w:ilvl w:val="0"/>
          <w:numId w:val="17"/>
        </w:numPr>
        <w:jc w:val="both"/>
      </w:pPr>
      <w:r>
        <w:rPr>
          <w:rFonts w:hint="cs"/>
          <w:rtl/>
        </w:rPr>
        <w:t xml:space="preserve">قاعده‌ی «من ملک شیئا ملک الاقرار به» </w:t>
      </w:r>
    </w:p>
    <w:p w:rsidR="00D93076" w:rsidRDefault="00D93076" w:rsidP="00B05F4D">
      <w:pPr>
        <w:pStyle w:val="ListParagraph"/>
        <w:numPr>
          <w:ilvl w:val="0"/>
          <w:numId w:val="17"/>
        </w:numPr>
        <w:jc w:val="both"/>
      </w:pPr>
      <w:r>
        <w:rPr>
          <w:rFonts w:hint="cs"/>
          <w:rtl/>
        </w:rPr>
        <w:t xml:space="preserve">امین از جانب خداوند است و </w:t>
      </w:r>
      <w:r w:rsidR="00B54AD5">
        <w:rPr>
          <w:rFonts w:hint="cs"/>
          <w:rtl/>
        </w:rPr>
        <w:t>مانند سایر امناء مثل وکیل و ولی قولش مقدم می شود.</w:t>
      </w:r>
    </w:p>
    <w:p w:rsidR="00143C5D" w:rsidRDefault="009B3ADC" w:rsidP="00242A3A">
      <w:pPr>
        <w:jc w:val="both"/>
        <w:rPr>
          <w:rtl/>
        </w:rPr>
      </w:pPr>
      <w:r>
        <w:rPr>
          <w:rFonts w:hint="cs"/>
          <w:rtl/>
        </w:rPr>
        <w:t>از طرفی گفته شده که قول زن مقدم می شود، یعنی به بینه</w:t>
      </w:r>
      <w:r w:rsidR="00242A3A" w:rsidRPr="00242A3A">
        <w:rPr>
          <w:rFonts w:hint="cs"/>
          <w:rtl/>
        </w:rPr>
        <w:t xml:space="preserve"> </w:t>
      </w:r>
      <w:r w:rsidR="00242A3A">
        <w:rPr>
          <w:rFonts w:hint="cs"/>
          <w:rtl/>
        </w:rPr>
        <w:t>نیاز</w:t>
      </w:r>
      <w:r>
        <w:rPr>
          <w:rFonts w:hint="cs"/>
          <w:rtl/>
        </w:rPr>
        <w:t xml:space="preserve"> ندارد و قولش با قسم پذیرفته می شود، بر خلاف مرد که برای</w:t>
      </w:r>
      <w:r w:rsidR="00892FE8">
        <w:rPr>
          <w:rFonts w:hint="cs"/>
          <w:rtl/>
        </w:rPr>
        <w:t xml:space="preserve"> اثبات قولش باید بینه اقامه کند؛ زیرا مدعی است.</w:t>
      </w:r>
    </w:p>
    <w:p w:rsidR="00143C5D" w:rsidRDefault="008F5B94" w:rsidP="00143C5D">
      <w:pPr>
        <w:jc w:val="both"/>
        <w:rPr>
          <w:rtl/>
        </w:rPr>
      </w:pPr>
      <w:r>
        <w:rPr>
          <w:rFonts w:hint="cs"/>
          <w:rtl/>
        </w:rPr>
        <w:t>سپس مرحوم سید سه استدلال قائلین به تقد</w:t>
      </w:r>
      <w:r w:rsidR="00910353">
        <w:rPr>
          <w:rFonts w:hint="cs"/>
          <w:rtl/>
        </w:rPr>
        <w:t>ی</w:t>
      </w:r>
      <w:r>
        <w:rPr>
          <w:rFonts w:hint="cs"/>
          <w:rtl/>
        </w:rPr>
        <w:t>م قول مرد را پاسخ می دهد:</w:t>
      </w:r>
    </w:p>
    <w:p w:rsidR="008F5B94" w:rsidRDefault="008F5B94" w:rsidP="008E4CA7">
      <w:pPr>
        <w:pStyle w:val="ListParagraph"/>
        <w:numPr>
          <w:ilvl w:val="0"/>
          <w:numId w:val="18"/>
        </w:numPr>
        <w:jc w:val="both"/>
      </w:pPr>
      <w:r>
        <w:rPr>
          <w:rFonts w:hint="cs"/>
          <w:rtl/>
        </w:rPr>
        <w:t xml:space="preserve">این که امر طلاق در اختیار مرد </w:t>
      </w:r>
      <w:r w:rsidR="008E4CA7">
        <w:rPr>
          <w:rFonts w:hint="cs"/>
          <w:rtl/>
        </w:rPr>
        <w:t>است</w:t>
      </w:r>
      <w:r>
        <w:rPr>
          <w:rFonts w:hint="cs"/>
          <w:rtl/>
        </w:rPr>
        <w:t xml:space="preserve">، موجب تقدیم قول او </w:t>
      </w:r>
      <w:r w:rsidR="008E4CA7">
        <w:rPr>
          <w:rFonts w:hint="cs"/>
          <w:rtl/>
        </w:rPr>
        <w:t>نمی شود</w:t>
      </w:r>
      <w:r>
        <w:rPr>
          <w:rFonts w:hint="cs"/>
          <w:rtl/>
        </w:rPr>
        <w:t>.</w:t>
      </w:r>
    </w:p>
    <w:p w:rsidR="009E013A" w:rsidRDefault="009E013A" w:rsidP="009E013A">
      <w:pPr>
        <w:pStyle w:val="ListParagraph"/>
        <w:numPr>
          <w:ilvl w:val="0"/>
          <w:numId w:val="18"/>
        </w:numPr>
        <w:jc w:val="both"/>
      </w:pPr>
      <w:r>
        <w:rPr>
          <w:rFonts w:hint="cs"/>
          <w:rtl/>
        </w:rPr>
        <w:t>قدر متیقن از قاعده‌ی «من ملک شیئا ملک الاقرار به»</w:t>
      </w:r>
      <w:r w:rsidR="00E8368A">
        <w:rPr>
          <w:rFonts w:hint="cs"/>
          <w:rtl/>
        </w:rPr>
        <w:t>، صورت عدم نزاع می باشد.</w:t>
      </w:r>
    </w:p>
    <w:p w:rsidR="00C71A31" w:rsidRDefault="00C71A31" w:rsidP="009E013A">
      <w:pPr>
        <w:pStyle w:val="ListParagraph"/>
        <w:numPr>
          <w:ilvl w:val="0"/>
          <w:numId w:val="18"/>
        </w:numPr>
        <w:jc w:val="both"/>
        <w:rPr>
          <w:rtl/>
        </w:rPr>
      </w:pPr>
      <w:r>
        <w:rPr>
          <w:rFonts w:hint="cs"/>
          <w:rtl/>
        </w:rPr>
        <w:t xml:space="preserve">دلیلی بر تقدم قول وکیل بر موکل در همه‌ی موارد نداریم، اگر هم قول وکیل بر موکل مقدم شود به خاطر این است که </w:t>
      </w:r>
      <w:r w:rsidR="00C65414">
        <w:rPr>
          <w:rFonts w:hint="cs"/>
          <w:rtl/>
        </w:rPr>
        <w:t>وکیل به منزله‌ی موکل است و فعل او به منزله‌ی فعل موکل است</w:t>
      </w:r>
      <w:r w:rsidR="00B06BB3">
        <w:rPr>
          <w:rFonts w:hint="cs"/>
          <w:rtl/>
        </w:rPr>
        <w:t xml:space="preserve"> و به امین بودن مرتبط نیست.</w:t>
      </w:r>
      <w:r w:rsidR="00C65414">
        <w:rPr>
          <w:rFonts w:hint="cs"/>
          <w:rtl/>
        </w:rPr>
        <w:t xml:space="preserve"> </w:t>
      </w:r>
      <w:r>
        <w:rPr>
          <w:rFonts w:hint="cs"/>
          <w:rtl/>
        </w:rPr>
        <w:t xml:space="preserve"> </w:t>
      </w:r>
    </w:p>
    <w:p w:rsidR="008F5B94" w:rsidRDefault="00E959C7" w:rsidP="00143C5D">
      <w:pPr>
        <w:jc w:val="both"/>
        <w:rPr>
          <w:rtl/>
        </w:rPr>
      </w:pPr>
      <w:r>
        <w:rPr>
          <w:rFonts w:hint="cs"/>
          <w:rtl/>
        </w:rPr>
        <w:t xml:space="preserve">سپس </w:t>
      </w:r>
      <w:r w:rsidR="00853E47">
        <w:rPr>
          <w:rFonts w:hint="cs"/>
          <w:rtl/>
        </w:rPr>
        <w:t>مرحوم سید می فرماید: اگر زن و مرد در اصل طلاق اتفاق داشته باشند و در وقت آن</w:t>
      </w:r>
      <w:r w:rsidR="002D31B8">
        <w:rPr>
          <w:rFonts w:hint="cs"/>
          <w:rtl/>
        </w:rPr>
        <w:t xml:space="preserve"> نزاع کنند، قول زن مقدم است</w:t>
      </w:r>
      <w:r w:rsidR="0034278C">
        <w:rPr>
          <w:rFonts w:hint="cs"/>
          <w:rtl/>
        </w:rPr>
        <w:t>.</w:t>
      </w:r>
    </w:p>
    <w:p w:rsidR="0034278C" w:rsidRDefault="0034278C" w:rsidP="00143C5D">
      <w:pPr>
        <w:jc w:val="both"/>
        <w:rPr>
          <w:rtl/>
        </w:rPr>
      </w:pPr>
      <w:r>
        <w:rPr>
          <w:rFonts w:hint="cs"/>
          <w:rtl/>
        </w:rPr>
        <w:t>فقهای زیادی چنین استدلال می کردند که چون در اصل طلاق قول مرد مقدم است پس در نزاع در وقت طلاق هم قول مرد مقدم می شود.</w:t>
      </w:r>
    </w:p>
    <w:p w:rsidR="004218F4" w:rsidRDefault="004218F4" w:rsidP="00143C5D">
      <w:pPr>
        <w:jc w:val="both"/>
        <w:rPr>
          <w:rtl/>
        </w:rPr>
      </w:pPr>
      <w:r>
        <w:rPr>
          <w:rFonts w:hint="cs"/>
          <w:rtl/>
        </w:rPr>
        <w:t>میرزای قمی هم فرمود: بین قبول قول مرد در اصل طلاق و قبول قول م</w:t>
      </w:r>
      <w:r w:rsidR="00D32124">
        <w:rPr>
          <w:rFonts w:hint="cs"/>
          <w:rtl/>
        </w:rPr>
        <w:t>رد در وقت طلاق ملازمه وجود دارد و از اختلاف در وقت طلاق در می یابیم که در اصل طلاق هم</w:t>
      </w:r>
      <w:r w:rsidR="00E40D57">
        <w:rPr>
          <w:rFonts w:hint="cs"/>
          <w:rtl/>
        </w:rPr>
        <w:t xml:space="preserve"> مساله</w:t>
      </w:r>
      <w:r w:rsidR="00D32124">
        <w:rPr>
          <w:rFonts w:hint="cs"/>
          <w:rtl/>
        </w:rPr>
        <w:t xml:space="preserve"> اختلافی است.</w:t>
      </w:r>
    </w:p>
    <w:p w:rsidR="00EC4D2F" w:rsidRDefault="00C83A5B" w:rsidP="00143C5D">
      <w:pPr>
        <w:jc w:val="both"/>
        <w:rPr>
          <w:rtl/>
        </w:rPr>
      </w:pPr>
      <w:r>
        <w:rPr>
          <w:rFonts w:hint="cs"/>
          <w:rtl/>
        </w:rPr>
        <w:t>در ادامه مرحوم سید می فرماید: قاعده‌ی من ملک هم بر فرض جریانش، فقط در اصل طلاق جاری است و در وقت طلاق جاری نمی شود.</w:t>
      </w:r>
    </w:p>
    <w:p w:rsidR="00143C5D" w:rsidRPr="00143C5D" w:rsidRDefault="00EC4D2F" w:rsidP="00E42BD2">
      <w:pPr>
        <w:jc w:val="both"/>
        <w:rPr>
          <w:rtl/>
        </w:rPr>
      </w:pPr>
      <w:r>
        <w:rPr>
          <w:rFonts w:hint="cs"/>
          <w:rtl/>
        </w:rPr>
        <w:t xml:space="preserve">این که فقط در اصل طلاق این قاعده را جاری می داند احتمالا به این دلیل است که مدرک این قاعده را اجماع می داند و به جهت لبی بودن اجماع به قدر متیقن از آن که نزاع در اصل </w:t>
      </w:r>
      <w:r w:rsidR="009609B2">
        <w:rPr>
          <w:rFonts w:hint="cs"/>
          <w:rtl/>
        </w:rPr>
        <w:t>مملوک (</w:t>
      </w:r>
      <w:r>
        <w:rPr>
          <w:rFonts w:hint="cs"/>
          <w:rtl/>
        </w:rPr>
        <w:t>طلاق</w:t>
      </w:r>
      <w:r w:rsidR="009609B2">
        <w:rPr>
          <w:rFonts w:hint="cs"/>
          <w:rtl/>
        </w:rPr>
        <w:t>)</w:t>
      </w:r>
      <w:r>
        <w:rPr>
          <w:rFonts w:hint="cs"/>
          <w:rtl/>
        </w:rPr>
        <w:t xml:space="preserve"> می باشد، اکتفا کرده است</w:t>
      </w:r>
      <w:r w:rsidR="00F339E3">
        <w:rPr>
          <w:rFonts w:hint="cs"/>
          <w:rtl/>
        </w:rPr>
        <w:t xml:space="preserve"> و در اوصاف مملوک ( وقت طلاق) قاعده را جاری نمی داند.</w:t>
      </w:r>
    </w:p>
    <w:p w:rsidR="00960489" w:rsidRDefault="000022D5" w:rsidP="00910353">
      <w:pPr>
        <w:pStyle w:val="Heading1"/>
        <w:rPr>
          <w:rtl/>
        </w:rPr>
      </w:pPr>
      <w:bookmarkStart w:id="21" w:name="_Toc30343273"/>
      <w:bookmarkStart w:id="22" w:name="_Toc30348131"/>
      <w:r>
        <w:rPr>
          <w:rFonts w:hint="cs"/>
          <w:rtl/>
        </w:rPr>
        <w:t>کلام شیخ طوسی در مبسوط</w:t>
      </w:r>
      <w:bookmarkEnd w:id="21"/>
      <w:bookmarkEnd w:id="22"/>
    </w:p>
    <w:p w:rsidR="000022D5" w:rsidRPr="000022D5" w:rsidRDefault="000022D5" w:rsidP="000022D5">
      <w:pPr>
        <w:jc w:val="both"/>
        <w:rPr>
          <w:color w:val="000080"/>
        </w:rPr>
      </w:pPr>
      <w:r w:rsidRPr="000022D5">
        <w:rPr>
          <w:rFonts w:hint="cs"/>
          <w:color w:val="000080"/>
          <w:rtl/>
        </w:rPr>
        <w:t>فالقول قوله أنه ما طلقها لأن الأصل أنه ما طلقها.</w:t>
      </w:r>
      <w:r>
        <w:rPr>
          <w:rStyle w:val="FootnoteReference"/>
          <w:color w:val="000080"/>
          <w:rtl/>
        </w:rPr>
        <w:footnoteReference w:id="11"/>
      </w:r>
    </w:p>
    <w:p w:rsidR="000022D5" w:rsidRDefault="00520710" w:rsidP="00960489">
      <w:pPr>
        <w:jc w:val="both"/>
        <w:rPr>
          <w:rtl/>
        </w:rPr>
      </w:pPr>
      <w:r>
        <w:rPr>
          <w:rFonts w:hint="cs"/>
          <w:rtl/>
        </w:rPr>
        <w:t>لحن چنین عباراتی بیان گر اجماعی نبودن مساله است.</w:t>
      </w:r>
    </w:p>
    <w:p w:rsidR="00520710" w:rsidRDefault="00520710" w:rsidP="00960489">
      <w:pPr>
        <w:jc w:val="both"/>
        <w:rPr>
          <w:rtl/>
        </w:rPr>
      </w:pPr>
      <w:r>
        <w:rPr>
          <w:rFonts w:hint="cs"/>
          <w:rtl/>
        </w:rPr>
        <w:t>اما کلام علامه در تلخیص المرام به وضوح اجماعی نبودن مساله را بیان می کند.</w:t>
      </w:r>
    </w:p>
    <w:p w:rsidR="000022D5" w:rsidRDefault="000022D5" w:rsidP="00910353">
      <w:pPr>
        <w:pStyle w:val="Heading1"/>
        <w:rPr>
          <w:rtl/>
        </w:rPr>
      </w:pPr>
      <w:bookmarkStart w:id="23" w:name="_Toc30343274"/>
      <w:bookmarkStart w:id="24" w:name="_Toc30348132"/>
      <w:r>
        <w:rPr>
          <w:rFonts w:hint="cs"/>
          <w:rtl/>
        </w:rPr>
        <w:t>کلام علامه در تلخیص المرام</w:t>
      </w:r>
      <w:bookmarkEnd w:id="23"/>
      <w:bookmarkEnd w:id="24"/>
    </w:p>
    <w:p w:rsidR="000022D5" w:rsidRPr="000022D5" w:rsidRDefault="000022D5" w:rsidP="000022D5">
      <w:pPr>
        <w:jc w:val="both"/>
        <w:rPr>
          <w:color w:val="000080"/>
        </w:rPr>
      </w:pPr>
      <w:r w:rsidRPr="000022D5">
        <w:rPr>
          <w:rFonts w:hint="cs"/>
          <w:color w:val="000080"/>
          <w:rtl/>
        </w:rPr>
        <w:t>و لو اتّفقا على زمان الطلاق و اختلفا في زمان الوضع فالقول قولها، و لو انعكس فالقول قوله على رأي</w:t>
      </w:r>
      <w:r>
        <w:rPr>
          <w:rStyle w:val="FootnoteReference"/>
          <w:color w:val="000080"/>
          <w:rtl/>
        </w:rPr>
        <w:footnoteReference w:id="12"/>
      </w:r>
    </w:p>
    <w:p w:rsidR="000022D5" w:rsidRDefault="0087280E" w:rsidP="006E70A4">
      <w:pPr>
        <w:jc w:val="both"/>
        <w:rPr>
          <w:rtl/>
        </w:rPr>
      </w:pPr>
      <w:r>
        <w:rPr>
          <w:rFonts w:hint="cs"/>
          <w:rtl/>
        </w:rPr>
        <w:t>آقای مختاری در مقدمه‌ی غایة المراد</w:t>
      </w:r>
      <w:r w:rsidR="006E70A4">
        <w:rPr>
          <w:rStyle w:val="FootnoteReference"/>
          <w:rtl/>
        </w:rPr>
        <w:footnoteReference w:id="13"/>
      </w:r>
      <w:r>
        <w:rPr>
          <w:rFonts w:hint="cs"/>
          <w:rtl/>
        </w:rPr>
        <w:t xml:space="preserve"> از فخر المحققین نقل می کند که منظور پدرم از «علی رایٍ»، «علی رایی» می باشد و فتوا می دهد.</w:t>
      </w:r>
      <w:r w:rsidR="006E70A4" w:rsidRPr="006E70A4">
        <w:rPr>
          <w:rStyle w:val="FootnoteReference"/>
          <w:rtl/>
        </w:rPr>
        <w:t xml:space="preserve"> </w:t>
      </w:r>
      <w:r w:rsidR="006E70A4">
        <w:rPr>
          <w:rStyle w:val="FootnoteReference"/>
          <w:rtl/>
        </w:rPr>
        <w:footnoteReference w:id="14"/>
      </w:r>
    </w:p>
    <w:p w:rsidR="000022D5" w:rsidRDefault="002F74C2" w:rsidP="00960489">
      <w:pPr>
        <w:jc w:val="both"/>
        <w:rPr>
          <w:rtl/>
        </w:rPr>
      </w:pPr>
      <w:r>
        <w:rPr>
          <w:rFonts w:hint="cs"/>
          <w:rtl/>
        </w:rPr>
        <w:t>نکته‌ی مهم این است که اگر مساله اجماعی بود، «علی رای» نمی گفت. در جایی که مساله اختلافی است، «علی رای» گفته می شود.</w:t>
      </w:r>
    </w:p>
    <w:p w:rsidR="00960489" w:rsidRDefault="00CA73A4" w:rsidP="00910353">
      <w:pPr>
        <w:pStyle w:val="Heading1"/>
        <w:rPr>
          <w:rtl/>
        </w:rPr>
      </w:pPr>
      <w:bookmarkStart w:id="25" w:name="_Toc30343275"/>
      <w:bookmarkStart w:id="26" w:name="_Toc30348133"/>
      <w:r>
        <w:rPr>
          <w:rFonts w:hint="cs"/>
          <w:rtl/>
        </w:rPr>
        <w:t xml:space="preserve">مساله‌ی سوم از فصل ششم </w:t>
      </w:r>
      <w:r w:rsidR="00E93DD2">
        <w:rPr>
          <w:rFonts w:hint="cs"/>
          <w:rtl/>
        </w:rPr>
        <w:t>کتاب العدد تکمله</w:t>
      </w:r>
      <w:r w:rsidR="00E93DD2">
        <w:rPr>
          <w:rFonts w:hint="eastAsia"/>
          <w:rtl/>
        </w:rPr>
        <w:t>‌ی عروه</w:t>
      </w:r>
      <w:bookmarkEnd w:id="25"/>
      <w:bookmarkEnd w:id="26"/>
      <w:r w:rsidR="00E93DD2">
        <w:rPr>
          <w:rFonts w:hint="cs"/>
          <w:rtl/>
        </w:rPr>
        <w:t xml:space="preserve"> </w:t>
      </w:r>
      <w:r>
        <w:rPr>
          <w:rFonts w:hint="cs"/>
          <w:rtl/>
        </w:rPr>
        <w:t xml:space="preserve"> </w:t>
      </w:r>
    </w:p>
    <w:p w:rsidR="00E93DD2" w:rsidRPr="00B24ABA" w:rsidRDefault="00E93DD2" w:rsidP="00B24ABA">
      <w:pPr>
        <w:jc w:val="both"/>
        <w:rPr>
          <w:color w:val="0000FF"/>
          <w:rtl/>
        </w:rPr>
      </w:pPr>
      <w:r w:rsidRPr="00B24ABA">
        <w:rPr>
          <w:rFonts w:hint="cs"/>
          <w:color w:val="0000FF"/>
          <w:rtl/>
        </w:rPr>
        <w:t>مسألة 3: إذا اتفقا على وقوع الطلاق و الوضع و اختلفا في السابق منهما</w:t>
      </w:r>
      <w:r w:rsidRPr="00B24ABA">
        <w:rPr>
          <w:rFonts w:hint="cs"/>
          <w:color w:val="0000FF"/>
        </w:rPr>
        <w:t>‌</w:t>
      </w:r>
      <w:r w:rsidRPr="00B24ABA">
        <w:rPr>
          <w:rFonts w:hint="cs"/>
          <w:color w:val="0000FF"/>
          <w:rtl/>
        </w:rPr>
        <w:t>، فقال:</w:t>
      </w:r>
      <w:r w:rsidR="00B24ABA" w:rsidRPr="00B24ABA">
        <w:rPr>
          <w:rFonts w:hint="cs"/>
          <w:color w:val="0000FF"/>
          <w:rtl/>
        </w:rPr>
        <w:t xml:space="preserve"> </w:t>
      </w:r>
      <w:r w:rsidRPr="00B24ABA">
        <w:rPr>
          <w:rFonts w:hint="cs"/>
          <w:color w:val="0000FF"/>
          <w:rtl/>
        </w:rPr>
        <w:t>أحدهما السابق هو الطلاق فبالوضع حصل الخروج عن العدة، و قال: الآخر السابق هو الوضع فلا بد من العدّة للطلاق الواقع بعده، فمقتضى القاعدة تقديم قول من يدعي بقاء العدة عليها، زوجا كان أو زوجة سواء علم تاريخ أحدهما أو جهل التاريخان، لأنّ أصل‌ عدم تقدم أحدهما لا يثبت تأخره، مع انّ في صورة الجهل بهما يتعارض الأصل من الطرفين و حينئذ فالمرجع أصالة بقائها في العدة للعلم بثبوتها، و كون الشك في انقضائها لكن مقتضى وجوب تصديقهن في العدة نفيا و إثباتا تقديم قولها، و لا وجه لما يظهر من صاحب الجواهر من عدم شمول هذه القاعدة للمقام. كما انّه ظهر عدم الوجه لما يظهر من الشرائع من جريان أصالة عدم التقدم في مجهول التاريخ في صورة العلم بتاريخ أحدهما، 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 و ذلك لانّه لا دليل على تقديم قول صاحب الفعل عند الاختلاف، فظهر انّ الأقوال في المسألة ثلاثة، و انّ الأقوى ما ذكرنا من تقديم قولها لأنّ أمر العدة نفيا و إثباتا إليها.</w:t>
      </w:r>
      <w:r w:rsidR="00B24ABA">
        <w:rPr>
          <w:rStyle w:val="FootnoteReference"/>
          <w:color w:val="0000FF"/>
          <w:rtl/>
        </w:rPr>
        <w:footnoteReference w:id="15"/>
      </w:r>
    </w:p>
    <w:p w:rsidR="00960489" w:rsidRPr="00960489" w:rsidRDefault="00960489" w:rsidP="00960489">
      <w:pPr>
        <w:jc w:val="both"/>
        <w:rPr>
          <w:rtl/>
        </w:rPr>
      </w:pPr>
    </w:p>
    <w:sectPr w:rsidR="00960489" w:rsidRPr="00960489"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E0" w:rsidRDefault="00293CE0" w:rsidP="008B750B">
      <w:pPr>
        <w:spacing w:line="240" w:lineRule="auto"/>
      </w:pPr>
      <w:r>
        <w:separator/>
      </w:r>
    </w:p>
  </w:endnote>
  <w:endnote w:type="continuationSeparator" w:id="0">
    <w:p w:rsidR="00293CE0" w:rsidRDefault="00293CE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F0" w:rsidRDefault="002C3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06836" w:rsidRPr="0070683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E0868" w:rsidP="001B6799">
          <w:pPr>
            <w:pStyle w:val="Footer"/>
            <w:bidi w:val="0"/>
            <w:rPr>
              <w:color w:val="808080" w:themeColor="background1" w:themeShade="80"/>
              <w:rtl/>
            </w:rPr>
          </w:pPr>
          <w:bookmarkStart w:id="34" w:name="BokAdres"/>
          <w:bookmarkEnd w:id="34"/>
          <w:r>
            <w:rPr>
              <w:color w:val="808080" w:themeColor="background1" w:themeShade="80"/>
            </w:rPr>
            <w:t>F1js1_13981029-054_mk3_mfeb.ir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F0" w:rsidRDefault="002C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E0" w:rsidRDefault="00293CE0" w:rsidP="008B750B">
      <w:pPr>
        <w:spacing w:line="240" w:lineRule="auto"/>
      </w:pPr>
      <w:r>
        <w:separator/>
      </w:r>
    </w:p>
  </w:footnote>
  <w:footnote w:type="continuationSeparator" w:id="0">
    <w:p w:rsidR="00293CE0" w:rsidRDefault="00293CE0" w:rsidP="008B750B">
      <w:pPr>
        <w:spacing w:line="240" w:lineRule="auto"/>
      </w:pPr>
      <w:r>
        <w:continuationSeparator/>
      </w:r>
    </w:p>
  </w:footnote>
  <w:footnote w:id="1">
    <w:p w:rsidR="00C97F2B" w:rsidRPr="00C97F2B" w:rsidRDefault="001A5B7A" w:rsidP="00C97F2B">
      <w:pPr>
        <w:pStyle w:val="FootnoteText"/>
      </w:pPr>
      <w:r w:rsidRPr="001A5B7A">
        <w:footnoteRef/>
      </w:r>
      <w:r w:rsidR="00C97F2B" w:rsidRPr="00C97F2B">
        <w:rPr>
          <w:rtl/>
        </w:rPr>
        <w:t xml:space="preserve"> </w:t>
      </w:r>
      <w:hyperlink r:id="rId1" w:history="1">
        <w:r w:rsidR="00C97F2B" w:rsidRPr="00C97F2B">
          <w:rPr>
            <w:rStyle w:val="Hyperlink"/>
            <w:rFonts w:hint="eastAsia"/>
            <w:rtl/>
          </w:rPr>
          <w:t>منهاج</w:t>
        </w:r>
        <w:r w:rsidR="00C97F2B" w:rsidRPr="00C97F2B">
          <w:rPr>
            <w:rStyle w:val="Hyperlink"/>
            <w:rtl/>
          </w:rPr>
          <w:t xml:space="preserve"> الصالحين، الحكيم، السيد محسن، ج2، ص315.</w:t>
        </w:r>
      </w:hyperlink>
    </w:p>
  </w:footnote>
  <w:footnote w:id="2">
    <w:p w:rsidR="003D6BE5" w:rsidRPr="003D6BE5" w:rsidRDefault="001A5B7A" w:rsidP="003D6BE5">
      <w:pPr>
        <w:pStyle w:val="FootnoteText"/>
      </w:pPr>
      <w:r w:rsidRPr="001A5B7A">
        <w:footnoteRef/>
      </w:r>
      <w:r w:rsidR="003D6BE5" w:rsidRPr="003D6BE5">
        <w:rPr>
          <w:rtl/>
        </w:rPr>
        <w:t xml:space="preserve"> </w:t>
      </w:r>
      <w:hyperlink r:id="rId2" w:history="1">
        <w:r w:rsidR="003D6BE5" w:rsidRPr="003D6BE5">
          <w:rPr>
            <w:rStyle w:val="Hyperlink"/>
            <w:rtl/>
          </w:rPr>
          <w:t>منهاج الصالح</w:t>
        </w:r>
        <w:r w:rsidR="003D6BE5" w:rsidRPr="003D6BE5">
          <w:rPr>
            <w:rStyle w:val="Hyperlink"/>
            <w:rFonts w:hint="cs"/>
            <w:rtl/>
          </w:rPr>
          <w:t>ی</w:t>
        </w:r>
        <w:r w:rsidR="003D6BE5" w:rsidRPr="003D6BE5">
          <w:rPr>
            <w:rStyle w:val="Hyperlink"/>
            <w:rFonts w:hint="eastAsia"/>
            <w:rtl/>
          </w:rPr>
          <w:t>ن</w:t>
        </w:r>
        <w:r w:rsidR="003D6BE5" w:rsidRPr="003D6BE5">
          <w:rPr>
            <w:rStyle w:val="Hyperlink"/>
            <w:rtl/>
          </w:rPr>
          <w:t xml:space="preserve"> (للخو</w:t>
        </w:r>
        <w:r w:rsidR="003D6BE5" w:rsidRPr="003D6BE5">
          <w:rPr>
            <w:rStyle w:val="Hyperlink"/>
            <w:rFonts w:hint="cs"/>
            <w:rtl/>
          </w:rPr>
          <w:t>یی</w:t>
        </w:r>
        <w:r w:rsidR="003D6BE5" w:rsidRPr="003D6BE5">
          <w:rPr>
            <w:rStyle w:val="Hyperlink"/>
            <w:rtl/>
          </w:rPr>
          <w:t>)، الخوئي، السيد أبوالقاسم، ج2، ص297</w:t>
        </w:r>
        <w:r w:rsidR="003D6BE5" w:rsidRPr="003D6BE5">
          <w:rPr>
            <w:rStyle w:val="Hyperlink"/>
          </w:rPr>
          <w:t>.</w:t>
        </w:r>
      </w:hyperlink>
    </w:p>
  </w:footnote>
  <w:footnote w:id="3">
    <w:p w:rsidR="00196F89" w:rsidRDefault="001A5B7A" w:rsidP="00196F89">
      <w:pPr>
        <w:pStyle w:val="FootnoteText"/>
      </w:pPr>
      <w:r w:rsidRPr="001A5B7A">
        <w:rPr>
          <w:rStyle w:val="FootnoteReference"/>
          <w:vertAlign w:val="baseline"/>
        </w:rPr>
        <w:footnoteRef/>
      </w:r>
      <w:r w:rsidR="00196F89">
        <w:rPr>
          <w:rtl/>
        </w:rPr>
        <w:t xml:space="preserve"> </w:t>
      </w:r>
      <w:r w:rsidR="00196F89" w:rsidRPr="00196F89">
        <w:rPr>
          <w:rFonts w:hint="cs"/>
          <w:rtl/>
        </w:rPr>
        <w:t>جامع الأحكام الشرعية (للسبزواري)، ص: 586‌</w:t>
      </w:r>
    </w:p>
  </w:footnote>
  <w:footnote w:id="4">
    <w:p w:rsidR="00CE083B" w:rsidRDefault="001A5B7A" w:rsidP="00CE083B">
      <w:pPr>
        <w:pStyle w:val="FootnoteText"/>
      </w:pPr>
      <w:r w:rsidRPr="001A5B7A">
        <w:rPr>
          <w:rStyle w:val="FootnoteReference"/>
          <w:vertAlign w:val="baseline"/>
        </w:rPr>
        <w:footnoteRef/>
      </w:r>
      <w:r w:rsidR="00CE083B">
        <w:rPr>
          <w:rtl/>
        </w:rPr>
        <w:t xml:space="preserve"> </w:t>
      </w:r>
      <w:r w:rsidR="00CE083B" w:rsidRPr="00CE083B">
        <w:rPr>
          <w:rFonts w:hint="cs"/>
          <w:rtl/>
        </w:rPr>
        <w:t>منهاج الصالحين (للتبريزي)، ج‌2، ص: 372‌</w:t>
      </w:r>
    </w:p>
  </w:footnote>
  <w:footnote w:id="5">
    <w:p w:rsidR="00016D5B" w:rsidRDefault="001A5B7A" w:rsidP="007E02AB">
      <w:pPr>
        <w:pStyle w:val="FootnoteText"/>
      </w:pPr>
      <w:r w:rsidRPr="001A5B7A">
        <w:rPr>
          <w:rStyle w:val="FootnoteReference"/>
          <w:vertAlign w:val="baseline"/>
        </w:rPr>
        <w:footnoteRef/>
      </w:r>
      <w:r w:rsidR="00016D5B">
        <w:rPr>
          <w:rtl/>
        </w:rPr>
        <w:t xml:space="preserve"> </w:t>
      </w:r>
      <w:r w:rsidR="00016D5B" w:rsidRPr="00016D5B">
        <w:rPr>
          <w:rFonts w:hint="cs"/>
          <w:rtl/>
        </w:rPr>
        <w:t>منهاج الصالحين (للوحيد)، ج‌3، ص: 337‌</w:t>
      </w:r>
    </w:p>
  </w:footnote>
  <w:footnote w:id="6">
    <w:p w:rsidR="007E02AB" w:rsidRDefault="001A5B7A" w:rsidP="007E02AB">
      <w:pPr>
        <w:pStyle w:val="FootnoteText"/>
      </w:pPr>
      <w:r w:rsidRPr="001A5B7A">
        <w:rPr>
          <w:rStyle w:val="FootnoteReference"/>
          <w:vertAlign w:val="baseline"/>
        </w:rPr>
        <w:footnoteRef/>
      </w:r>
      <w:r w:rsidR="007E02AB">
        <w:rPr>
          <w:rtl/>
        </w:rPr>
        <w:t xml:space="preserve"> </w:t>
      </w:r>
      <w:r w:rsidR="007E02AB" w:rsidRPr="007E02AB">
        <w:rPr>
          <w:rFonts w:hint="cs"/>
          <w:rtl/>
        </w:rPr>
        <w:t>منهاج الصالحين (للروحاني)، ج‌2، ص: 555‌</w:t>
      </w:r>
    </w:p>
  </w:footnote>
  <w:footnote w:id="7">
    <w:p w:rsidR="001A5B7A" w:rsidRDefault="001A5B7A" w:rsidP="00C0409E">
      <w:pPr>
        <w:pStyle w:val="FootnoteText"/>
      </w:pPr>
      <w:r w:rsidRPr="001A5B7A">
        <w:rPr>
          <w:rStyle w:val="FootnoteReference"/>
          <w:vertAlign w:val="baseline"/>
        </w:rPr>
        <w:footnoteRef/>
      </w:r>
      <w:r>
        <w:rPr>
          <w:rtl/>
        </w:rPr>
        <w:t xml:space="preserve"> </w:t>
      </w:r>
      <w:r w:rsidRPr="001A5B7A">
        <w:rPr>
          <w:rFonts w:hint="cs"/>
          <w:rtl/>
        </w:rPr>
        <w:t>منهاج الصالحين (للسيستاني)، ج‌3، ص: 161‌</w:t>
      </w:r>
    </w:p>
  </w:footnote>
  <w:footnote w:id="8">
    <w:p w:rsidR="000A3DC2" w:rsidRPr="000A3DC2" w:rsidRDefault="001A5B7A" w:rsidP="000A3DC2">
      <w:pPr>
        <w:pStyle w:val="FootnoteText"/>
      </w:pPr>
      <w:r w:rsidRPr="001A5B7A">
        <w:footnoteRef/>
      </w:r>
      <w:r w:rsidR="000A3DC2" w:rsidRPr="000A3DC2">
        <w:rPr>
          <w:rtl/>
        </w:rPr>
        <w:t xml:space="preserve"> </w:t>
      </w:r>
      <w:hyperlink r:id="rId3" w:history="1">
        <w:r w:rsidR="000A3DC2" w:rsidRPr="000A3DC2">
          <w:rPr>
            <w:rStyle w:val="Hyperlink"/>
            <w:rtl/>
          </w:rPr>
          <w:t>مباني منهاج الصالحين، الطباطبائي القمي، السيد تقي، ج10، ص393.</w:t>
        </w:r>
      </w:hyperlink>
    </w:p>
  </w:footnote>
  <w:footnote w:id="9">
    <w:p w:rsidR="00960489" w:rsidRPr="00960489" w:rsidRDefault="001A5B7A" w:rsidP="00960489">
      <w:pPr>
        <w:pStyle w:val="FootnoteText"/>
      </w:pPr>
      <w:r w:rsidRPr="001A5B7A">
        <w:footnoteRef/>
      </w:r>
      <w:r w:rsidR="00960489" w:rsidRPr="00960489">
        <w:rPr>
          <w:rtl/>
        </w:rPr>
        <w:t xml:space="preserve"> </w:t>
      </w:r>
      <w:hyperlink r:id="rId4" w:history="1">
        <w:r w:rsidR="00960489" w:rsidRPr="00960489">
          <w:rPr>
            <w:rStyle w:val="Hyperlink"/>
            <w:rtl/>
          </w:rPr>
          <w:t>جامع المسائل</w:t>
        </w:r>
        <w:r w:rsidR="00960489" w:rsidRPr="00960489">
          <w:rPr>
            <w:rStyle w:val="Hyperlink"/>
            <w:rFonts w:ascii="Cambria" w:hAnsi="Cambria" w:cs="Cambria" w:hint="cs"/>
            <w:rtl/>
          </w:rPr>
          <w:t> </w:t>
        </w:r>
        <w:r w:rsidR="00960489" w:rsidRPr="00960489">
          <w:rPr>
            <w:rStyle w:val="Hyperlink"/>
            <w:rFonts w:hint="cs"/>
            <w:rtl/>
          </w:rPr>
          <w:t>،</w:t>
        </w:r>
        <w:r w:rsidR="00960489" w:rsidRPr="00960489">
          <w:rPr>
            <w:rStyle w:val="Hyperlink"/>
            <w:rtl/>
          </w:rPr>
          <w:t xml:space="preserve"> </w:t>
        </w:r>
        <w:r w:rsidR="00960489" w:rsidRPr="00960489">
          <w:rPr>
            <w:rStyle w:val="Hyperlink"/>
            <w:rFonts w:hint="cs"/>
            <w:rtl/>
          </w:rPr>
          <w:t>الفاضل</w:t>
        </w:r>
        <w:r w:rsidR="00960489" w:rsidRPr="00960489">
          <w:rPr>
            <w:rStyle w:val="Hyperlink"/>
            <w:rtl/>
          </w:rPr>
          <w:t xml:space="preserve"> </w:t>
        </w:r>
        <w:r w:rsidR="00960489" w:rsidRPr="00960489">
          <w:rPr>
            <w:rStyle w:val="Hyperlink"/>
            <w:rFonts w:hint="cs"/>
            <w:rtl/>
          </w:rPr>
          <w:t>اللنكراني،</w:t>
        </w:r>
        <w:r w:rsidR="00960489" w:rsidRPr="00960489">
          <w:rPr>
            <w:rStyle w:val="Hyperlink"/>
            <w:rtl/>
          </w:rPr>
          <w:t xml:space="preserve"> </w:t>
        </w:r>
        <w:r w:rsidR="00960489" w:rsidRPr="00960489">
          <w:rPr>
            <w:rStyle w:val="Hyperlink"/>
            <w:rFonts w:hint="cs"/>
            <w:rtl/>
          </w:rPr>
          <w:t>الشيخ</w:t>
        </w:r>
        <w:r w:rsidR="00960489" w:rsidRPr="00960489">
          <w:rPr>
            <w:rStyle w:val="Hyperlink"/>
            <w:rtl/>
          </w:rPr>
          <w:t xml:space="preserve"> </w:t>
        </w:r>
        <w:r w:rsidR="00960489" w:rsidRPr="00960489">
          <w:rPr>
            <w:rStyle w:val="Hyperlink"/>
            <w:rFonts w:hint="cs"/>
            <w:rtl/>
          </w:rPr>
          <w:t>محمد،</w:t>
        </w:r>
        <w:r w:rsidR="00960489" w:rsidRPr="00960489">
          <w:rPr>
            <w:rStyle w:val="Hyperlink"/>
            <w:rtl/>
          </w:rPr>
          <w:t xml:space="preserve"> </w:t>
        </w:r>
        <w:r w:rsidR="00960489" w:rsidRPr="00960489">
          <w:rPr>
            <w:rStyle w:val="Hyperlink"/>
            <w:rFonts w:hint="cs"/>
            <w:rtl/>
          </w:rPr>
          <w:t>ج</w:t>
        </w:r>
        <w:r w:rsidR="00960489" w:rsidRPr="00960489">
          <w:rPr>
            <w:rStyle w:val="Hyperlink"/>
            <w:rtl/>
          </w:rPr>
          <w:t>1</w:t>
        </w:r>
        <w:r w:rsidR="00960489" w:rsidRPr="00960489">
          <w:rPr>
            <w:rStyle w:val="Hyperlink"/>
            <w:rFonts w:hint="cs"/>
            <w:rtl/>
          </w:rPr>
          <w:t>،</w:t>
        </w:r>
        <w:r w:rsidR="00960489" w:rsidRPr="00960489">
          <w:rPr>
            <w:rStyle w:val="Hyperlink"/>
            <w:rtl/>
          </w:rPr>
          <w:t xml:space="preserve"> </w:t>
        </w:r>
        <w:r w:rsidR="00960489" w:rsidRPr="00960489">
          <w:rPr>
            <w:rStyle w:val="Hyperlink"/>
            <w:rFonts w:hint="cs"/>
            <w:rtl/>
          </w:rPr>
          <w:t>ص</w:t>
        </w:r>
        <w:r w:rsidR="00960489" w:rsidRPr="00960489">
          <w:rPr>
            <w:rStyle w:val="Hyperlink"/>
            <w:rtl/>
          </w:rPr>
          <w:t>395</w:t>
        </w:r>
        <w:r w:rsidR="00960489" w:rsidRPr="00960489">
          <w:rPr>
            <w:rStyle w:val="Hyperlink"/>
          </w:rPr>
          <w:t>.</w:t>
        </w:r>
      </w:hyperlink>
    </w:p>
  </w:footnote>
  <w:footnote w:id="10">
    <w:p w:rsidR="00D93D1B" w:rsidRPr="00D93D1B" w:rsidRDefault="001A5B7A" w:rsidP="00D93D1B">
      <w:pPr>
        <w:pStyle w:val="FootnoteText"/>
      </w:pPr>
      <w:r w:rsidRPr="001A5B7A">
        <w:footnoteRef/>
      </w:r>
      <w:r w:rsidR="00D93D1B" w:rsidRPr="00D93D1B">
        <w:rPr>
          <w:rtl/>
        </w:rPr>
        <w:t xml:space="preserve"> </w:t>
      </w:r>
      <w:hyperlink r:id="rId5" w:history="1">
        <w:r w:rsidR="00D93D1B" w:rsidRPr="00D93D1B">
          <w:rPr>
            <w:rStyle w:val="Hyperlink"/>
            <w:rFonts w:hint="cs"/>
            <w:rtl/>
          </w:rPr>
          <w:t>تکملة</w:t>
        </w:r>
        <w:r w:rsidR="00D93D1B" w:rsidRPr="00D93D1B">
          <w:rPr>
            <w:rStyle w:val="Hyperlink"/>
            <w:rtl/>
          </w:rPr>
          <w:t xml:space="preserve"> </w:t>
        </w:r>
        <w:r w:rsidR="00D93D1B" w:rsidRPr="00D93D1B">
          <w:rPr>
            <w:rStyle w:val="Hyperlink"/>
            <w:rFonts w:hint="cs"/>
            <w:rtl/>
          </w:rPr>
          <w:t>العروة</w:t>
        </w:r>
        <w:r w:rsidR="00D93D1B" w:rsidRPr="00D93D1B">
          <w:rPr>
            <w:rStyle w:val="Hyperlink"/>
            <w:rtl/>
          </w:rPr>
          <w:t xml:space="preserve"> </w:t>
        </w:r>
        <w:r w:rsidR="00D93D1B" w:rsidRPr="00D93D1B">
          <w:rPr>
            <w:rStyle w:val="Hyperlink"/>
            <w:rFonts w:hint="cs"/>
            <w:rtl/>
          </w:rPr>
          <w:t>الوثقی،</w:t>
        </w:r>
        <w:r w:rsidR="00D93D1B" w:rsidRPr="00D93D1B">
          <w:rPr>
            <w:rStyle w:val="Hyperlink"/>
            <w:rtl/>
          </w:rPr>
          <w:t xml:space="preserve"> </w:t>
        </w:r>
        <w:r w:rsidR="00D93D1B" w:rsidRPr="00D93D1B">
          <w:rPr>
            <w:rStyle w:val="Hyperlink"/>
            <w:rFonts w:hint="cs"/>
            <w:rtl/>
          </w:rPr>
          <w:t>السید</w:t>
        </w:r>
        <w:r w:rsidR="00D93D1B" w:rsidRPr="00D93D1B">
          <w:rPr>
            <w:rStyle w:val="Hyperlink"/>
            <w:rtl/>
          </w:rPr>
          <w:t xml:space="preserve"> </w:t>
        </w:r>
        <w:r w:rsidR="00D93D1B" w:rsidRPr="00D93D1B">
          <w:rPr>
            <w:rStyle w:val="Hyperlink"/>
            <w:rFonts w:hint="cs"/>
            <w:rtl/>
          </w:rPr>
          <w:t>محمد</w:t>
        </w:r>
        <w:r w:rsidR="00D93D1B" w:rsidRPr="00D93D1B">
          <w:rPr>
            <w:rStyle w:val="Hyperlink"/>
            <w:rtl/>
          </w:rPr>
          <w:t xml:space="preserve"> </w:t>
        </w:r>
        <w:r w:rsidR="00D93D1B" w:rsidRPr="00D93D1B">
          <w:rPr>
            <w:rStyle w:val="Hyperlink"/>
            <w:rFonts w:hint="cs"/>
            <w:rtl/>
          </w:rPr>
          <w:t>کاظم</w:t>
        </w:r>
        <w:r w:rsidR="00D93D1B" w:rsidRPr="00D93D1B">
          <w:rPr>
            <w:rStyle w:val="Hyperlink"/>
            <w:rtl/>
          </w:rPr>
          <w:t xml:space="preserve"> </w:t>
        </w:r>
        <w:r w:rsidR="00D93D1B" w:rsidRPr="00D93D1B">
          <w:rPr>
            <w:rStyle w:val="Hyperlink"/>
            <w:rFonts w:hint="cs"/>
            <w:rtl/>
          </w:rPr>
          <w:t>الطباطبائی</w:t>
        </w:r>
        <w:r w:rsidR="00D93D1B" w:rsidRPr="00D93D1B">
          <w:rPr>
            <w:rStyle w:val="Hyperlink"/>
            <w:rtl/>
          </w:rPr>
          <w:t xml:space="preserve"> </w:t>
        </w:r>
        <w:r w:rsidR="00D93D1B" w:rsidRPr="00D93D1B">
          <w:rPr>
            <w:rStyle w:val="Hyperlink"/>
            <w:rFonts w:hint="cs"/>
            <w:rtl/>
          </w:rPr>
          <w:t>الیزدی،</w:t>
        </w:r>
        <w:r w:rsidR="00D93D1B" w:rsidRPr="00D93D1B">
          <w:rPr>
            <w:rStyle w:val="Hyperlink"/>
            <w:rtl/>
          </w:rPr>
          <w:t xml:space="preserve"> </w:t>
        </w:r>
        <w:r w:rsidR="00D93D1B" w:rsidRPr="00D93D1B">
          <w:rPr>
            <w:rStyle w:val="Hyperlink"/>
            <w:rFonts w:hint="cs"/>
            <w:rtl/>
          </w:rPr>
          <w:t>ج</w:t>
        </w:r>
        <w:r w:rsidR="00D93D1B" w:rsidRPr="00D93D1B">
          <w:rPr>
            <w:rStyle w:val="Hyperlink"/>
            <w:rtl/>
          </w:rPr>
          <w:t>2</w:t>
        </w:r>
        <w:r w:rsidR="00D93D1B" w:rsidRPr="00D93D1B">
          <w:rPr>
            <w:rStyle w:val="Hyperlink"/>
            <w:rFonts w:hint="cs"/>
            <w:rtl/>
          </w:rPr>
          <w:t>،</w:t>
        </w:r>
        <w:r w:rsidR="00D93D1B" w:rsidRPr="00D93D1B">
          <w:rPr>
            <w:rStyle w:val="Hyperlink"/>
            <w:rtl/>
          </w:rPr>
          <w:t xml:space="preserve"> </w:t>
        </w:r>
        <w:r w:rsidR="00D93D1B" w:rsidRPr="00D93D1B">
          <w:rPr>
            <w:rStyle w:val="Hyperlink"/>
            <w:rFonts w:hint="cs"/>
            <w:rtl/>
          </w:rPr>
          <w:t>ص</w:t>
        </w:r>
        <w:r w:rsidR="00D93D1B" w:rsidRPr="00D93D1B">
          <w:rPr>
            <w:rStyle w:val="Hyperlink"/>
            <w:rtl/>
          </w:rPr>
          <w:t>193</w:t>
        </w:r>
        <w:r w:rsidR="00D93D1B" w:rsidRPr="00D93D1B">
          <w:rPr>
            <w:rStyle w:val="Hyperlink"/>
          </w:rPr>
          <w:t>.</w:t>
        </w:r>
      </w:hyperlink>
    </w:p>
  </w:footnote>
  <w:footnote w:id="11">
    <w:p w:rsidR="000022D5" w:rsidRPr="000022D5" w:rsidRDefault="001A5B7A" w:rsidP="000022D5">
      <w:pPr>
        <w:pStyle w:val="FootnoteText"/>
      </w:pPr>
      <w:r w:rsidRPr="001A5B7A">
        <w:footnoteRef/>
      </w:r>
      <w:r w:rsidR="000022D5" w:rsidRPr="000022D5">
        <w:rPr>
          <w:rtl/>
        </w:rPr>
        <w:t xml:space="preserve"> </w:t>
      </w:r>
      <w:hyperlink r:id="rId6" w:history="1">
        <w:r w:rsidR="000022D5" w:rsidRPr="000022D5">
          <w:rPr>
            <w:rStyle w:val="Hyperlink"/>
            <w:rFonts w:hint="cs"/>
            <w:rtl/>
          </w:rPr>
          <w:t>المبسوط</w:t>
        </w:r>
        <w:r w:rsidR="000022D5" w:rsidRPr="000022D5">
          <w:rPr>
            <w:rStyle w:val="Hyperlink"/>
            <w:rtl/>
          </w:rPr>
          <w:t xml:space="preserve"> </w:t>
        </w:r>
        <w:r w:rsidR="000022D5" w:rsidRPr="000022D5">
          <w:rPr>
            <w:rStyle w:val="Hyperlink"/>
            <w:rFonts w:hint="cs"/>
            <w:rtl/>
          </w:rPr>
          <w:t>فی</w:t>
        </w:r>
        <w:r w:rsidR="000022D5" w:rsidRPr="000022D5">
          <w:rPr>
            <w:rStyle w:val="Hyperlink"/>
            <w:rtl/>
          </w:rPr>
          <w:t xml:space="preserve"> </w:t>
        </w:r>
        <w:r w:rsidR="000022D5" w:rsidRPr="000022D5">
          <w:rPr>
            <w:rStyle w:val="Hyperlink"/>
            <w:rFonts w:hint="cs"/>
            <w:rtl/>
          </w:rPr>
          <w:t>فقه</w:t>
        </w:r>
        <w:r w:rsidR="000022D5" w:rsidRPr="000022D5">
          <w:rPr>
            <w:rStyle w:val="Hyperlink"/>
            <w:rtl/>
          </w:rPr>
          <w:t xml:space="preserve"> </w:t>
        </w:r>
        <w:r w:rsidR="000022D5" w:rsidRPr="000022D5">
          <w:rPr>
            <w:rStyle w:val="Hyperlink"/>
            <w:rFonts w:hint="cs"/>
            <w:rtl/>
          </w:rPr>
          <w:t>الإمامیة،</w:t>
        </w:r>
        <w:r w:rsidR="000022D5" w:rsidRPr="000022D5">
          <w:rPr>
            <w:rStyle w:val="Hyperlink"/>
            <w:rtl/>
          </w:rPr>
          <w:t xml:space="preserve"> </w:t>
        </w:r>
        <w:r w:rsidR="000022D5" w:rsidRPr="000022D5">
          <w:rPr>
            <w:rStyle w:val="Hyperlink"/>
            <w:rFonts w:hint="cs"/>
            <w:rtl/>
          </w:rPr>
          <w:t>شیخ</w:t>
        </w:r>
        <w:r w:rsidR="000022D5" w:rsidRPr="000022D5">
          <w:rPr>
            <w:rStyle w:val="Hyperlink"/>
            <w:rtl/>
          </w:rPr>
          <w:t xml:space="preserve"> </w:t>
        </w:r>
        <w:r w:rsidR="000022D5" w:rsidRPr="000022D5">
          <w:rPr>
            <w:rStyle w:val="Hyperlink"/>
            <w:rFonts w:hint="cs"/>
            <w:rtl/>
          </w:rPr>
          <w:t>طوسی،</w:t>
        </w:r>
        <w:r w:rsidR="000022D5" w:rsidRPr="000022D5">
          <w:rPr>
            <w:rStyle w:val="Hyperlink"/>
            <w:rtl/>
          </w:rPr>
          <w:t xml:space="preserve"> </w:t>
        </w:r>
        <w:r w:rsidR="000022D5" w:rsidRPr="000022D5">
          <w:rPr>
            <w:rStyle w:val="Hyperlink"/>
            <w:rFonts w:hint="cs"/>
            <w:rtl/>
          </w:rPr>
          <w:t>ج</w:t>
        </w:r>
        <w:r w:rsidR="000022D5" w:rsidRPr="000022D5">
          <w:rPr>
            <w:rStyle w:val="Hyperlink"/>
            <w:rtl/>
          </w:rPr>
          <w:t>5</w:t>
        </w:r>
        <w:r w:rsidR="000022D5" w:rsidRPr="000022D5">
          <w:rPr>
            <w:rStyle w:val="Hyperlink"/>
            <w:rFonts w:hint="cs"/>
            <w:rtl/>
          </w:rPr>
          <w:t>،</w:t>
        </w:r>
        <w:r w:rsidR="000022D5" w:rsidRPr="000022D5">
          <w:rPr>
            <w:rStyle w:val="Hyperlink"/>
            <w:rtl/>
          </w:rPr>
          <w:t xml:space="preserve"> </w:t>
        </w:r>
        <w:r w:rsidR="000022D5" w:rsidRPr="000022D5">
          <w:rPr>
            <w:rStyle w:val="Hyperlink"/>
            <w:rFonts w:hint="cs"/>
            <w:rtl/>
          </w:rPr>
          <w:t>ص</w:t>
        </w:r>
        <w:r w:rsidR="000022D5" w:rsidRPr="000022D5">
          <w:rPr>
            <w:rStyle w:val="Hyperlink"/>
            <w:rtl/>
          </w:rPr>
          <w:t>79.</w:t>
        </w:r>
      </w:hyperlink>
    </w:p>
  </w:footnote>
  <w:footnote w:id="12">
    <w:p w:rsidR="000022D5" w:rsidRPr="000022D5" w:rsidRDefault="001A5B7A" w:rsidP="000022D5">
      <w:pPr>
        <w:pStyle w:val="FootnoteText"/>
      </w:pPr>
      <w:r w:rsidRPr="001A5B7A">
        <w:footnoteRef/>
      </w:r>
      <w:r w:rsidR="000022D5" w:rsidRPr="000022D5">
        <w:rPr>
          <w:rtl/>
        </w:rPr>
        <w:t xml:space="preserve"> </w:t>
      </w:r>
      <w:hyperlink r:id="rId7" w:history="1">
        <w:r w:rsidR="000022D5" w:rsidRPr="000022D5">
          <w:rPr>
            <w:rStyle w:val="Hyperlink"/>
            <w:rFonts w:hint="cs"/>
            <w:rtl/>
          </w:rPr>
          <w:t>تلخيص</w:t>
        </w:r>
        <w:r w:rsidR="000022D5" w:rsidRPr="000022D5">
          <w:rPr>
            <w:rStyle w:val="Hyperlink"/>
            <w:rtl/>
          </w:rPr>
          <w:t xml:space="preserve"> </w:t>
        </w:r>
        <w:r w:rsidR="000022D5" w:rsidRPr="000022D5">
          <w:rPr>
            <w:rStyle w:val="Hyperlink"/>
            <w:rFonts w:hint="cs"/>
            <w:rtl/>
          </w:rPr>
          <w:t>المرام</w:t>
        </w:r>
        <w:r w:rsidR="000022D5" w:rsidRPr="000022D5">
          <w:rPr>
            <w:rStyle w:val="Hyperlink"/>
            <w:rtl/>
          </w:rPr>
          <w:t xml:space="preserve"> </w:t>
        </w:r>
        <w:r w:rsidR="000022D5" w:rsidRPr="000022D5">
          <w:rPr>
            <w:rStyle w:val="Hyperlink"/>
            <w:rFonts w:hint="cs"/>
            <w:rtl/>
          </w:rPr>
          <w:t>في</w:t>
        </w:r>
        <w:r w:rsidR="000022D5" w:rsidRPr="000022D5">
          <w:rPr>
            <w:rStyle w:val="Hyperlink"/>
            <w:rtl/>
          </w:rPr>
          <w:t xml:space="preserve"> </w:t>
        </w:r>
        <w:r w:rsidR="000022D5" w:rsidRPr="000022D5">
          <w:rPr>
            <w:rStyle w:val="Hyperlink"/>
            <w:rFonts w:hint="cs"/>
            <w:rtl/>
          </w:rPr>
          <w:t>معرفة</w:t>
        </w:r>
        <w:r w:rsidR="000022D5" w:rsidRPr="000022D5">
          <w:rPr>
            <w:rStyle w:val="Hyperlink"/>
            <w:rtl/>
          </w:rPr>
          <w:t xml:space="preserve"> </w:t>
        </w:r>
        <w:r w:rsidR="000022D5" w:rsidRPr="000022D5">
          <w:rPr>
            <w:rStyle w:val="Hyperlink"/>
            <w:rFonts w:hint="cs"/>
            <w:rtl/>
          </w:rPr>
          <w:t>الأحكام،</w:t>
        </w:r>
        <w:r w:rsidR="000022D5" w:rsidRPr="000022D5">
          <w:rPr>
            <w:rStyle w:val="Hyperlink"/>
            <w:rtl/>
          </w:rPr>
          <w:t xml:space="preserve"> </w:t>
        </w:r>
        <w:r w:rsidR="000022D5" w:rsidRPr="000022D5">
          <w:rPr>
            <w:rStyle w:val="Hyperlink"/>
            <w:rFonts w:hint="cs"/>
            <w:rtl/>
          </w:rPr>
          <w:t>العلامة</w:t>
        </w:r>
        <w:r w:rsidR="000022D5" w:rsidRPr="000022D5">
          <w:rPr>
            <w:rStyle w:val="Hyperlink"/>
            <w:rtl/>
          </w:rPr>
          <w:t xml:space="preserve"> </w:t>
        </w:r>
        <w:r w:rsidR="000022D5" w:rsidRPr="000022D5">
          <w:rPr>
            <w:rStyle w:val="Hyperlink"/>
            <w:rFonts w:hint="cs"/>
            <w:rtl/>
          </w:rPr>
          <w:t>الحلي،</w:t>
        </w:r>
        <w:r w:rsidR="000022D5" w:rsidRPr="000022D5">
          <w:rPr>
            <w:rStyle w:val="Hyperlink"/>
            <w:rtl/>
          </w:rPr>
          <w:t xml:space="preserve"> </w:t>
        </w:r>
        <w:r w:rsidR="000022D5" w:rsidRPr="000022D5">
          <w:rPr>
            <w:rStyle w:val="Hyperlink"/>
            <w:rFonts w:hint="cs"/>
            <w:rtl/>
          </w:rPr>
          <w:t>ج</w:t>
        </w:r>
        <w:r w:rsidR="000022D5" w:rsidRPr="000022D5">
          <w:rPr>
            <w:rStyle w:val="Hyperlink"/>
            <w:rtl/>
          </w:rPr>
          <w:t>1</w:t>
        </w:r>
        <w:r w:rsidR="000022D5" w:rsidRPr="000022D5">
          <w:rPr>
            <w:rStyle w:val="Hyperlink"/>
            <w:rFonts w:hint="cs"/>
            <w:rtl/>
          </w:rPr>
          <w:t>،</w:t>
        </w:r>
        <w:r w:rsidR="000022D5" w:rsidRPr="000022D5">
          <w:rPr>
            <w:rStyle w:val="Hyperlink"/>
            <w:rtl/>
          </w:rPr>
          <w:t xml:space="preserve"> </w:t>
        </w:r>
        <w:r w:rsidR="000022D5" w:rsidRPr="000022D5">
          <w:rPr>
            <w:rStyle w:val="Hyperlink"/>
            <w:rFonts w:hint="cs"/>
            <w:rtl/>
          </w:rPr>
          <w:t>ص</w:t>
        </w:r>
        <w:r w:rsidR="000022D5" w:rsidRPr="000022D5">
          <w:rPr>
            <w:rStyle w:val="Hyperlink"/>
            <w:rtl/>
          </w:rPr>
          <w:t>225.</w:t>
        </w:r>
      </w:hyperlink>
    </w:p>
  </w:footnote>
  <w:footnote w:id="13">
    <w:p w:rsidR="006E70A4" w:rsidRPr="006E70A4" w:rsidRDefault="006E70A4" w:rsidP="006E70A4">
      <w:pPr>
        <w:pStyle w:val="FootnoteText"/>
      </w:pPr>
      <w:r w:rsidRPr="006E70A4">
        <w:footnoteRef/>
      </w:r>
      <w:r w:rsidRPr="006E70A4">
        <w:rPr>
          <w:rtl/>
        </w:rPr>
        <w:t xml:space="preserve"> </w:t>
      </w:r>
      <w:hyperlink r:id="rId8" w:history="1">
        <w:r w:rsidRPr="006E70A4">
          <w:rPr>
            <w:rStyle w:val="Hyperlink"/>
            <w:rFonts w:hint="cs"/>
            <w:rtl/>
          </w:rPr>
          <w:t>غاية</w:t>
        </w:r>
        <w:r w:rsidRPr="006E70A4">
          <w:rPr>
            <w:rStyle w:val="Hyperlink"/>
            <w:rtl/>
          </w:rPr>
          <w:t xml:space="preserve"> </w:t>
        </w:r>
        <w:r w:rsidRPr="006E70A4">
          <w:rPr>
            <w:rStyle w:val="Hyperlink"/>
            <w:rFonts w:hint="cs"/>
            <w:rtl/>
          </w:rPr>
          <w:t>المراد</w:t>
        </w:r>
        <w:r w:rsidRPr="006E70A4">
          <w:rPr>
            <w:rStyle w:val="Hyperlink"/>
            <w:rtl/>
          </w:rPr>
          <w:t xml:space="preserve"> </w:t>
        </w:r>
        <w:r w:rsidRPr="006E70A4">
          <w:rPr>
            <w:rStyle w:val="Hyperlink"/>
            <w:rFonts w:hint="cs"/>
            <w:rtl/>
          </w:rPr>
          <w:t>في</w:t>
        </w:r>
        <w:r w:rsidRPr="006E70A4">
          <w:rPr>
            <w:rStyle w:val="Hyperlink"/>
            <w:rtl/>
          </w:rPr>
          <w:t xml:space="preserve"> </w:t>
        </w:r>
        <w:r w:rsidRPr="006E70A4">
          <w:rPr>
            <w:rStyle w:val="Hyperlink"/>
            <w:rFonts w:hint="cs"/>
            <w:rtl/>
          </w:rPr>
          <w:t>شرح</w:t>
        </w:r>
        <w:r w:rsidRPr="006E70A4">
          <w:rPr>
            <w:rStyle w:val="Hyperlink"/>
            <w:rtl/>
          </w:rPr>
          <w:t xml:space="preserve"> </w:t>
        </w:r>
        <w:r w:rsidRPr="006E70A4">
          <w:rPr>
            <w:rStyle w:val="Hyperlink"/>
            <w:rFonts w:hint="cs"/>
            <w:rtl/>
          </w:rPr>
          <w:t>نكت</w:t>
        </w:r>
        <w:r w:rsidRPr="006E70A4">
          <w:rPr>
            <w:rStyle w:val="Hyperlink"/>
            <w:rtl/>
          </w:rPr>
          <w:t xml:space="preserve"> </w:t>
        </w:r>
        <w:r w:rsidRPr="006E70A4">
          <w:rPr>
            <w:rStyle w:val="Hyperlink"/>
            <w:rFonts w:hint="cs"/>
            <w:rtl/>
          </w:rPr>
          <w:t>الإرشاد،</w:t>
        </w:r>
        <w:r w:rsidRPr="006E70A4">
          <w:rPr>
            <w:rStyle w:val="Hyperlink"/>
            <w:rtl/>
          </w:rPr>
          <w:t xml:space="preserve"> </w:t>
        </w:r>
        <w:r w:rsidRPr="006E70A4">
          <w:rPr>
            <w:rStyle w:val="Hyperlink"/>
            <w:rFonts w:hint="cs"/>
            <w:rtl/>
          </w:rPr>
          <w:t>الشهيد</w:t>
        </w:r>
        <w:r w:rsidRPr="006E70A4">
          <w:rPr>
            <w:rStyle w:val="Hyperlink"/>
            <w:rtl/>
          </w:rPr>
          <w:t xml:space="preserve"> </w:t>
        </w:r>
        <w:r w:rsidRPr="006E70A4">
          <w:rPr>
            <w:rStyle w:val="Hyperlink"/>
            <w:rFonts w:hint="cs"/>
            <w:rtl/>
          </w:rPr>
          <w:t>الأول،</w:t>
        </w:r>
        <w:r w:rsidRPr="006E70A4">
          <w:rPr>
            <w:rStyle w:val="Hyperlink"/>
            <w:rtl/>
          </w:rPr>
          <w:t xml:space="preserve"> </w:t>
        </w:r>
        <w:r w:rsidRPr="006E70A4">
          <w:rPr>
            <w:rStyle w:val="Hyperlink"/>
            <w:rFonts w:hint="cs"/>
            <w:rtl/>
          </w:rPr>
          <w:t>ج</w:t>
        </w:r>
        <w:r w:rsidRPr="006E70A4">
          <w:rPr>
            <w:rStyle w:val="Hyperlink"/>
            <w:rtl/>
          </w:rPr>
          <w:t>0</w:t>
        </w:r>
        <w:r w:rsidRPr="006E70A4">
          <w:rPr>
            <w:rStyle w:val="Hyperlink"/>
            <w:rFonts w:hint="cs"/>
            <w:rtl/>
          </w:rPr>
          <w:t>،</w:t>
        </w:r>
        <w:r w:rsidRPr="006E70A4">
          <w:rPr>
            <w:rStyle w:val="Hyperlink"/>
            <w:rtl/>
          </w:rPr>
          <w:t xml:space="preserve"> </w:t>
        </w:r>
        <w:r w:rsidRPr="006E70A4">
          <w:rPr>
            <w:rStyle w:val="Hyperlink"/>
            <w:rFonts w:hint="cs"/>
            <w:rtl/>
          </w:rPr>
          <w:t>ص</w:t>
        </w:r>
        <w:r w:rsidRPr="006E70A4">
          <w:rPr>
            <w:rStyle w:val="Hyperlink"/>
            <w:rtl/>
          </w:rPr>
          <w:t>54.</w:t>
        </w:r>
      </w:hyperlink>
    </w:p>
  </w:footnote>
  <w:footnote w:id="14">
    <w:p w:rsidR="006E70A4" w:rsidRPr="001A637A" w:rsidRDefault="006E70A4" w:rsidP="006E70A4">
      <w:pPr>
        <w:pStyle w:val="FootnoteText"/>
      </w:pPr>
      <w:r>
        <w:rPr>
          <w:rStyle w:val="FootnoteReference"/>
        </w:rPr>
        <w:footnoteRef/>
      </w:r>
      <w:r>
        <w:rPr>
          <w:rtl/>
        </w:rPr>
        <w:t xml:space="preserve"> </w:t>
      </w:r>
      <w:r w:rsidRPr="001A637A">
        <w:rPr>
          <w:rFonts w:hint="cs"/>
          <w:rtl/>
        </w:rPr>
        <w:t>توضيح «على رأي» في كتب العلامة.</w:t>
      </w:r>
    </w:p>
    <w:p w:rsidR="006E70A4" w:rsidRPr="001A637A" w:rsidRDefault="006E70A4" w:rsidP="006E70A4">
      <w:pPr>
        <w:pStyle w:val="FootnoteText"/>
        <w:rPr>
          <w:rtl/>
        </w:rPr>
      </w:pPr>
      <w:r w:rsidRPr="001A637A">
        <w:rPr>
          <w:rFonts w:hint="cs"/>
          <w:rtl/>
        </w:rPr>
        <w:t>جاء في بعض الآثار الفتوائية للعلامة- و منها الإرشاد و القواعد- عبارة «على رأي». و لتوضيح مراد العلامة من هذه العبارة نورد كلمات الأجلاء و العظماء حولها.</w:t>
      </w:r>
    </w:p>
    <w:p w:rsidR="006E70A4" w:rsidRPr="001A637A" w:rsidRDefault="006E70A4" w:rsidP="006E70A4">
      <w:pPr>
        <w:pStyle w:val="FootnoteText"/>
        <w:rPr>
          <w:rtl/>
        </w:rPr>
      </w:pPr>
      <w:r w:rsidRPr="001A637A">
        <w:rPr>
          <w:rFonts w:hint="cs"/>
          <w:rtl/>
        </w:rPr>
        <w:t>نقل صاحب الروضات عن فخر الدين ولد العلامة أنّه قال:</w:t>
      </w:r>
    </w:p>
    <w:p w:rsidR="006E70A4" w:rsidRDefault="006E70A4" w:rsidP="006E70A4">
      <w:pPr>
        <w:pStyle w:val="FootnoteText"/>
      </w:pPr>
      <w:r w:rsidRPr="001A637A">
        <w:rPr>
          <w:rFonts w:hint="cs"/>
          <w:rtl/>
        </w:rPr>
        <w:t>إذا قال: «علي رأي» يكون اختياره ما قبله، و نبّه بقوله: «على رأي» على أنّ فيه خلافا لبعض الأصحاب.</w:t>
      </w:r>
    </w:p>
  </w:footnote>
  <w:footnote w:id="15">
    <w:p w:rsidR="00B24ABA" w:rsidRPr="00B24ABA" w:rsidRDefault="00B24ABA" w:rsidP="00B24ABA">
      <w:pPr>
        <w:pStyle w:val="FootnoteText"/>
      </w:pPr>
      <w:r w:rsidRPr="00B24ABA">
        <w:footnoteRef/>
      </w:r>
      <w:r w:rsidRPr="00B24ABA">
        <w:rPr>
          <w:rtl/>
        </w:rPr>
        <w:t xml:space="preserve"> </w:t>
      </w:r>
      <w:hyperlink r:id="rId9" w:history="1">
        <w:r w:rsidRPr="00B24ABA">
          <w:rPr>
            <w:rStyle w:val="Hyperlink"/>
            <w:rFonts w:hint="cs"/>
            <w:rtl/>
          </w:rPr>
          <w:t>تکملة</w:t>
        </w:r>
        <w:r w:rsidRPr="00B24ABA">
          <w:rPr>
            <w:rStyle w:val="Hyperlink"/>
            <w:rtl/>
          </w:rPr>
          <w:t xml:space="preserve"> </w:t>
        </w:r>
        <w:r w:rsidRPr="00B24ABA">
          <w:rPr>
            <w:rStyle w:val="Hyperlink"/>
            <w:rFonts w:hint="cs"/>
            <w:rtl/>
          </w:rPr>
          <w:t>العروة</w:t>
        </w:r>
        <w:r w:rsidRPr="00B24ABA">
          <w:rPr>
            <w:rStyle w:val="Hyperlink"/>
            <w:rtl/>
          </w:rPr>
          <w:t xml:space="preserve"> </w:t>
        </w:r>
        <w:r w:rsidRPr="00B24ABA">
          <w:rPr>
            <w:rStyle w:val="Hyperlink"/>
            <w:rFonts w:hint="cs"/>
            <w:rtl/>
          </w:rPr>
          <w:t>الوثقی،</w:t>
        </w:r>
        <w:r w:rsidRPr="00B24ABA">
          <w:rPr>
            <w:rStyle w:val="Hyperlink"/>
            <w:rtl/>
          </w:rPr>
          <w:t xml:space="preserve"> </w:t>
        </w:r>
        <w:r w:rsidRPr="00B24ABA">
          <w:rPr>
            <w:rStyle w:val="Hyperlink"/>
            <w:rFonts w:hint="cs"/>
            <w:rtl/>
          </w:rPr>
          <w:t>السید</w:t>
        </w:r>
        <w:r w:rsidRPr="00B24ABA">
          <w:rPr>
            <w:rStyle w:val="Hyperlink"/>
            <w:rtl/>
          </w:rPr>
          <w:t xml:space="preserve"> </w:t>
        </w:r>
        <w:r w:rsidRPr="00B24ABA">
          <w:rPr>
            <w:rStyle w:val="Hyperlink"/>
            <w:rFonts w:hint="cs"/>
            <w:rtl/>
          </w:rPr>
          <w:t>محمد</w:t>
        </w:r>
        <w:r w:rsidRPr="00B24ABA">
          <w:rPr>
            <w:rStyle w:val="Hyperlink"/>
            <w:rtl/>
          </w:rPr>
          <w:t xml:space="preserve"> </w:t>
        </w:r>
        <w:r w:rsidRPr="00B24ABA">
          <w:rPr>
            <w:rStyle w:val="Hyperlink"/>
            <w:rFonts w:hint="cs"/>
            <w:rtl/>
          </w:rPr>
          <w:t>کاظم</w:t>
        </w:r>
        <w:r w:rsidRPr="00B24ABA">
          <w:rPr>
            <w:rStyle w:val="Hyperlink"/>
            <w:rtl/>
          </w:rPr>
          <w:t xml:space="preserve"> </w:t>
        </w:r>
        <w:r w:rsidRPr="00B24ABA">
          <w:rPr>
            <w:rStyle w:val="Hyperlink"/>
            <w:rFonts w:hint="cs"/>
            <w:rtl/>
          </w:rPr>
          <w:t>الطباطبائی</w:t>
        </w:r>
        <w:r w:rsidRPr="00B24ABA">
          <w:rPr>
            <w:rStyle w:val="Hyperlink"/>
            <w:rtl/>
          </w:rPr>
          <w:t xml:space="preserve"> </w:t>
        </w:r>
        <w:r w:rsidRPr="00B24ABA">
          <w:rPr>
            <w:rStyle w:val="Hyperlink"/>
            <w:rFonts w:hint="cs"/>
            <w:rtl/>
          </w:rPr>
          <w:t>الیزدی،</w:t>
        </w:r>
        <w:r w:rsidRPr="00B24ABA">
          <w:rPr>
            <w:rStyle w:val="Hyperlink"/>
            <w:rtl/>
          </w:rPr>
          <w:t xml:space="preserve"> </w:t>
        </w:r>
        <w:r w:rsidRPr="00B24ABA">
          <w:rPr>
            <w:rStyle w:val="Hyperlink"/>
            <w:rFonts w:hint="cs"/>
            <w:rtl/>
          </w:rPr>
          <w:t>ج</w:t>
        </w:r>
        <w:r w:rsidRPr="00B24ABA">
          <w:rPr>
            <w:rStyle w:val="Hyperlink"/>
            <w:rtl/>
          </w:rPr>
          <w:t>1</w:t>
        </w:r>
        <w:r w:rsidRPr="00B24ABA">
          <w:rPr>
            <w:rStyle w:val="Hyperlink"/>
            <w:rFonts w:hint="cs"/>
            <w:rtl/>
          </w:rPr>
          <w:t>،</w:t>
        </w:r>
        <w:r w:rsidRPr="00B24ABA">
          <w:rPr>
            <w:rStyle w:val="Hyperlink"/>
            <w:rtl/>
          </w:rPr>
          <w:t xml:space="preserve"> </w:t>
        </w:r>
        <w:r w:rsidRPr="00B24ABA">
          <w:rPr>
            <w:rStyle w:val="Hyperlink"/>
            <w:rFonts w:hint="cs"/>
            <w:rtl/>
          </w:rPr>
          <w:t>ص</w:t>
        </w:r>
        <w:r w:rsidRPr="00B24ABA">
          <w:rPr>
            <w:rStyle w:val="Hyperlink"/>
            <w:rtl/>
          </w:rPr>
          <w:t>115</w:t>
        </w:r>
        <w:r w:rsidRPr="00B24AB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F0" w:rsidRDefault="002C3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2E0868">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2E086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2E0868">
      <w:rPr>
        <w:b/>
        <w:bCs/>
        <w:color w:val="632423" w:themeColor="accent2" w:themeShade="80"/>
        <w:sz w:val="20"/>
        <w:szCs w:val="24"/>
        <w:rtl/>
      </w:rPr>
      <w:t>س</w:t>
    </w:r>
    <w:r w:rsidR="002E0868">
      <w:rPr>
        <w:rFonts w:hint="cs"/>
        <w:b/>
        <w:bCs/>
        <w:color w:val="632423" w:themeColor="accent2" w:themeShade="80"/>
        <w:sz w:val="20"/>
        <w:szCs w:val="24"/>
        <w:rtl/>
      </w:rPr>
      <w:t>ی</w:t>
    </w:r>
    <w:r w:rsidR="002E0868">
      <w:rPr>
        <w:rFonts w:hint="eastAsia"/>
        <w:b/>
        <w:bCs/>
        <w:color w:val="632423" w:themeColor="accent2" w:themeShade="80"/>
        <w:sz w:val="20"/>
        <w:szCs w:val="24"/>
        <w:rtl/>
      </w:rPr>
      <w:t>د</w:t>
    </w:r>
    <w:r w:rsidR="002E0868">
      <w:rPr>
        <w:b/>
        <w:bCs/>
        <w:color w:val="632423" w:themeColor="accent2" w:themeShade="80"/>
        <w:sz w:val="20"/>
        <w:szCs w:val="24"/>
        <w:rtl/>
      </w:rPr>
      <w:t xml:space="preserve"> محمد جواد شب</w:t>
    </w:r>
    <w:r w:rsidR="002E0868">
      <w:rPr>
        <w:rFonts w:hint="cs"/>
        <w:b/>
        <w:bCs/>
        <w:color w:val="632423" w:themeColor="accent2" w:themeShade="80"/>
        <w:sz w:val="20"/>
        <w:szCs w:val="24"/>
        <w:rtl/>
      </w:rPr>
      <w:t>ی</w:t>
    </w:r>
    <w:r w:rsidR="002E0868">
      <w:rPr>
        <w:rFonts w:hint="eastAsia"/>
        <w:b/>
        <w:bCs/>
        <w:color w:val="632423" w:themeColor="accent2" w:themeShade="80"/>
        <w:sz w:val="20"/>
        <w:szCs w:val="24"/>
        <w:rtl/>
      </w:rPr>
      <w:t>ر</w:t>
    </w:r>
    <w:r w:rsidR="002E086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2E0868">
      <w:rPr>
        <w:sz w:val="24"/>
        <w:szCs w:val="24"/>
        <w:rtl/>
      </w:rPr>
      <w:t>29 /10 /1398</w:t>
    </w:r>
  </w:p>
  <w:p w:rsidR="00FA3B17" w:rsidRPr="00F16B53" w:rsidRDefault="00935A55" w:rsidP="002C30F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2E0868">
      <w:rPr>
        <w:color w:val="000000" w:themeColor="text1"/>
        <w:sz w:val="24"/>
        <w:szCs w:val="24"/>
        <w:rtl/>
      </w:rPr>
      <w:t>مساله</w:t>
    </w:r>
    <w:r w:rsidR="006017BA">
      <w:rPr>
        <w:rFonts w:hint="cs"/>
        <w:color w:val="000000" w:themeColor="text1"/>
        <w:sz w:val="24"/>
        <w:szCs w:val="24"/>
        <w:rtl/>
      </w:rPr>
      <w:t>‌ی</w:t>
    </w:r>
    <w:r w:rsidR="002E0868">
      <w:rPr>
        <w:color w:val="000000" w:themeColor="text1"/>
        <w:sz w:val="24"/>
        <w:szCs w:val="24"/>
        <w:rtl/>
      </w:rPr>
      <w:t xml:space="preserve"> ب</w:t>
    </w:r>
    <w:r w:rsidR="002E0868">
      <w:rPr>
        <w:rFonts w:hint="cs"/>
        <w:color w:val="000000" w:themeColor="text1"/>
        <w:sz w:val="24"/>
        <w:szCs w:val="24"/>
        <w:rtl/>
      </w:rPr>
      <w:t>ی</w:t>
    </w:r>
    <w:r w:rsidR="002E0868">
      <w:rPr>
        <w:rFonts w:hint="eastAsia"/>
        <w:color w:val="000000" w:themeColor="text1"/>
        <w:sz w:val="24"/>
        <w:szCs w:val="24"/>
        <w:rtl/>
      </w:rPr>
      <w:t>ستم</w:t>
    </w:r>
    <w:r w:rsidR="002E0868">
      <w:rPr>
        <w:color w:val="000000" w:themeColor="text1"/>
        <w:sz w:val="24"/>
        <w:szCs w:val="24"/>
        <w:rtl/>
      </w:rPr>
      <w:t xml:space="preserve"> تکمله</w:t>
    </w:r>
    <w:r w:rsidR="006017BA">
      <w:rPr>
        <w:rFonts w:hint="cs"/>
        <w:color w:val="000000" w:themeColor="text1"/>
        <w:sz w:val="24"/>
        <w:szCs w:val="24"/>
        <w:rtl/>
      </w:rPr>
      <w:t>‌ی</w:t>
    </w:r>
    <w:r w:rsidR="002E0868">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2" w:name="Bokmoqarer"/>
    <w:bookmarkEnd w:id="32"/>
    <w:r w:rsidR="002C30F0" w:rsidRPr="004C16A1">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2E0868">
      <w:rPr>
        <w:sz w:val="24"/>
        <w:szCs w:val="24"/>
        <w:rtl/>
      </w:rPr>
      <w:t>قبول قول مرد در طلاق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F0" w:rsidRDefault="002C3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F1405"/>
    <w:multiLevelType w:val="hybridMultilevel"/>
    <w:tmpl w:val="33F81F90"/>
    <w:lvl w:ilvl="0" w:tplc="6284F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B2225"/>
    <w:multiLevelType w:val="hybridMultilevel"/>
    <w:tmpl w:val="AAC03C82"/>
    <w:lvl w:ilvl="0" w:tplc="FB686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D45E3"/>
    <w:multiLevelType w:val="hybridMultilevel"/>
    <w:tmpl w:val="7200E4AC"/>
    <w:lvl w:ilvl="0" w:tplc="A08A6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D5"/>
    <w:rsid w:val="000072A3"/>
    <w:rsid w:val="00016D5B"/>
    <w:rsid w:val="000237E9"/>
    <w:rsid w:val="00025777"/>
    <w:rsid w:val="00025B70"/>
    <w:rsid w:val="000353D7"/>
    <w:rsid w:val="00055496"/>
    <w:rsid w:val="00080A41"/>
    <w:rsid w:val="000814E5"/>
    <w:rsid w:val="0008299B"/>
    <w:rsid w:val="000913AA"/>
    <w:rsid w:val="00094847"/>
    <w:rsid w:val="00096C63"/>
    <w:rsid w:val="000A3DC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3C5D"/>
    <w:rsid w:val="00151937"/>
    <w:rsid w:val="00181844"/>
    <w:rsid w:val="001837E9"/>
    <w:rsid w:val="00187DFA"/>
    <w:rsid w:val="00196F89"/>
    <w:rsid w:val="001A1BC1"/>
    <w:rsid w:val="001A1EA5"/>
    <w:rsid w:val="001A2574"/>
    <w:rsid w:val="001A27D7"/>
    <w:rsid w:val="001A294E"/>
    <w:rsid w:val="001A4ED8"/>
    <w:rsid w:val="001A5B7A"/>
    <w:rsid w:val="001A637A"/>
    <w:rsid w:val="001B2488"/>
    <w:rsid w:val="001B6799"/>
    <w:rsid w:val="001C1362"/>
    <w:rsid w:val="001C1D0A"/>
    <w:rsid w:val="001D2E9A"/>
    <w:rsid w:val="001D597F"/>
    <w:rsid w:val="001E3FD4"/>
    <w:rsid w:val="001F39DB"/>
    <w:rsid w:val="0020241A"/>
    <w:rsid w:val="00203821"/>
    <w:rsid w:val="00211632"/>
    <w:rsid w:val="0021630D"/>
    <w:rsid w:val="0024121B"/>
    <w:rsid w:val="00242A3A"/>
    <w:rsid w:val="00247D2F"/>
    <w:rsid w:val="00256560"/>
    <w:rsid w:val="0027204E"/>
    <w:rsid w:val="0027605E"/>
    <w:rsid w:val="00281E00"/>
    <w:rsid w:val="00293CE0"/>
    <w:rsid w:val="00294A52"/>
    <w:rsid w:val="002B575F"/>
    <w:rsid w:val="002B6049"/>
    <w:rsid w:val="002B729B"/>
    <w:rsid w:val="002C23B5"/>
    <w:rsid w:val="002C30F0"/>
    <w:rsid w:val="002C53A2"/>
    <w:rsid w:val="002D0040"/>
    <w:rsid w:val="002D2FA8"/>
    <w:rsid w:val="002D31B8"/>
    <w:rsid w:val="002E0868"/>
    <w:rsid w:val="002E220F"/>
    <w:rsid w:val="002F0655"/>
    <w:rsid w:val="002F74C2"/>
    <w:rsid w:val="00307311"/>
    <w:rsid w:val="0032100F"/>
    <w:rsid w:val="0033402C"/>
    <w:rsid w:val="00340521"/>
    <w:rsid w:val="0034278C"/>
    <w:rsid w:val="00345C73"/>
    <w:rsid w:val="00354A99"/>
    <w:rsid w:val="00360311"/>
    <w:rsid w:val="00361922"/>
    <w:rsid w:val="0037339B"/>
    <w:rsid w:val="00386C11"/>
    <w:rsid w:val="00397466"/>
    <w:rsid w:val="003A0F50"/>
    <w:rsid w:val="003A6148"/>
    <w:rsid w:val="003C33F6"/>
    <w:rsid w:val="003C3D2E"/>
    <w:rsid w:val="003C43A5"/>
    <w:rsid w:val="003D6BE5"/>
    <w:rsid w:val="003E1C5C"/>
    <w:rsid w:val="003E6650"/>
    <w:rsid w:val="003F5B46"/>
    <w:rsid w:val="00401363"/>
    <w:rsid w:val="00402E47"/>
    <w:rsid w:val="004218F4"/>
    <w:rsid w:val="00425015"/>
    <w:rsid w:val="00430994"/>
    <w:rsid w:val="00441B6D"/>
    <w:rsid w:val="004556EF"/>
    <w:rsid w:val="00462B07"/>
    <w:rsid w:val="00465BD2"/>
    <w:rsid w:val="004715C8"/>
    <w:rsid w:val="00472D4A"/>
    <w:rsid w:val="00481C31"/>
    <w:rsid w:val="00482FC1"/>
    <w:rsid w:val="00483027"/>
    <w:rsid w:val="004871AA"/>
    <w:rsid w:val="004918D7"/>
    <w:rsid w:val="004926E1"/>
    <w:rsid w:val="004A2FEA"/>
    <w:rsid w:val="004B6308"/>
    <w:rsid w:val="004D2DD7"/>
    <w:rsid w:val="004D75C5"/>
    <w:rsid w:val="004E2186"/>
    <w:rsid w:val="004E66FB"/>
    <w:rsid w:val="004F470A"/>
    <w:rsid w:val="004F4C59"/>
    <w:rsid w:val="00500C8F"/>
    <w:rsid w:val="00501909"/>
    <w:rsid w:val="00507BBB"/>
    <w:rsid w:val="0051202B"/>
    <w:rsid w:val="005128DF"/>
    <w:rsid w:val="0051592A"/>
    <w:rsid w:val="005206FE"/>
    <w:rsid w:val="00520710"/>
    <w:rsid w:val="005257ED"/>
    <w:rsid w:val="005306F8"/>
    <w:rsid w:val="0054023D"/>
    <w:rsid w:val="005426BF"/>
    <w:rsid w:val="0056213C"/>
    <w:rsid w:val="00580C24"/>
    <w:rsid w:val="005968EF"/>
    <w:rsid w:val="00596C1E"/>
    <w:rsid w:val="005A2E26"/>
    <w:rsid w:val="005B7BCA"/>
    <w:rsid w:val="005C0DAE"/>
    <w:rsid w:val="005C188E"/>
    <w:rsid w:val="005D2349"/>
    <w:rsid w:val="005D30B6"/>
    <w:rsid w:val="005E1B60"/>
    <w:rsid w:val="005E5507"/>
    <w:rsid w:val="005E607B"/>
    <w:rsid w:val="005F0A8D"/>
    <w:rsid w:val="00601229"/>
    <w:rsid w:val="006017BA"/>
    <w:rsid w:val="00603B67"/>
    <w:rsid w:val="006162A2"/>
    <w:rsid w:val="006240DA"/>
    <w:rsid w:val="0063256E"/>
    <w:rsid w:val="00633F04"/>
    <w:rsid w:val="00635219"/>
    <w:rsid w:val="00635EC0"/>
    <w:rsid w:val="0063677D"/>
    <w:rsid w:val="00640B58"/>
    <w:rsid w:val="00651B02"/>
    <w:rsid w:val="00651B19"/>
    <w:rsid w:val="00660A29"/>
    <w:rsid w:val="0066328A"/>
    <w:rsid w:val="00695519"/>
    <w:rsid w:val="006A4134"/>
    <w:rsid w:val="006A5DDA"/>
    <w:rsid w:val="006A6701"/>
    <w:rsid w:val="006B21F4"/>
    <w:rsid w:val="006B3753"/>
    <w:rsid w:val="006B7AD6"/>
    <w:rsid w:val="006C50FD"/>
    <w:rsid w:val="006C5125"/>
    <w:rsid w:val="006D1DD4"/>
    <w:rsid w:val="006D4014"/>
    <w:rsid w:val="006D44C1"/>
    <w:rsid w:val="006D5E25"/>
    <w:rsid w:val="006E5651"/>
    <w:rsid w:val="006E5B85"/>
    <w:rsid w:val="006E70A4"/>
    <w:rsid w:val="006F026A"/>
    <w:rsid w:val="00700B9C"/>
    <w:rsid w:val="0070265B"/>
    <w:rsid w:val="00704813"/>
    <w:rsid w:val="00706836"/>
    <w:rsid w:val="00707409"/>
    <w:rsid w:val="0072290D"/>
    <w:rsid w:val="00723D6D"/>
    <w:rsid w:val="00724537"/>
    <w:rsid w:val="00731724"/>
    <w:rsid w:val="0073474B"/>
    <w:rsid w:val="00735511"/>
    <w:rsid w:val="00737208"/>
    <w:rsid w:val="00744DE6"/>
    <w:rsid w:val="007473F6"/>
    <w:rsid w:val="00762452"/>
    <w:rsid w:val="007639E0"/>
    <w:rsid w:val="00775507"/>
    <w:rsid w:val="00783473"/>
    <w:rsid w:val="0078594B"/>
    <w:rsid w:val="00795E02"/>
    <w:rsid w:val="007979D0"/>
    <w:rsid w:val="007A28C6"/>
    <w:rsid w:val="007A4E18"/>
    <w:rsid w:val="007A7B8C"/>
    <w:rsid w:val="007C6D9E"/>
    <w:rsid w:val="007D1C43"/>
    <w:rsid w:val="007D6C53"/>
    <w:rsid w:val="007E02AB"/>
    <w:rsid w:val="007E1564"/>
    <w:rsid w:val="007E1E87"/>
    <w:rsid w:val="007E34DB"/>
    <w:rsid w:val="007E5B3F"/>
    <w:rsid w:val="007F2257"/>
    <w:rsid w:val="0080091D"/>
    <w:rsid w:val="00804108"/>
    <w:rsid w:val="00804FC4"/>
    <w:rsid w:val="00816367"/>
    <w:rsid w:val="00816A0B"/>
    <w:rsid w:val="00824B22"/>
    <w:rsid w:val="00830C53"/>
    <w:rsid w:val="00837FAA"/>
    <w:rsid w:val="00841F77"/>
    <w:rsid w:val="0085276D"/>
    <w:rsid w:val="00853E47"/>
    <w:rsid w:val="00863390"/>
    <w:rsid w:val="0086385C"/>
    <w:rsid w:val="00871916"/>
    <w:rsid w:val="0087280E"/>
    <w:rsid w:val="00892FE8"/>
    <w:rsid w:val="008944E6"/>
    <w:rsid w:val="008956DD"/>
    <w:rsid w:val="008A510E"/>
    <w:rsid w:val="008A522A"/>
    <w:rsid w:val="008B4464"/>
    <w:rsid w:val="008B750B"/>
    <w:rsid w:val="008C3162"/>
    <w:rsid w:val="008D1F14"/>
    <w:rsid w:val="008E3924"/>
    <w:rsid w:val="008E4CA7"/>
    <w:rsid w:val="008F13F7"/>
    <w:rsid w:val="008F5B4D"/>
    <w:rsid w:val="008F5B94"/>
    <w:rsid w:val="00907425"/>
    <w:rsid w:val="00910353"/>
    <w:rsid w:val="00923C34"/>
    <w:rsid w:val="00924152"/>
    <w:rsid w:val="0092513D"/>
    <w:rsid w:val="00927A9F"/>
    <w:rsid w:val="009335CC"/>
    <w:rsid w:val="00935A55"/>
    <w:rsid w:val="00941CEB"/>
    <w:rsid w:val="0094720F"/>
    <w:rsid w:val="00953B28"/>
    <w:rsid w:val="00954322"/>
    <w:rsid w:val="00957CAA"/>
    <w:rsid w:val="00960489"/>
    <w:rsid w:val="009609B2"/>
    <w:rsid w:val="0096778A"/>
    <w:rsid w:val="00977656"/>
    <w:rsid w:val="00981673"/>
    <w:rsid w:val="009846A7"/>
    <w:rsid w:val="0098794D"/>
    <w:rsid w:val="0099497B"/>
    <w:rsid w:val="009A43BA"/>
    <w:rsid w:val="009B0D05"/>
    <w:rsid w:val="009B3ADC"/>
    <w:rsid w:val="009B4CA6"/>
    <w:rsid w:val="009B79F8"/>
    <w:rsid w:val="009B7C99"/>
    <w:rsid w:val="009C66D5"/>
    <w:rsid w:val="009D13FD"/>
    <w:rsid w:val="009D266A"/>
    <w:rsid w:val="009E013A"/>
    <w:rsid w:val="009F7E07"/>
    <w:rsid w:val="00A01522"/>
    <w:rsid w:val="00A10A11"/>
    <w:rsid w:val="00A13C6A"/>
    <w:rsid w:val="00A17B09"/>
    <w:rsid w:val="00A20C37"/>
    <w:rsid w:val="00A2441A"/>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6B56"/>
    <w:rsid w:val="00AF3925"/>
    <w:rsid w:val="00B05F4D"/>
    <w:rsid w:val="00B06BB3"/>
    <w:rsid w:val="00B1296B"/>
    <w:rsid w:val="00B2292F"/>
    <w:rsid w:val="00B24ABA"/>
    <w:rsid w:val="00B27C8C"/>
    <w:rsid w:val="00B43169"/>
    <w:rsid w:val="00B501A8"/>
    <w:rsid w:val="00B54AD5"/>
    <w:rsid w:val="00B55AE4"/>
    <w:rsid w:val="00B70B46"/>
    <w:rsid w:val="00B739B0"/>
    <w:rsid w:val="00B814A3"/>
    <w:rsid w:val="00B96F38"/>
    <w:rsid w:val="00BC716B"/>
    <w:rsid w:val="00BD0E74"/>
    <w:rsid w:val="00BD5F8C"/>
    <w:rsid w:val="00BE29DD"/>
    <w:rsid w:val="00C0409E"/>
    <w:rsid w:val="00C066AF"/>
    <w:rsid w:val="00C10E06"/>
    <w:rsid w:val="00C145B8"/>
    <w:rsid w:val="00C2438F"/>
    <w:rsid w:val="00C31AF0"/>
    <w:rsid w:val="00C32A7E"/>
    <w:rsid w:val="00C34F28"/>
    <w:rsid w:val="00C368DF"/>
    <w:rsid w:val="00C442C5"/>
    <w:rsid w:val="00C57B5C"/>
    <w:rsid w:val="00C57C7C"/>
    <w:rsid w:val="00C61049"/>
    <w:rsid w:val="00C63FFE"/>
    <w:rsid w:val="00C64980"/>
    <w:rsid w:val="00C65414"/>
    <w:rsid w:val="00C71A31"/>
    <w:rsid w:val="00C83A5B"/>
    <w:rsid w:val="00C91EB6"/>
    <w:rsid w:val="00C97F2B"/>
    <w:rsid w:val="00CA10B0"/>
    <w:rsid w:val="00CA2F8E"/>
    <w:rsid w:val="00CA3EE2"/>
    <w:rsid w:val="00CA73A4"/>
    <w:rsid w:val="00CA7FD5"/>
    <w:rsid w:val="00CB3287"/>
    <w:rsid w:val="00CB33E2"/>
    <w:rsid w:val="00CB4E68"/>
    <w:rsid w:val="00CC2733"/>
    <w:rsid w:val="00CD0050"/>
    <w:rsid w:val="00CE083B"/>
    <w:rsid w:val="00CE7481"/>
    <w:rsid w:val="00CF0A8F"/>
    <w:rsid w:val="00D048CE"/>
    <w:rsid w:val="00D10998"/>
    <w:rsid w:val="00D15CBD"/>
    <w:rsid w:val="00D217CA"/>
    <w:rsid w:val="00D221CB"/>
    <w:rsid w:val="00D23391"/>
    <w:rsid w:val="00D31805"/>
    <w:rsid w:val="00D32124"/>
    <w:rsid w:val="00D552B9"/>
    <w:rsid w:val="00D735B2"/>
    <w:rsid w:val="00D74021"/>
    <w:rsid w:val="00D76D01"/>
    <w:rsid w:val="00D922A9"/>
    <w:rsid w:val="00D93076"/>
    <w:rsid w:val="00D9394A"/>
    <w:rsid w:val="00D93D1B"/>
    <w:rsid w:val="00DB0CBB"/>
    <w:rsid w:val="00DB67CC"/>
    <w:rsid w:val="00DC3783"/>
    <w:rsid w:val="00DE1070"/>
    <w:rsid w:val="00E00219"/>
    <w:rsid w:val="00E0316B"/>
    <w:rsid w:val="00E20E9A"/>
    <w:rsid w:val="00E25E10"/>
    <w:rsid w:val="00E34A14"/>
    <w:rsid w:val="00E40D57"/>
    <w:rsid w:val="00E42BD2"/>
    <w:rsid w:val="00E50B41"/>
    <w:rsid w:val="00E5219B"/>
    <w:rsid w:val="00E52D07"/>
    <w:rsid w:val="00E5518B"/>
    <w:rsid w:val="00E609FE"/>
    <w:rsid w:val="00E630BE"/>
    <w:rsid w:val="00E75920"/>
    <w:rsid w:val="00E777DC"/>
    <w:rsid w:val="00E80D96"/>
    <w:rsid w:val="00E8368A"/>
    <w:rsid w:val="00E871FA"/>
    <w:rsid w:val="00E936A4"/>
    <w:rsid w:val="00E93DD2"/>
    <w:rsid w:val="00E954BB"/>
    <w:rsid w:val="00E959C7"/>
    <w:rsid w:val="00EA45E7"/>
    <w:rsid w:val="00EB78E3"/>
    <w:rsid w:val="00EB7BE3"/>
    <w:rsid w:val="00EC1C4B"/>
    <w:rsid w:val="00EC4D2F"/>
    <w:rsid w:val="00EC735A"/>
    <w:rsid w:val="00ED5F38"/>
    <w:rsid w:val="00EF27FE"/>
    <w:rsid w:val="00EF4D9A"/>
    <w:rsid w:val="00EF7AA7"/>
    <w:rsid w:val="00F07FB6"/>
    <w:rsid w:val="00F149D0"/>
    <w:rsid w:val="00F16B53"/>
    <w:rsid w:val="00F25ECD"/>
    <w:rsid w:val="00F318BE"/>
    <w:rsid w:val="00F33297"/>
    <w:rsid w:val="00F339E3"/>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556"/>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910353"/>
    <w:pPr>
      <w:keepNext/>
      <w:spacing w:before="120"/>
      <w:outlineLvl w:val="0"/>
    </w:pPr>
    <w:rPr>
      <w:rFonts w:ascii="IRTitr" w:eastAsia="Times New Roman" w:hAnsi="IRTitr" w:cs="IR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0353"/>
    <w:rPr>
      <w:rFonts w:ascii="IRTitr" w:eastAsia="Times New Roman" w:hAnsi="IRTitr" w:cs="IR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60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295648">
      <w:bodyDiv w:val="1"/>
      <w:marLeft w:val="0"/>
      <w:marRight w:val="0"/>
      <w:marTop w:val="0"/>
      <w:marBottom w:val="0"/>
      <w:divBdr>
        <w:top w:val="none" w:sz="0" w:space="0" w:color="auto"/>
        <w:left w:val="none" w:sz="0" w:space="0" w:color="auto"/>
        <w:bottom w:val="none" w:sz="0" w:space="0" w:color="auto"/>
        <w:right w:val="none" w:sz="0" w:space="0" w:color="auto"/>
      </w:divBdr>
    </w:div>
    <w:div w:id="19099820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7867556">
      <w:bodyDiv w:val="1"/>
      <w:marLeft w:val="0"/>
      <w:marRight w:val="0"/>
      <w:marTop w:val="0"/>
      <w:marBottom w:val="0"/>
      <w:divBdr>
        <w:top w:val="none" w:sz="0" w:space="0" w:color="auto"/>
        <w:left w:val="none" w:sz="0" w:space="0" w:color="auto"/>
        <w:bottom w:val="none" w:sz="0" w:space="0" w:color="auto"/>
        <w:right w:val="none" w:sz="0" w:space="0" w:color="auto"/>
      </w:divBdr>
    </w:div>
    <w:div w:id="425266740">
      <w:bodyDiv w:val="1"/>
      <w:marLeft w:val="0"/>
      <w:marRight w:val="0"/>
      <w:marTop w:val="0"/>
      <w:marBottom w:val="0"/>
      <w:divBdr>
        <w:top w:val="none" w:sz="0" w:space="0" w:color="auto"/>
        <w:left w:val="none" w:sz="0" w:space="0" w:color="auto"/>
        <w:bottom w:val="none" w:sz="0" w:space="0" w:color="auto"/>
        <w:right w:val="none" w:sz="0" w:space="0" w:color="auto"/>
      </w:divBdr>
    </w:div>
    <w:div w:id="428278180">
      <w:bodyDiv w:val="1"/>
      <w:marLeft w:val="0"/>
      <w:marRight w:val="0"/>
      <w:marTop w:val="0"/>
      <w:marBottom w:val="0"/>
      <w:divBdr>
        <w:top w:val="none" w:sz="0" w:space="0" w:color="auto"/>
        <w:left w:val="none" w:sz="0" w:space="0" w:color="auto"/>
        <w:bottom w:val="none" w:sz="0" w:space="0" w:color="auto"/>
        <w:right w:val="none" w:sz="0" w:space="0" w:color="auto"/>
      </w:divBdr>
    </w:div>
    <w:div w:id="464666786">
      <w:bodyDiv w:val="1"/>
      <w:marLeft w:val="0"/>
      <w:marRight w:val="0"/>
      <w:marTop w:val="0"/>
      <w:marBottom w:val="0"/>
      <w:divBdr>
        <w:top w:val="none" w:sz="0" w:space="0" w:color="auto"/>
        <w:left w:val="none" w:sz="0" w:space="0" w:color="auto"/>
        <w:bottom w:val="none" w:sz="0" w:space="0" w:color="auto"/>
        <w:right w:val="none" w:sz="0" w:space="0" w:color="auto"/>
      </w:divBdr>
    </w:div>
    <w:div w:id="4683265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3105927">
      <w:bodyDiv w:val="1"/>
      <w:marLeft w:val="0"/>
      <w:marRight w:val="0"/>
      <w:marTop w:val="0"/>
      <w:marBottom w:val="0"/>
      <w:divBdr>
        <w:top w:val="none" w:sz="0" w:space="0" w:color="auto"/>
        <w:left w:val="none" w:sz="0" w:space="0" w:color="auto"/>
        <w:bottom w:val="none" w:sz="0" w:space="0" w:color="auto"/>
        <w:right w:val="none" w:sz="0" w:space="0" w:color="auto"/>
      </w:divBdr>
    </w:div>
    <w:div w:id="563956354">
      <w:bodyDiv w:val="1"/>
      <w:marLeft w:val="0"/>
      <w:marRight w:val="0"/>
      <w:marTop w:val="0"/>
      <w:marBottom w:val="0"/>
      <w:divBdr>
        <w:top w:val="none" w:sz="0" w:space="0" w:color="auto"/>
        <w:left w:val="none" w:sz="0" w:space="0" w:color="auto"/>
        <w:bottom w:val="none" w:sz="0" w:space="0" w:color="auto"/>
        <w:right w:val="none" w:sz="0" w:space="0" w:color="auto"/>
      </w:divBdr>
    </w:div>
    <w:div w:id="60273496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5820401">
      <w:bodyDiv w:val="1"/>
      <w:marLeft w:val="0"/>
      <w:marRight w:val="0"/>
      <w:marTop w:val="0"/>
      <w:marBottom w:val="0"/>
      <w:divBdr>
        <w:top w:val="none" w:sz="0" w:space="0" w:color="auto"/>
        <w:left w:val="none" w:sz="0" w:space="0" w:color="auto"/>
        <w:bottom w:val="none" w:sz="0" w:space="0" w:color="auto"/>
        <w:right w:val="none" w:sz="0" w:space="0" w:color="auto"/>
      </w:divBdr>
    </w:div>
    <w:div w:id="666522887">
      <w:bodyDiv w:val="1"/>
      <w:marLeft w:val="0"/>
      <w:marRight w:val="0"/>
      <w:marTop w:val="0"/>
      <w:marBottom w:val="0"/>
      <w:divBdr>
        <w:top w:val="none" w:sz="0" w:space="0" w:color="auto"/>
        <w:left w:val="none" w:sz="0" w:space="0" w:color="auto"/>
        <w:bottom w:val="none" w:sz="0" w:space="0" w:color="auto"/>
        <w:right w:val="none" w:sz="0" w:space="0" w:color="auto"/>
      </w:divBdr>
    </w:div>
    <w:div w:id="779496053">
      <w:bodyDiv w:val="1"/>
      <w:marLeft w:val="0"/>
      <w:marRight w:val="0"/>
      <w:marTop w:val="0"/>
      <w:marBottom w:val="0"/>
      <w:divBdr>
        <w:top w:val="none" w:sz="0" w:space="0" w:color="auto"/>
        <w:left w:val="none" w:sz="0" w:space="0" w:color="auto"/>
        <w:bottom w:val="none" w:sz="0" w:space="0" w:color="auto"/>
        <w:right w:val="none" w:sz="0" w:space="0" w:color="auto"/>
      </w:divBdr>
    </w:div>
    <w:div w:id="803891418">
      <w:bodyDiv w:val="1"/>
      <w:marLeft w:val="0"/>
      <w:marRight w:val="0"/>
      <w:marTop w:val="0"/>
      <w:marBottom w:val="0"/>
      <w:divBdr>
        <w:top w:val="none" w:sz="0" w:space="0" w:color="auto"/>
        <w:left w:val="none" w:sz="0" w:space="0" w:color="auto"/>
        <w:bottom w:val="none" w:sz="0" w:space="0" w:color="auto"/>
        <w:right w:val="none" w:sz="0" w:space="0" w:color="auto"/>
      </w:divBdr>
    </w:div>
    <w:div w:id="806362960">
      <w:bodyDiv w:val="1"/>
      <w:marLeft w:val="0"/>
      <w:marRight w:val="0"/>
      <w:marTop w:val="0"/>
      <w:marBottom w:val="0"/>
      <w:divBdr>
        <w:top w:val="none" w:sz="0" w:space="0" w:color="auto"/>
        <w:left w:val="none" w:sz="0" w:space="0" w:color="auto"/>
        <w:bottom w:val="none" w:sz="0" w:space="0" w:color="auto"/>
        <w:right w:val="none" w:sz="0" w:space="0" w:color="auto"/>
      </w:divBdr>
    </w:div>
    <w:div w:id="915166673">
      <w:bodyDiv w:val="1"/>
      <w:marLeft w:val="0"/>
      <w:marRight w:val="0"/>
      <w:marTop w:val="0"/>
      <w:marBottom w:val="0"/>
      <w:divBdr>
        <w:top w:val="none" w:sz="0" w:space="0" w:color="auto"/>
        <w:left w:val="none" w:sz="0" w:space="0" w:color="auto"/>
        <w:bottom w:val="none" w:sz="0" w:space="0" w:color="auto"/>
        <w:right w:val="none" w:sz="0" w:space="0" w:color="auto"/>
      </w:divBdr>
    </w:div>
    <w:div w:id="1016999184">
      <w:bodyDiv w:val="1"/>
      <w:marLeft w:val="0"/>
      <w:marRight w:val="0"/>
      <w:marTop w:val="0"/>
      <w:marBottom w:val="0"/>
      <w:divBdr>
        <w:top w:val="none" w:sz="0" w:space="0" w:color="auto"/>
        <w:left w:val="none" w:sz="0" w:space="0" w:color="auto"/>
        <w:bottom w:val="none" w:sz="0" w:space="0" w:color="auto"/>
        <w:right w:val="none" w:sz="0" w:space="0" w:color="auto"/>
      </w:divBdr>
    </w:div>
    <w:div w:id="1023173130">
      <w:bodyDiv w:val="1"/>
      <w:marLeft w:val="0"/>
      <w:marRight w:val="0"/>
      <w:marTop w:val="0"/>
      <w:marBottom w:val="0"/>
      <w:divBdr>
        <w:top w:val="none" w:sz="0" w:space="0" w:color="auto"/>
        <w:left w:val="none" w:sz="0" w:space="0" w:color="auto"/>
        <w:bottom w:val="none" w:sz="0" w:space="0" w:color="auto"/>
        <w:right w:val="none" w:sz="0" w:space="0" w:color="auto"/>
      </w:divBdr>
    </w:div>
    <w:div w:id="1033189835">
      <w:bodyDiv w:val="1"/>
      <w:marLeft w:val="0"/>
      <w:marRight w:val="0"/>
      <w:marTop w:val="0"/>
      <w:marBottom w:val="0"/>
      <w:divBdr>
        <w:top w:val="none" w:sz="0" w:space="0" w:color="auto"/>
        <w:left w:val="none" w:sz="0" w:space="0" w:color="auto"/>
        <w:bottom w:val="none" w:sz="0" w:space="0" w:color="auto"/>
        <w:right w:val="none" w:sz="0" w:space="0" w:color="auto"/>
      </w:divBdr>
    </w:div>
    <w:div w:id="1038890689">
      <w:bodyDiv w:val="1"/>
      <w:marLeft w:val="0"/>
      <w:marRight w:val="0"/>
      <w:marTop w:val="0"/>
      <w:marBottom w:val="0"/>
      <w:divBdr>
        <w:top w:val="none" w:sz="0" w:space="0" w:color="auto"/>
        <w:left w:val="none" w:sz="0" w:space="0" w:color="auto"/>
        <w:bottom w:val="none" w:sz="0" w:space="0" w:color="auto"/>
        <w:right w:val="none" w:sz="0" w:space="0" w:color="auto"/>
      </w:divBdr>
    </w:div>
    <w:div w:id="1082487381">
      <w:bodyDiv w:val="1"/>
      <w:marLeft w:val="0"/>
      <w:marRight w:val="0"/>
      <w:marTop w:val="0"/>
      <w:marBottom w:val="0"/>
      <w:divBdr>
        <w:top w:val="none" w:sz="0" w:space="0" w:color="auto"/>
        <w:left w:val="none" w:sz="0" w:space="0" w:color="auto"/>
        <w:bottom w:val="none" w:sz="0" w:space="0" w:color="auto"/>
        <w:right w:val="none" w:sz="0" w:space="0" w:color="auto"/>
      </w:divBdr>
    </w:div>
    <w:div w:id="1114255229">
      <w:bodyDiv w:val="1"/>
      <w:marLeft w:val="0"/>
      <w:marRight w:val="0"/>
      <w:marTop w:val="0"/>
      <w:marBottom w:val="0"/>
      <w:divBdr>
        <w:top w:val="none" w:sz="0" w:space="0" w:color="auto"/>
        <w:left w:val="none" w:sz="0" w:space="0" w:color="auto"/>
        <w:bottom w:val="none" w:sz="0" w:space="0" w:color="auto"/>
        <w:right w:val="none" w:sz="0" w:space="0" w:color="auto"/>
      </w:divBdr>
    </w:div>
    <w:div w:id="1121068717">
      <w:bodyDiv w:val="1"/>
      <w:marLeft w:val="0"/>
      <w:marRight w:val="0"/>
      <w:marTop w:val="0"/>
      <w:marBottom w:val="0"/>
      <w:divBdr>
        <w:top w:val="none" w:sz="0" w:space="0" w:color="auto"/>
        <w:left w:val="none" w:sz="0" w:space="0" w:color="auto"/>
        <w:bottom w:val="none" w:sz="0" w:space="0" w:color="auto"/>
        <w:right w:val="none" w:sz="0" w:space="0" w:color="auto"/>
      </w:divBdr>
    </w:div>
    <w:div w:id="1129710558">
      <w:bodyDiv w:val="1"/>
      <w:marLeft w:val="0"/>
      <w:marRight w:val="0"/>
      <w:marTop w:val="0"/>
      <w:marBottom w:val="0"/>
      <w:divBdr>
        <w:top w:val="none" w:sz="0" w:space="0" w:color="auto"/>
        <w:left w:val="none" w:sz="0" w:space="0" w:color="auto"/>
        <w:bottom w:val="none" w:sz="0" w:space="0" w:color="auto"/>
        <w:right w:val="none" w:sz="0" w:space="0" w:color="auto"/>
      </w:divBdr>
    </w:div>
    <w:div w:id="1134837074">
      <w:bodyDiv w:val="1"/>
      <w:marLeft w:val="0"/>
      <w:marRight w:val="0"/>
      <w:marTop w:val="0"/>
      <w:marBottom w:val="0"/>
      <w:divBdr>
        <w:top w:val="none" w:sz="0" w:space="0" w:color="auto"/>
        <w:left w:val="none" w:sz="0" w:space="0" w:color="auto"/>
        <w:bottom w:val="none" w:sz="0" w:space="0" w:color="auto"/>
        <w:right w:val="none" w:sz="0" w:space="0" w:color="auto"/>
      </w:divBdr>
    </w:div>
    <w:div w:id="11658518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078016">
      <w:bodyDiv w:val="1"/>
      <w:marLeft w:val="0"/>
      <w:marRight w:val="0"/>
      <w:marTop w:val="0"/>
      <w:marBottom w:val="0"/>
      <w:divBdr>
        <w:top w:val="none" w:sz="0" w:space="0" w:color="auto"/>
        <w:left w:val="none" w:sz="0" w:space="0" w:color="auto"/>
        <w:bottom w:val="none" w:sz="0" w:space="0" w:color="auto"/>
        <w:right w:val="none" w:sz="0" w:space="0" w:color="auto"/>
      </w:divBdr>
    </w:div>
    <w:div w:id="1246845249">
      <w:bodyDiv w:val="1"/>
      <w:marLeft w:val="0"/>
      <w:marRight w:val="0"/>
      <w:marTop w:val="0"/>
      <w:marBottom w:val="0"/>
      <w:divBdr>
        <w:top w:val="none" w:sz="0" w:space="0" w:color="auto"/>
        <w:left w:val="none" w:sz="0" w:space="0" w:color="auto"/>
        <w:bottom w:val="none" w:sz="0" w:space="0" w:color="auto"/>
        <w:right w:val="none" w:sz="0" w:space="0" w:color="auto"/>
      </w:divBdr>
    </w:div>
    <w:div w:id="12838821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037814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399360">
      <w:bodyDiv w:val="1"/>
      <w:marLeft w:val="0"/>
      <w:marRight w:val="0"/>
      <w:marTop w:val="0"/>
      <w:marBottom w:val="0"/>
      <w:divBdr>
        <w:top w:val="none" w:sz="0" w:space="0" w:color="auto"/>
        <w:left w:val="none" w:sz="0" w:space="0" w:color="auto"/>
        <w:bottom w:val="none" w:sz="0" w:space="0" w:color="auto"/>
        <w:right w:val="none" w:sz="0" w:space="0" w:color="auto"/>
      </w:divBdr>
    </w:div>
    <w:div w:id="1496338016">
      <w:bodyDiv w:val="1"/>
      <w:marLeft w:val="0"/>
      <w:marRight w:val="0"/>
      <w:marTop w:val="0"/>
      <w:marBottom w:val="0"/>
      <w:divBdr>
        <w:top w:val="none" w:sz="0" w:space="0" w:color="auto"/>
        <w:left w:val="none" w:sz="0" w:space="0" w:color="auto"/>
        <w:bottom w:val="none" w:sz="0" w:space="0" w:color="auto"/>
        <w:right w:val="none" w:sz="0" w:space="0" w:color="auto"/>
      </w:divBdr>
    </w:div>
    <w:div w:id="1506362260">
      <w:bodyDiv w:val="1"/>
      <w:marLeft w:val="0"/>
      <w:marRight w:val="0"/>
      <w:marTop w:val="0"/>
      <w:marBottom w:val="0"/>
      <w:divBdr>
        <w:top w:val="none" w:sz="0" w:space="0" w:color="auto"/>
        <w:left w:val="none" w:sz="0" w:space="0" w:color="auto"/>
        <w:bottom w:val="none" w:sz="0" w:space="0" w:color="auto"/>
        <w:right w:val="none" w:sz="0" w:space="0" w:color="auto"/>
      </w:divBdr>
    </w:div>
    <w:div w:id="154235293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3796862">
      <w:bodyDiv w:val="1"/>
      <w:marLeft w:val="0"/>
      <w:marRight w:val="0"/>
      <w:marTop w:val="0"/>
      <w:marBottom w:val="0"/>
      <w:divBdr>
        <w:top w:val="none" w:sz="0" w:space="0" w:color="auto"/>
        <w:left w:val="none" w:sz="0" w:space="0" w:color="auto"/>
        <w:bottom w:val="none" w:sz="0" w:space="0" w:color="auto"/>
        <w:right w:val="none" w:sz="0" w:space="0" w:color="auto"/>
      </w:divBdr>
    </w:div>
    <w:div w:id="1702514101">
      <w:bodyDiv w:val="1"/>
      <w:marLeft w:val="0"/>
      <w:marRight w:val="0"/>
      <w:marTop w:val="0"/>
      <w:marBottom w:val="0"/>
      <w:divBdr>
        <w:top w:val="none" w:sz="0" w:space="0" w:color="auto"/>
        <w:left w:val="none" w:sz="0" w:space="0" w:color="auto"/>
        <w:bottom w:val="none" w:sz="0" w:space="0" w:color="auto"/>
        <w:right w:val="none" w:sz="0" w:space="0" w:color="auto"/>
      </w:divBdr>
    </w:div>
    <w:div w:id="175088132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355525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3578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7482555">
      <w:bodyDiv w:val="1"/>
      <w:marLeft w:val="0"/>
      <w:marRight w:val="0"/>
      <w:marTop w:val="0"/>
      <w:marBottom w:val="0"/>
      <w:divBdr>
        <w:top w:val="none" w:sz="0" w:space="0" w:color="auto"/>
        <w:left w:val="none" w:sz="0" w:space="0" w:color="auto"/>
        <w:bottom w:val="none" w:sz="0" w:space="0" w:color="auto"/>
        <w:right w:val="none" w:sz="0" w:space="0" w:color="auto"/>
      </w:divBdr>
    </w:div>
    <w:div w:id="208483723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48/0/54/&#1601;&#1582;&#1585;" TargetMode="External"/><Relationship Id="rId3" Type="http://schemas.openxmlformats.org/officeDocument/2006/relationships/hyperlink" Target="http://lib.eshia.ir/71843/10/393/&#1575;&#1604;&#1592;&#1575;&#1607;&#1585;" TargetMode="External"/><Relationship Id="rId7" Type="http://schemas.openxmlformats.org/officeDocument/2006/relationships/hyperlink" Target="http://lib.eshia.ir/71538/1/225/&#1575;&#1578;&#1601;&#1602;&#1575;" TargetMode="External"/><Relationship Id="rId2" Type="http://schemas.openxmlformats.org/officeDocument/2006/relationships/hyperlink" Target="http://lib.eshia.ir/21003/2/297/1442" TargetMode="External"/><Relationship Id="rId1" Type="http://schemas.openxmlformats.org/officeDocument/2006/relationships/hyperlink" Target="http://lib.eshia.ir/86915/2/315/&#1576;&#1575;&#1604;&#1581;&#1740;&#1590;" TargetMode="External"/><Relationship Id="rId6" Type="http://schemas.openxmlformats.org/officeDocument/2006/relationships/hyperlink" Target="http://lib.eshia.ir/10036/5/79/&#1601;&#1575;&#1604;&#1602;&#1608;&#1604;" TargetMode="External"/><Relationship Id="rId5" Type="http://schemas.openxmlformats.org/officeDocument/2006/relationships/hyperlink" Target="http://lib.eshia.ir/10081/2/193/1" TargetMode="External"/><Relationship Id="rId4" Type="http://schemas.openxmlformats.org/officeDocument/2006/relationships/hyperlink" Target="http://lib.eshia.ir/10632/1/395/1444" TargetMode="External"/><Relationship Id="rId9" Type="http://schemas.openxmlformats.org/officeDocument/2006/relationships/hyperlink" Target="http://lib.eshia.ir/10081/1/11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54B7-DEDE-4CB9-BA6F-2C81E747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1264</Words>
  <Characters>7208</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2020-01-22T12:00:00Z</cp:lastPrinted>
  <dcterms:created xsi:type="dcterms:W3CDTF">2020-01-22T12:00:00Z</dcterms:created>
  <dcterms:modified xsi:type="dcterms:W3CDTF">2020-01-28T11:50:00Z</dcterms:modified>
  <cp:contentStatus>ویرایش 2.5</cp:contentStatus>
  <cp:version>2.7</cp:version>
</cp:coreProperties>
</file>