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A0" w:rsidRDefault="00684CA0" w:rsidP="00684CA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84CA0" w:rsidRPr="00825F78" w:rsidRDefault="00684CA0" w:rsidP="00684CA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19</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10</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 xml:space="preserve">قبول قول زن در عده/مسائل مرتبط با </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bookmarkStart w:id="0" w:name="_GoBack"/>
      <w:bookmarkEnd w:id="0"/>
    </w:p>
    <w:p w:rsidR="008F5B4D" w:rsidRPr="009C66D5" w:rsidRDefault="008F5B4D" w:rsidP="008F5B4D">
      <w:pPr>
        <w:rPr>
          <w:rStyle w:val="Emphasis"/>
          <w:b/>
          <w:bCs w:val="0"/>
          <w:rtl/>
        </w:rPr>
      </w:pPr>
      <w:r w:rsidRPr="009C66D5">
        <w:rPr>
          <w:rStyle w:val="Emphasis"/>
          <w:rFonts w:hint="cs"/>
          <w:b/>
          <w:bCs w:val="0"/>
          <w:rtl/>
        </w:rPr>
        <w:t>خلاصه</w:t>
      </w:r>
      <w:r w:rsidR="008D3ABB">
        <w:rPr>
          <w:rStyle w:val="Emphasis"/>
          <w:rFonts w:hint="cs"/>
          <w:b/>
          <w:bCs w:val="0"/>
          <w:rtl/>
        </w:rPr>
        <w:t>‌ی</w:t>
      </w:r>
      <w:r w:rsidRPr="009C66D5">
        <w:rPr>
          <w:rStyle w:val="Emphasis"/>
          <w:rFonts w:hint="cs"/>
          <w:b/>
          <w:bCs w:val="0"/>
          <w:rtl/>
        </w:rPr>
        <w:t xml:space="preserve"> مباحث گذشته:</w:t>
      </w:r>
    </w:p>
    <w:p w:rsidR="003A6148" w:rsidRDefault="00B86C94" w:rsidP="0005395B">
      <w:pPr>
        <w:pBdr>
          <w:bottom w:val="double" w:sz="6" w:space="1" w:color="auto"/>
        </w:pBdr>
        <w:jc w:val="both"/>
        <w:rPr>
          <w:rtl/>
        </w:rPr>
      </w:pPr>
      <w:r>
        <w:rPr>
          <w:rFonts w:hint="cs"/>
          <w:rtl/>
        </w:rPr>
        <w:t>بحث در مساله‌ی بیستم تکمله‌ی عروه بود.</w:t>
      </w:r>
    </w:p>
    <w:p w:rsidR="00B86C94" w:rsidRDefault="00B86C94" w:rsidP="003054F7">
      <w:pPr>
        <w:pBdr>
          <w:bottom w:val="double" w:sz="6" w:space="1" w:color="auto"/>
        </w:pBdr>
        <w:jc w:val="both"/>
        <w:rPr>
          <w:rtl/>
        </w:rPr>
      </w:pPr>
      <w:r>
        <w:rPr>
          <w:rFonts w:hint="cs"/>
          <w:rtl/>
        </w:rPr>
        <w:t>شیخ طوسی در جایی که تاریخ وضع حمل مشخص است و نزاع در تاریخ طلاق می باشد، قول مرد را مقدم دانست</w:t>
      </w:r>
      <w:r w:rsidR="0091439C">
        <w:rPr>
          <w:rFonts w:hint="cs"/>
          <w:rtl/>
        </w:rPr>
        <w:t>؛ زیرا طلاق فعل مرد است</w:t>
      </w:r>
      <w:r w:rsidR="003054F7">
        <w:rPr>
          <w:rFonts w:hint="cs"/>
          <w:rtl/>
        </w:rPr>
        <w:t xml:space="preserve"> و همان طور که قول مرد در اصل طلاق پذیرفته می شود، </w:t>
      </w:r>
      <w:r w:rsidR="00DA145F">
        <w:rPr>
          <w:rFonts w:hint="cs"/>
          <w:rtl/>
        </w:rPr>
        <w:t xml:space="preserve">ادعایش </w:t>
      </w:r>
      <w:r w:rsidR="003054F7">
        <w:rPr>
          <w:rFonts w:hint="cs"/>
          <w:rtl/>
        </w:rPr>
        <w:t>در زمان طلاق هم تصدیق می شود</w:t>
      </w:r>
      <w:r>
        <w:rPr>
          <w:rFonts w:hint="cs"/>
          <w:rtl/>
        </w:rPr>
        <w:t xml:space="preserve"> و بین ادعای تقدم یا تاخر تاریخ طلاق بر وضع حمل </w:t>
      </w:r>
      <w:r w:rsidR="00F256EB">
        <w:rPr>
          <w:rFonts w:hint="cs"/>
          <w:rtl/>
        </w:rPr>
        <w:t xml:space="preserve">هم </w:t>
      </w:r>
      <w:r>
        <w:rPr>
          <w:rFonts w:hint="cs"/>
          <w:rtl/>
        </w:rPr>
        <w:t>فرقی قائل نشد.</w:t>
      </w:r>
    </w:p>
    <w:p w:rsidR="00247D2F" w:rsidRDefault="00AA1CBA" w:rsidP="004925BF">
      <w:pPr>
        <w:pBdr>
          <w:bottom w:val="double" w:sz="6" w:space="1" w:color="auto"/>
        </w:pBdr>
        <w:jc w:val="both"/>
        <w:rPr>
          <w:rtl/>
        </w:rPr>
      </w:pPr>
      <w:r>
        <w:rPr>
          <w:rFonts w:hint="cs"/>
          <w:rtl/>
        </w:rPr>
        <w:t>مرحوم سید می فرماید: دلیلی نداریم که قول ذوالفعل را حتی در مقام دعوا هم مقدم کنیم</w:t>
      </w:r>
      <w:r w:rsidR="00647D30">
        <w:rPr>
          <w:rFonts w:hint="cs"/>
          <w:rtl/>
        </w:rPr>
        <w:t xml:space="preserve"> بلکه </w:t>
      </w:r>
      <w:r w:rsidR="004925BF">
        <w:rPr>
          <w:rFonts w:hint="cs"/>
          <w:rtl/>
        </w:rPr>
        <w:t xml:space="preserve">قولش </w:t>
      </w:r>
      <w:r w:rsidR="00647D30">
        <w:rPr>
          <w:rFonts w:hint="cs"/>
          <w:rtl/>
        </w:rPr>
        <w:t>در غیر مقام دعوا پذیرفته می شود.</w:t>
      </w:r>
    </w:p>
    <w:p w:rsidR="00DD30EE" w:rsidRPr="003A6148" w:rsidRDefault="00DD30EE" w:rsidP="00AA1CBA">
      <w:pPr>
        <w:pBdr>
          <w:bottom w:val="double" w:sz="6" w:space="1" w:color="auto"/>
        </w:pBdr>
        <w:jc w:val="both"/>
      </w:pPr>
    </w:p>
    <w:p w:rsidR="008F5B4D" w:rsidRDefault="008F5B4D" w:rsidP="0005395B">
      <w:pPr>
        <w:jc w:val="both"/>
      </w:pPr>
    </w:p>
    <w:p w:rsidR="00DD30EE" w:rsidRDefault="00DD30EE" w:rsidP="00DD30EE">
      <w:pPr>
        <w:pStyle w:val="Heading1"/>
        <w:rPr>
          <w:rtl/>
        </w:rPr>
      </w:pPr>
      <w:bookmarkStart w:id="1" w:name="_Toc29782341"/>
      <w:bookmarkStart w:id="2" w:name="_Toc29865637"/>
      <w:r>
        <w:rPr>
          <w:rFonts w:hint="cs"/>
          <w:rtl/>
        </w:rPr>
        <w:t>وجه تقدیم قول ذوالفعل</w:t>
      </w:r>
      <w:bookmarkEnd w:id="1"/>
      <w:bookmarkEnd w:id="2"/>
    </w:p>
    <w:p w:rsidR="003E6650" w:rsidRPr="001A27D7" w:rsidRDefault="00E52D07" w:rsidP="00AC66DC">
      <w:pPr>
        <w:jc w:val="both"/>
        <w:rPr>
          <w:rtl/>
        </w:rPr>
      </w:pPr>
      <w:r>
        <w:rPr>
          <w:rFonts w:hint="cs"/>
          <w:rtl/>
        </w:rPr>
        <w:t xml:space="preserve"> </w:t>
      </w:r>
      <w:r w:rsidR="00DD30EE">
        <w:rPr>
          <w:rFonts w:hint="cs"/>
          <w:rtl/>
        </w:rPr>
        <w:t xml:space="preserve">ممکن است قول ذوالفعل را از مصادیق </w:t>
      </w:r>
      <w:r w:rsidR="00F97B8D">
        <w:rPr>
          <w:rFonts w:hint="cs"/>
          <w:rtl/>
        </w:rPr>
        <w:t>بحث إ</w:t>
      </w:r>
      <w:r w:rsidR="00DD30EE">
        <w:rPr>
          <w:rFonts w:hint="cs"/>
          <w:rtl/>
        </w:rPr>
        <w:t>خبار ذوالید به «م</w:t>
      </w:r>
      <w:r w:rsidR="00F97B8D">
        <w:rPr>
          <w:rFonts w:hint="cs"/>
          <w:rtl/>
        </w:rPr>
        <w:t>ا فی الید» بدانیم، همان طور که إ</w:t>
      </w:r>
      <w:r w:rsidR="00DD30EE">
        <w:rPr>
          <w:rFonts w:hint="cs"/>
          <w:rtl/>
        </w:rPr>
        <w:t>خبار ذوالید نس</w:t>
      </w:r>
      <w:r w:rsidR="00F97B8D">
        <w:rPr>
          <w:rFonts w:hint="cs"/>
          <w:rtl/>
        </w:rPr>
        <w:t>بت به «ما فی الید» حجت است، إ</w:t>
      </w:r>
      <w:r w:rsidR="00DD30EE">
        <w:rPr>
          <w:rFonts w:hint="cs"/>
          <w:rtl/>
        </w:rPr>
        <w:t>خبار</w:t>
      </w:r>
      <w:r w:rsidR="00AC66DC">
        <w:rPr>
          <w:rFonts w:hint="cs"/>
          <w:rtl/>
        </w:rPr>
        <w:t xml:space="preserve"> او</w:t>
      </w:r>
      <w:r w:rsidR="00DD30EE">
        <w:rPr>
          <w:rFonts w:hint="cs"/>
          <w:rtl/>
        </w:rPr>
        <w:t xml:space="preserve"> از فعلش هم معتبر است.</w:t>
      </w:r>
    </w:p>
    <w:p w:rsidR="001A1EA5" w:rsidRDefault="008830D4" w:rsidP="008830D4">
      <w:pPr>
        <w:pStyle w:val="Heading2"/>
        <w:rPr>
          <w:rtl/>
        </w:rPr>
      </w:pPr>
      <w:bookmarkStart w:id="3" w:name="_Toc29782342"/>
      <w:bookmarkStart w:id="4" w:name="_Toc29865638"/>
      <w:r>
        <w:rPr>
          <w:rFonts w:hint="cs"/>
          <w:rtl/>
        </w:rPr>
        <w:t xml:space="preserve">کلام مرحوم بجنوردی در </w:t>
      </w:r>
      <w:r w:rsidR="00171323">
        <w:rPr>
          <w:rFonts w:hint="cs"/>
          <w:rtl/>
        </w:rPr>
        <w:t>ال</w:t>
      </w:r>
      <w:r w:rsidR="00027949">
        <w:rPr>
          <w:rFonts w:hint="cs"/>
          <w:rtl/>
        </w:rPr>
        <w:t xml:space="preserve">قواعد </w:t>
      </w:r>
      <w:r w:rsidR="00171323">
        <w:rPr>
          <w:rFonts w:hint="cs"/>
          <w:rtl/>
        </w:rPr>
        <w:t>ال</w:t>
      </w:r>
      <w:r w:rsidR="00027949">
        <w:rPr>
          <w:rFonts w:hint="cs"/>
          <w:rtl/>
        </w:rPr>
        <w:t>فقهیه</w:t>
      </w:r>
      <w:bookmarkEnd w:id="3"/>
      <w:bookmarkEnd w:id="4"/>
      <w:r w:rsidR="00027949">
        <w:rPr>
          <w:rFonts w:hint="cs"/>
          <w:rtl/>
        </w:rPr>
        <w:t xml:space="preserve"> </w:t>
      </w:r>
    </w:p>
    <w:p w:rsidR="0005395B" w:rsidRDefault="00027949" w:rsidP="009F6D21">
      <w:pPr>
        <w:jc w:val="both"/>
        <w:rPr>
          <w:rtl/>
        </w:rPr>
      </w:pPr>
      <w:r>
        <w:rPr>
          <w:rFonts w:hint="cs"/>
          <w:rtl/>
        </w:rPr>
        <w:t xml:space="preserve">مرحوم بجنوردی در </w:t>
      </w:r>
      <w:r w:rsidR="00171323">
        <w:rPr>
          <w:rFonts w:hint="cs"/>
          <w:rtl/>
        </w:rPr>
        <w:t>ال</w:t>
      </w:r>
      <w:r>
        <w:rPr>
          <w:rFonts w:hint="cs"/>
          <w:rtl/>
        </w:rPr>
        <w:t xml:space="preserve">قواعد </w:t>
      </w:r>
      <w:r w:rsidR="00171323">
        <w:rPr>
          <w:rFonts w:hint="cs"/>
          <w:rtl/>
        </w:rPr>
        <w:t>ال</w:t>
      </w:r>
      <w:r>
        <w:rPr>
          <w:rFonts w:hint="cs"/>
          <w:rtl/>
        </w:rPr>
        <w:t xml:space="preserve">فقهیه ذیل قاعده‌ی ید </w:t>
      </w:r>
      <w:r w:rsidR="003D1FBC">
        <w:rPr>
          <w:rFonts w:hint="cs"/>
          <w:rtl/>
        </w:rPr>
        <w:t xml:space="preserve">این بحث را </w:t>
      </w:r>
      <w:r>
        <w:rPr>
          <w:rFonts w:hint="cs"/>
          <w:rtl/>
        </w:rPr>
        <w:t>مطرح کرده است</w:t>
      </w:r>
      <w:r w:rsidR="003D1FBC">
        <w:rPr>
          <w:rFonts w:hint="cs"/>
          <w:rtl/>
        </w:rPr>
        <w:t xml:space="preserve"> که قول ذوالید نسبت به طهارت و نجاست آن چه در دستش می باشد، معتبر است</w:t>
      </w:r>
      <w:r w:rsidR="00516FAD">
        <w:rPr>
          <w:rFonts w:hint="cs"/>
          <w:rtl/>
        </w:rPr>
        <w:t>، سپس روایاتی را مطرح کرده و ذیل آن روایات و روایات معارضش</w:t>
      </w:r>
      <w:r w:rsidR="00162999">
        <w:rPr>
          <w:rFonts w:hint="cs"/>
          <w:rtl/>
        </w:rPr>
        <w:t>،</w:t>
      </w:r>
      <w:r w:rsidR="00516FAD">
        <w:rPr>
          <w:rFonts w:hint="cs"/>
          <w:rtl/>
        </w:rPr>
        <w:t xml:space="preserve"> بحث را ادامه داده </w:t>
      </w:r>
      <w:r w:rsidR="00516FAD">
        <w:rPr>
          <w:rFonts w:hint="cs"/>
          <w:rtl/>
        </w:rPr>
        <w:lastRenderedPageBreak/>
        <w:t>است. ضمن بحث از یکی از روایات</w:t>
      </w:r>
      <w:r w:rsidR="009F6D21">
        <w:rPr>
          <w:rFonts w:hint="cs"/>
          <w:rtl/>
        </w:rPr>
        <w:t>،</w:t>
      </w:r>
      <w:r w:rsidR="00516FAD">
        <w:rPr>
          <w:rFonts w:hint="cs"/>
          <w:rtl/>
        </w:rPr>
        <w:t xml:space="preserve"> این مساله </w:t>
      </w:r>
      <w:r w:rsidR="009F6D21">
        <w:rPr>
          <w:rFonts w:hint="cs"/>
          <w:rtl/>
        </w:rPr>
        <w:t xml:space="preserve">را </w:t>
      </w:r>
      <w:r w:rsidR="00516FAD">
        <w:rPr>
          <w:rFonts w:hint="cs"/>
          <w:rtl/>
        </w:rPr>
        <w:t xml:space="preserve">مطرح می </w:t>
      </w:r>
      <w:r w:rsidR="009F6D21">
        <w:rPr>
          <w:rFonts w:hint="cs"/>
          <w:rtl/>
        </w:rPr>
        <w:t>کند</w:t>
      </w:r>
      <w:r w:rsidR="00516FAD">
        <w:rPr>
          <w:rFonts w:hint="cs"/>
          <w:rtl/>
        </w:rPr>
        <w:t xml:space="preserve"> که کسی که عصیر عنبی در دست دارد و ادعا می کند که </w:t>
      </w:r>
      <w:r w:rsidR="008C2132">
        <w:rPr>
          <w:rFonts w:hint="cs"/>
          <w:rtl/>
        </w:rPr>
        <w:t xml:space="preserve">کمتر از </w:t>
      </w:r>
      <w:r w:rsidR="00516FAD">
        <w:rPr>
          <w:rFonts w:hint="cs"/>
          <w:rtl/>
        </w:rPr>
        <w:t>ثلث شده است</w:t>
      </w:r>
      <w:r w:rsidR="00717FE7">
        <w:rPr>
          <w:rFonts w:hint="cs"/>
          <w:rtl/>
        </w:rPr>
        <w:t>، آیا قولش معتبر است؟</w:t>
      </w:r>
    </w:p>
    <w:p w:rsidR="0005395B" w:rsidRDefault="00027949" w:rsidP="006B51F0">
      <w:pPr>
        <w:jc w:val="both"/>
        <w:rPr>
          <w:rtl/>
        </w:rPr>
      </w:pPr>
      <w:r>
        <w:rPr>
          <w:rFonts w:hint="cs"/>
          <w:rtl/>
        </w:rPr>
        <w:t xml:space="preserve"> </w:t>
      </w:r>
      <w:r w:rsidR="006B51F0">
        <w:rPr>
          <w:rFonts w:hint="cs"/>
          <w:rtl/>
        </w:rPr>
        <w:t>اما مرحوم بجنوردی در مورد حجیت إخبار ذوالید نسبت به اوصافی که مربوط به «ما فی الید» می باشد، به جز موارد طهارت و نجاست و حلیت بحث نکرده است.</w:t>
      </w:r>
    </w:p>
    <w:p w:rsidR="0005395B" w:rsidRDefault="00996CDA" w:rsidP="0005395B">
      <w:pPr>
        <w:jc w:val="both"/>
        <w:rPr>
          <w:rtl/>
        </w:rPr>
      </w:pPr>
      <w:r>
        <w:rPr>
          <w:rFonts w:hint="cs"/>
          <w:rtl/>
        </w:rPr>
        <w:t>در مورد طهارت و نجاست و حلیت تکیه‌ی ا</w:t>
      </w:r>
      <w:r w:rsidR="004E5C8C">
        <w:rPr>
          <w:rFonts w:hint="cs"/>
          <w:rtl/>
        </w:rPr>
        <w:t>صلی مرحوم بجنوردی به روایات است که</w:t>
      </w:r>
      <w:r w:rsidR="00B03586">
        <w:rPr>
          <w:rFonts w:hint="cs"/>
          <w:rtl/>
        </w:rPr>
        <w:t xml:space="preserve"> این روایات در غیر موارد خودش دلالتی ندارد.</w:t>
      </w:r>
    </w:p>
    <w:p w:rsidR="0005395B" w:rsidRDefault="009E7B71" w:rsidP="00E354B8">
      <w:pPr>
        <w:jc w:val="both"/>
        <w:rPr>
          <w:rtl/>
        </w:rPr>
      </w:pPr>
      <w:r>
        <w:rPr>
          <w:rFonts w:hint="cs"/>
          <w:rtl/>
        </w:rPr>
        <w:t>اگر سیره‌ی عقلا در مورد پذیرش قول ذوالید نسبت به «ما فی الید» وجود داشته باشد</w:t>
      </w:r>
      <w:r w:rsidR="003255DB">
        <w:rPr>
          <w:rFonts w:hint="cs"/>
          <w:rtl/>
        </w:rPr>
        <w:t xml:space="preserve">، این سیره به اعتبار سلطه‌ی تشریعی بر «ذوالید» نیست بلکه همین مقدار که </w:t>
      </w:r>
      <w:r w:rsidR="005F3EF9">
        <w:rPr>
          <w:rFonts w:hint="cs"/>
          <w:rtl/>
        </w:rPr>
        <w:t xml:space="preserve">شخص </w:t>
      </w:r>
      <w:r w:rsidR="003255DB">
        <w:rPr>
          <w:rFonts w:hint="cs"/>
          <w:rtl/>
        </w:rPr>
        <w:t>سلطه‌ی تکوینی نسبت به آن دارد، کفایت می کند و فعل هم</w:t>
      </w:r>
      <w:r w:rsidR="00E354B8">
        <w:rPr>
          <w:rFonts w:hint="cs"/>
          <w:rtl/>
        </w:rPr>
        <w:t xml:space="preserve"> در سلطه‌ی تکوینی انسان می باشد،</w:t>
      </w:r>
      <w:r w:rsidR="006A56D7">
        <w:rPr>
          <w:rFonts w:hint="cs"/>
          <w:rtl/>
        </w:rPr>
        <w:t xml:space="preserve"> بنابراین إ</w:t>
      </w:r>
      <w:r w:rsidR="003255DB">
        <w:rPr>
          <w:rFonts w:hint="cs"/>
          <w:rtl/>
        </w:rPr>
        <w:t>خبار انسان نسبت به فعلش حجت است.</w:t>
      </w:r>
    </w:p>
    <w:p w:rsidR="009315E3" w:rsidRDefault="009315E3" w:rsidP="00983AF3">
      <w:pPr>
        <w:pStyle w:val="Heading1"/>
        <w:rPr>
          <w:rtl/>
        </w:rPr>
      </w:pPr>
      <w:bookmarkStart w:id="5" w:name="_Toc29782343"/>
      <w:bookmarkStart w:id="6" w:name="_Toc29865639"/>
      <w:r>
        <w:rPr>
          <w:rFonts w:hint="cs"/>
          <w:rtl/>
        </w:rPr>
        <w:t>تفاوت حجیت «قول ذوالید نسبت به فعلش» با حجیت «قول ما لا یعلم الا من قبله»</w:t>
      </w:r>
      <w:bookmarkEnd w:id="5"/>
      <w:bookmarkEnd w:id="6"/>
    </w:p>
    <w:p w:rsidR="0005395B" w:rsidRDefault="00D64FE5" w:rsidP="00445CF3">
      <w:pPr>
        <w:jc w:val="both"/>
        <w:rPr>
          <w:rtl/>
        </w:rPr>
      </w:pPr>
      <w:r>
        <w:rPr>
          <w:rFonts w:hint="cs"/>
          <w:rtl/>
        </w:rPr>
        <w:t>نکته‌ی حجیت قول ذوالفعل نسبت به فعلش غیر از بحث «</w:t>
      </w:r>
      <w:r w:rsidR="00E7090C">
        <w:rPr>
          <w:rFonts w:hint="cs"/>
          <w:rtl/>
        </w:rPr>
        <w:t xml:space="preserve">ما </w:t>
      </w:r>
      <w:r w:rsidR="00445CF3">
        <w:rPr>
          <w:rFonts w:hint="cs"/>
          <w:rtl/>
        </w:rPr>
        <w:t>لا یعلم الا من قبله» می باشد، «ما لا یعلم الا من قبله» در موارد تعذر یا تعسر اقامه‌ی بینه می باشد.</w:t>
      </w:r>
    </w:p>
    <w:p w:rsidR="005E265B" w:rsidRDefault="00D64FE5" w:rsidP="00445CF3">
      <w:pPr>
        <w:jc w:val="both"/>
        <w:rPr>
          <w:rtl/>
        </w:rPr>
      </w:pPr>
      <w:r>
        <w:rPr>
          <w:rFonts w:hint="cs"/>
          <w:rtl/>
        </w:rPr>
        <w:t>در عبارات بعضی فقها چنین آمده است که چون مخبر</w:t>
      </w:r>
      <w:r w:rsidR="00445CF3">
        <w:rPr>
          <w:rFonts w:hint="cs"/>
          <w:rtl/>
        </w:rPr>
        <w:t xml:space="preserve"> ( ذوالفعل)</w:t>
      </w:r>
      <w:r>
        <w:rPr>
          <w:rFonts w:hint="cs"/>
          <w:rtl/>
        </w:rPr>
        <w:t xml:space="preserve"> نسبت به این موضوع ابصر می باشد، قولش پذیرفته می شود. </w:t>
      </w:r>
      <w:r w:rsidR="00AB6C63">
        <w:rPr>
          <w:rFonts w:hint="cs"/>
          <w:rtl/>
        </w:rPr>
        <w:t>بحث در إ</w:t>
      </w:r>
      <w:r w:rsidR="005E265B">
        <w:rPr>
          <w:rFonts w:hint="cs"/>
          <w:rtl/>
        </w:rPr>
        <w:t>خبار ذوالفعل در جایی نیست که ذوالفعل عدالت یا وثاقتش ثابت شده باشد بلکه بحث اعم از این موارد است که شامل افراد مشکوک الفسق</w:t>
      </w:r>
      <w:r w:rsidR="00BE49A5">
        <w:rPr>
          <w:rFonts w:hint="cs"/>
          <w:rtl/>
        </w:rPr>
        <w:t xml:space="preserve"> یا معلوم الفسق هم می شود، با توجه به این مطلب ابصر بودن منافاتی با دروغ گفتن شخص ندارد.</w:t>
      </w:r>
    </w:p>
    <w:p w:rsidR="0005395B" w:rsidRDefault="00812465" w:rsidP="0005395B">
      <w:pPr>
        <w:jc w:val="both"/>
        <w:rPr>
          <w:rtl/>
        </w:rPr>
      </w:pPr>
      <w:r>
        <w:rPr>
          <w:rFonts w:hint="cs"/>
          <w:rtl/>
        </w:rPr>
        <w:t>همچنین ابصر بودن</w:t>
      </w:r>
      <w:r w:rsidR="00983AF3">
        <w:rPr>
          <w:rFonts w:hint="cs"/>
          <w:rtl/>
        </w:rPr>
        <w:t xml:space="preserve"> منافاتی با اقامه‌ی بینه ندارد؛ در نتیجه</w:t>
      </w:r>
      <w:r>
        <w:rPr>
          <w:rFonts w:hint="cs"/>
          <w:rtl/>
        </w:rPr>
        <w:t xml:space="preserve"> قول بینه در این موارد حجت است.</w:t>
      </w:r>
    </w:p>
    <w:p w:rsidR="003E79CA" w:rsidRDefault="003E79CA" w:rsidP="003E79CA">
      <w:pPr>
        <w:pStyle w:val="Heading1"/>
        <w:rPr>
          <w:rtl/>
        </w:rPr>
      </w:pPr>
      <w:bookmarkStart w:id="7" w:name="_Toc29782344"/>
      <w:bookmarkStart w:id="8" w:name="_Toc29865640"/>
      <w:r>
        <w:rPr>
          <w:rFonts w:hint="cs"/>
          <w:rtl/>
        </w:rPr>
        <w:t>تفصیل در موارد «ما لا یعلم الا من قبله»</w:t>
      </w:r>
      <w:bookmarkEnd w:id="7"/>
      <w:bookmarkEnd w:id="8"/>
    </w:p>
    <w:p w:rsidR="00B73576" w:rsidRDefault="007712EC" w:rsidP="00A72B3A">
      <w:pPr>
        <w:jc w:val="both"/>
        <w:rPr>
          <w:rtl/>
        </w:rPr>
      </w:pPr>
      <w:r>
        <w:rPr>
          <w:rFonts w:hint="cs"/>
          <w:rtl/>
        </w:rPr>
        <w:t xml:space="preserve">«ما لا یعلم الا من قبله» گاهی در مقام تنازع یا رسیدن به حقی می باشد که قاعده‌ی عدل و انصاف اقتضا می کند شارع راهی برای اثبات ادعای شخص قرار داده باشد، مثلا زنی ادعا می کند که </w:t>
      </w:r>
      <w:r w:rsidR="005D23C1">
        <w:rPr>
          <w:rFonts w:hint="cs"/>
          <w:rtl/>
        </w:rPr>
        <w:t>در ایام عده</w:t>
      </w:r>
      <w:r>
        <w:rPr>
          <w:rFonts w:hint="cs"/>
          <w:rtl/>
        </w:rPr>
        <w:t xml:space="preserve"> می باشد و مرد باید نفقه‌ی او را بدهد، شوهر </w:t>
      </w:r>
      <w:r>
        <w:rPr>
          <w:rFonts w:hint="cs"/>
          <w:rtl/>
        </w:rPr>
        <w:lastRenderedPageBreak/>
        <w:t xml:space="preserve">هم تابع حکم شرعی است و دعوا و نزاعی ندارد، در چنین مواردی که شبه تنازع است و در واقع تنازعی نیست که شوهر زن </w:t>
      </w:r>
      <w:r w:rsidR="00A72B3A">
        <w:rPr>
          <w:rFonts w:hint="cs"/>
          <w:rtl/>
        </w:rPr>
        <w:t>را تکذیب کند،</w:t>
      </w:r>
      <w:r>
        <w:rPr>
          <w:rFonts w:hint="cs"/>
          <w:rtl/>
        </w:rPr>
        <w:t xml:space="preserve"> </w:t>
      </w:r>
      <w:r w:rsidR="005D23C1">
        <w:rPr>
          <w:rFonts w:hint="cs"/>
          <w:rtl/>
        </w:rPr>
        <w:t xml:space="preserve">( </w:t>
      </w:r>
      <w:r>
        <w:rPr>
          <w:rFonts w:hint="cs"/>
          <w:rtl/>
        </w:rPr>
        <w:t>گرچه زن را تصدیق</w:t>
      </w:r>
      <w:r w:rsidR="00A72B3A">
        <w:rPr>
          <w:rFonts w:hint="cs"/>
          <w:rtl/>
        </w:rPr>
        <w:t xml:space="preserve"> هم</w:t>
      </w:r>
      <w:r>
        <w:rPr>
          <w:rFonts w:hint="cs"/>
          <w:rtl/>
        </w:rPr>
        <w:t xml:space="preserve"> نمی کند</w:t>
      </w:r>
      <w:r w:rsidR="005D23C1">
        <w:rPr>
          <w:rFonts w:hint="cs"/>
          <w:rtl/>
        </w:rPr>
        <w:t xml:space="preserve">) قول زن </w:t>
      </w:r>
      <w:r w:rsidR="003E79CA">
        <w:rPr>
          <w:rFonts w:hint="cs"/>
          <w:rtl/>
        </w:rPr>
        <w:t xml:space="preserve">با قسم </w:t>
      </w:r>
      <w:r w:rsidR="005D23C1">
        <w:rPr>
          <w:rFonts w:hint="cs"/>
          <w:rtl/>
        </w:rPr>
        <w:t>معتبر است</w:t>
      </w:r>
      <w:r w:rsidR="006C1414">
        <w:rPr>
          <w:rFonts w:hint="cs"/>
          <w:rtl/>
        </w:rPr>
        <w:t>.</w:t>
      </w:r>
    </w:p>
    <w:p w:rsidR="006C1414" w:rsidRDefault="006C1414" w:rsidP="00A72B3A">
      <w:pPr>
        <w:jc w:val="both"/>
        <w:rPr>
          <w:rtl/>
        </w:rPr>
      </w:pPr>
      <w:r>
        <w:rPr>
          <w:rFonts w:hint="cs"/>
          <w:rtl/>
        </w:rPr>
        <w:t>اما گاه</w:t>
      </w:r>
      <w:r w:rsidR="00162999">
        <w:rPr>
          <w:rFonts w:hint="cs"/>
          <w:rtl/>
        </w:rPr>
        <w:t>ی ادعای شخص برای اثبات حقی نیست</w:t>
      </w:r>
      <w:r w:rsidR="008E5D02">
        <w:rPr>
          <w:rFonts w:hint="cs"/>
          <w:rtl/>
        </w:rPr>
        <w:t>؛</w:t>
      </w:r>
      <w:r>
        <w:rPr>
          <w:rFonts w:hint="cs"/>
          <w:rtl/>
        </w:rPr>
        <w:t xml:space="preserve"> مثلا شخصی از دنیا رفته است و شخص دیگر ادعا می کند که نماز می</w:t>
      </w:r>
      <w:r w:rsidR="00C7119A">
        <w:rPr>
          <w:rFonts w:hint="cs"/>
          <w:rtl/>
        </w:rPr>
        <w:t>ت او را خوانده است، در چنین مواردی آیا دیگران می توانند به إخبار شخص اعتماد کنند و شارع قول این شخص را به خاطر این که «لا یعلم الا من قبله» می باشد، حجت کرده است؟</w:t>
      </w:r>
    </w:p>
    <w:p w:rsidR="007632F8" w:rsidRDefault="007632F8" w:rsidP="00A72B3A">
      <w:pPr>
        <w:jc w:val="both"/>
        <w:rPr>
          <w:rtl/>
        </w:rPr>
      </w:pPr>
      <w:r>
        <w:rPr>
          <w:rFonts w:hint="cs"/>
          <w:rtl/>
        </w:rPr>
        <w:t>اگر در چنین مواردی داعی بر کذب تصور نشود، به قول شخص اطمینان حاصل می شود، اما بحث ما در جایی است که داعی بر کذب تصور می شود، مثلا در مورد شخصی که ادعا می کند نماز میت را خوانده است</w:t>
      </w:r>
      <w:r w:rsidR="00103545">
        <w:rPr>
          <w:rFonts w:hint="cs"/>
          <w:rtl/>
        </w:rPr>
        <w:t xml:space="preserve"> احتمال می دهیم که کاری دارد و می خواهد تشییع جنازه زودتر انجام شود</w:t>
      </w:r>
      <w:r w:rsidR="00196A74">
        <w:rPr>
          <w:rFonts w:hint="cs"/>
          <w:rtl/>
        </w:rPr>
        <w:t xml:space="preserve"> یا می خواهد منت بگذارد که «نماز پدرتان را من خواندم»</w:t>
      </w:r>
      <w:r w:rsidR="00AD17C1">
        <w:rPr>
          <w:rFonts w:hint="cs"/>
          <w:rtl/>
        </w:rPr>
        <w:t>، در چنین مواردی وجهی برای پذیرش قول این شخص نداریم.</w:t>
      </w:r>
    </w:p>
    <w:p w:rsidR="00D85D9C" w:rsidRDefault="00D85D9C" w:rsidP="00A72B3A">
      <w:pPr>
        <w:jc w:val="both"/>
        <w:rPr>
          <w:rtl/>
        </w:rPr>
      </w:pPr>
      <w:r>
        <w:rPr>
          <w:rFonts w:hint="cs"/>
          <w:rtl/>
        </w:rPr>
        <w:t>البته اگر شخصی نماز خوانده باشد اما نمی دانیم صحیح خوانده است</w:t>
      </w:r>
      <w:r w:rsidR="008E5D02">
        <w:rPr>
          <w:rFonts w:hint="cs"/>
          <w:rtl/>
        </w:rPr>
        <w:t xml:space="preserve"> یا نه</w:t>
      </w:r>
      <w:r w:rsidR="00C34359">
        <w:rPr>
          <w:rFonts w:hint="cs"/>
          <w:rtl/>
        </w:rPr>
        <w:t xml:space="preserve">، </w:t>
      </w:r>
      <w:r w:rsidR="00C34359" w:rsidRPr="00BD0C19">
        <w:rPr>
          <w:rFonts w:cs="2  Badr" w:hint="cs"/>
          <w:rtl/>
        </w:rPr>
        <w:t>اصالة</w:t>
      </w:r>
      <w:r w:rsidRPr="00BD0C19">
        <w:rPr>
          <w:rFonts w:cs="2  Badr" w:hint="cs"/>
          <w:rtl/>
        </w:rPr>
        <w:t xml:space="preserve"> الصحة</w:t>
      </w:r>
      <w:r>
        <w:rPr>
          <w:rFonts w:hint="cs"/>
          <w:rtl/>
        </w:rPr>
        <w:t xml:space="preserve"> در فعل غیر جاری است.</w:t>
      </w:r>
    </w:p>
    <w:p w:rsidR="007D577C" w:rsidRDefault="007D577C" w:rsidP="00A72B3A">
      <w:pPr>
        <w:jc w:val="both"/>
        <w:rPr>
          <w:rtl/>
        </w:rPr>
      </w:pPr>
      <w:r>
        <w:rPr>
          <w:rFonts w:hint="cs"/>
          <w:rtl/>
        </w:rPr>
        <w:t xml:space="preserve">اما در محل بحث ما که در اصل صدور فعل شک داریم، </w:t>
      </w:r>
      <w:r w:rsidRPr="00BD0C19">
        <w:rPr>
          <w:rFonts w:cs="2  Badr" w:hint="cs"/>
          <w:rtl/>
        </w:rPr>
        <w:t>اصالة الصحة</w:t>
      </w:r>
      <w:r>
        <w:rPr>
          <w:rFonts w:hint="cs"/>
          <w:rtl/>
        </w:rPr>
        <w:t xml:space="preserve"> جاری نمی شود.</w:t>
      </w:r>
    </w:p>
    <w:p w:rsidR="00B73576" w:rsidRDefault="00D75E0B" w:rsidP="00977E4A">
      <w:pPr>
        <w:jc w:val="both"/>
        <w:rPr>
          <w:rtl/>
        </w:rPr>
      </w:pPr>
      <w:r>
        <w:rPr>
          <w:rFonts w:hint="cs"/>
          <w:rtl/>
        </w:rPr>
        <w:t xml:space="preserve">در نتیجه موارد </w:t>
      </w:r>
      <w:r w:rsidR="00977E4A">
        <w:rPr>
          <w:rFonts w:hint="cs"/>
          <w:rtl/>
        </w:rPr>
        <w:t>«ما لا یعلم الا من قبله» در جایی که قول شخص در مقام رسیدن به حق باشد و اقامه‌ی بینه متعذر یا متعسر باشد، حجت است.</w:t>
      </w:r>
    </w:p>
    <w:p w:rsidR="009645F2" w:rsidRDefault="00CB1738" w:rsidP="00CB1738">
      <w:pPr>
        <w:pStyle w:val="Heading1"/>
        <w:rPr>
          <w:rtl/>
        </w:rPr>
      </w:pPr>
      <w:bookmarkStart w:id="9" w:name="_Toc29782345"/>
      <w:bookmarkStart w:id="10" w:name="_Toc29865641"/>
      <w:r>
        <w:rPr>
          <w:rFonts w:hint="cs"/>
          <w:rtl/>
        </w:rPr>
        <w:t>نتیجه</w:t>
      </w:r>
      <w:bookmarkEnd w:id="9"/>
      <w:bookmarkEnd w:id="10"/>
    </w:p>
    <w:p w:rsidR="00B73576" w:rsidRDefault="0025595E" w:rsidP="00081A68">
      <w:pPr>
        <w:jc w:val="both"/>
        <w:rPr>
          <w:rtl/>
        </w:rPr>
      </w:pPr>
      <w:r>
        <w:rPr>
          <w:rFonts w:hint="cs"/>
          <w:rtl/>
        </w:rPr>
        <w:t>در محل بحث ما</w:t>
      </w:r>
      <w:r w:rsidR="00D41BDF">
        <w:rPr>
          <w:rFonts w:hint="cs"/>
          <w:rtl/>
        </w:rPr>
        <w:t xml:space="preserve"> که شیخ طوسی قول مرد را در اصل طلاق و در زمان طلاق مقدم دانست،</w:t>
      </w:r>
      <w:r>
        <w:rPr>
          <w:rFonts w:hint="cs"/>
          <w:rtl/>
        </w:rPr>
        <w:t xml:space="preserve"> «ما لا</w:t>
      </w:r>
      <w:r w:rsidR="0048471A">
        <w:rPr>
          <w:rFonts w:hint="cs"/>
          <w:rtl/>
        </w:rPr>
        <w:t xml:space="preserve"> یعلم الا من قبله» مطرح نمی شود، زیرا شهود شرط صحت طلاق می با</w:t>
      </w:r>
      <w:r w:rsidR="00081A68">
        <w:rPr>
          <w:rFonts w:hint="cs"/>
          <w:rtl/>
        </w:rPr>
        <w:t>شد و با وجود شهود، طلاق از مصادیق «ما لا یعلم الا من قبله» نمی باشد.</w:t>
      </w:r>
    </w:p>
    <w:p w:rsidR="0025595E" w:rsidRDefault="0025595E" w:rsidP="00D0637A">
      <w:pPr>
        <w:jc w:val="both"/>
        <w:rPr>
          <w:rtl/>
        </w:rPr>
      </w:pPr>
      <w:r>
        <w:rPr>
          <w:rFonts w:hint="cs"/>
          <w:rtl/>
        </w:rPr>
        <w:t>آن چه در محل بحث ما ممکن است مطرح شود، ابصر بودن شخص نسبت به فعلش می باشد که ابصر بودن باعث نمی شود عقلا قول شخص را اماره‌ی بر صدق شخص قرار دهن</w:t>
      </w:r>
      <w:r w:rsidR="006E03B4">
        <w:rPr>
          <w:rFonts w:hint="cs"/>
          <w:rtl/>
        </w:rPr>
        <w:t>د، زیرا فرض این است که احتمال کذب وجود دارد.</w:t>
      </w:r>
      <w:r w:rsidR="001047A7">
        <w:rPr>
          <w:rFonts w:hint="cs"/>
          <w:rtl/>
        </w:rPr>
        <w:t xml:space="preserve"> اماریت در مورد شخص ص</w:t>
      </w:r>
      <w:r w:rsidR="00D0637A">
        <w:rPr>
          <w:rFonts w:hint="cs"/>
          <w:rtl/>
        </w:rPr>
        <w:t>ا</w:t>
      </w:r>
      <w:r w:rsidR="001047A7">
        <w:rPr>
          <w:rFonts w:hint="cs"/>
          <w:rtl/>
        </w:rPr>
        <w:t xml:space="preserve">دق یا عادل مشکل ندارد اما در محل بحث ما که شامل شخص فاسق یا مشکوک الفاسق </w:t>
      </w:r>
      <w:r w:rsidR="0001352C">
        <w:rPr>
          <w:rFonts w:hint="cs"/>
          <w:rtl/>
        </w:rPr>
        <w:t>هم می شود، اماریتی وجود ندارد.</w:t>
      </w:r>
    </w:p>
    <w:p w:rsidR="008830D4" w:rsidRDefault="008830D4" w:rsidP="008830D4">
      <w:pPr>
        <w:pStyle w:val="Heading1"/>
        <w:rPr>
          <w:rtl/>
        </w:rPr>
      </w:pPr>
      <w:bookmarkStart w:id="11" w:name="_Toc29782346"/>
      <w:bookmarkStart w:id="12" w:name="_Toc29865642"/>
      <w:r>
        <w:rPr>
          <w:rFonts w:hint="cs"/>
          <w:rtl/>
        </w:rPr>
        <w:lastRenderedPageBreak/>
        <w:t>سیره‌ی متشرعه در قبول قول ذوالید در کلام مرحوم بجنوردی</w:t>
      </w:r>
      <w:bookmarkEnd w:id="11"/>
      <w:bookmarkEnd w:id="12"/>
    </w:p>
    <w:p w:rsidR="00B73576" w:rsidRDefault="00D141FE" w:rsidP="00CB1738">
      <w:pPr>
        <w:jc w:val="both"/>
        <w:rPr>
          <w:rtl/>
        </w:rPr>
      </w:pPr>
      <w:r>
        <w:rPr>
          <w:rFonts w:hint="cs"/>
          <w:rtl/>
        </w:rPr>
        <w:t>مرحوم بجنوردی در قبول قول ذوالید سیره‌ی متشرعه را هم مطرح کرده است</w:t>
      </w:r>
      <w:r w:rsidR="00494DDC">
        <w:rPr>
          <w:rFonts w:hint="cs"/>
          <w:rtl/>
        </w:rPr>
        <w:t xml:space="preserve"> و ذیل آن بحث هایی را آورده است. ضمن بحثی فرموده است: اگر شخصی مدعی است زنی که در خانه اش می باشد، همسرش می باشد یا بچه ای که تحت تکفلش می باشد، فرزندش می باشد، ید اماره‌ی بر ملکیت ( به معنای عامش که شامل زوجیت هم می شود) می باشد. اما در جایی که زن منکر زوجیت باشد یا بچه منکر ابوت باشد، ید اماره‌ی ملکیت نیست.</w:t>
      </w:r>
    </w:p>
    <w:p w:rsidR="00B73576" w:rsidRDefault="000A2307" w:rsidP="0005395B">
      <w:pPr>
        <w:jc w:val="both"/>
        <w:rPr>
          <w:rtl/>
        </w:rPr>
      </w:pPr>
      <w:r>
        <w:rPr>
          <w:rFonts w:hint="cs"/>
          <w:rtl/>
        </w:rPr>
        <w:t>در محل بحث ما مرد مدعی است که زن را طلاق داده است یا در تاریخ خاصی طلاق داده است، اگر زن منکر طلاق یا تاریخ طلاق باشد، دلیلی نداریم که قول مرد مقدم شود.</w:t>
      </w:r>
    </w:p>
    <w:p w:rsidR="008830D4" w:rsidRDefault="008830D4" w:rsidP="008830D4">
      <w:pPr>
        <w:pStyle w:val="Heading1"/>
        <w:rPr>
          <w:rtl/>
        </w:rPr>
      </w:pPr>
      <w:bookmarkStart w:id="13" w:name="_Toc29782347"/>
      <w:bookmarkStart w:id="14" w:name="_Toc29865643"/>
      <w:r>
        <w:rPr>
          <w:rFonts w:hint="cs"/>
          <w:rtl/>
        </w:rPr>
        <w:t>اشکال به شیخ طوسی</w:t>
      </w:r>
      <w:bookmarkEnd w:id="13"/>
      <w:bookmarkEnd w:id="14"/>
    </w:p>
    <w:p w:rsidR="000A2307" w:rsidRDefault="000A2307" w:rsidP="0005395B">
      <w:pPr>
        <w:jc w:val="both"/>
        <w:rPr>
          <w:rtl/>
        </w:rPr>
      </w:pPr>
      <w:r>
        <w:rPr>
          <w:rFonts w:hint="cs"/>
          <w:rtl/>
        </w:rPr>
        <w:t>مرحوم سید</w:t>
      </w:r>
      <w:r w:rsidR="007D1A28">
        <w:rPr>
          <w:rFonts w:hint="cs"/>
          <w:rtl/>
        </w:rPr>
        <w:t xml:space="preserve"> به نقل از شیخ</w:t>
      </w:r>
      <w:r w:rsidR="006371CF">
        <w:rPr>
          <w:rFonts w:hint="cs"/>
          <w:rtl/>
        </w:rPr>
        <w:t xml:space="preserve"> طوسی</w:t>
      </w:r>
      <w:r>
        <w:rPr>
          <w:rFonts w:hint="cs"/>
          <w:rtl/>
        </w:rPr>
        <w:t xml:space="preserve"> می فرماید:</w:t>
      </w:r>
      <w:r w:rsidR="00335163">
        <w:rPr>
          <w:rFonts w:hint="cs"/>
          <w:rtl/>
        </w:rPr>
        <w:t xml:space="preserve"> </w:t>
      </w:r>
      <w:r w:rsidR="00335163" w:rsidRPr="00CC59E4">
        <w:rPr>
          <w:rFonts w:hint="cs"/>
          <w:color w:val="0000FF"/>
          <w:rtl/>
        </w:rPr>
        <w:t>فكما يصدّق في أصله فكذا في وقته</w:t>
      </w:r>
      <w:r w:rsidR="00335163">
        <w:rPr>
          <w:rStyle w:val="FootnoteReference"/>
          <w:color w:val="0000FF"/>
          <w:rtl/>
        </w:rPr>
        <w:footnoteReference w:id="1"/>
      </w:r>
      <w:r w:rsidR="00D0637A">
        <w:rPr>
          <w:rFonts w:hint="cs"/>
          <w:color w:val="0000FF"/>
          <w:rtl/>
        </w:rPr>
        <w:t>.</w:t>
      </w:r>
    </w:p>
    <w:p w:rsidR="0005395B" w:rsidRDefault="00FC0C9E" w:rsidP="00CB1738">
      <w:pPr>
        <w:jc w:val="both"/>
        <w:rPr>
          <w:rtl/>
        </w:rPr>
      </w:pPr>
      <w:r>
        <w:rPr>
          <w:rFonts w:hint="cs"/>
          <w:rtl/>
        </w:rPr>
        <w:t>گویا</w:t>
      </w:r>
      <w:r w:rsidR="006371CF">
        <w:rPr>
          <w:rFonts w:hint="cs"/>
          <w:rtl/>
        </w:rPr>
        <w:t xml:space="preserve"> از نظر شیخ</w:t>
      </w:r>
      <w:r>
        <w:rPr>
          <w:rFonts w:hint="cs"/>
          <w:rtl/>
        </w:rPr>
        <w:t xml:space="preserve"> ادعای مرد در مورد اصل طلاق مسموع است.</w:t>
      </w:r>
      <w:r w:rsidR="00113A6B">
        <w:rPr>
          <w:rFonts w:hint="cs"/>
          <w:rtl/>
        </w:rPr>
        <w:t xml:space="preserve"> این تعلیل ( </w:t>
      </w:r>
      <w:r w:rsidR="00113A6B" w:rsidRPr="00CC59E4">
        <w:rPr>
          <w:rFonts w:hint="cs"/>
          <w:color w:val="0000FF"/>
          <w:rtl/>
        </w:rPr>
        <w:t>فكما يصدّق في أصله فكذا في وقته</w:t>
      </w:r>
      <w:r w:rsidR="00113A6B">
        <w:rPr>
          <w:rStyle w:val="FootnoteReference"/>
          <w:color w:val="0000FF"/>
          <w:rtl/>
        </w:rPr>
        <w:footnoteReference w:id="2"/>
      </w:r>
      <w:r w:rsidR="00113A6B">
        <w:rPr>
          <w:rFonts w:hint="cs"/>
          <w:color w:val="0000FF"/>
          <w:rtl/>
        </w:rPr>
        <w:t>)</w:t>
      </w:r>
      <w:r w:rsidR="00113A6B">
        <w:rPr>
          <w:rFonts w:hint="cs"/>
          <w:rtl/>
        </w:rPr>
        <w:t xml:space="preserve"> در کتب عامه هم آمده است، عامه قول مرد را در طلاق معتبر می دانند و چنین بیان کرده اند که الطلاق للرجال.</w:t>
      </w:r>
    </w:p>
    <w:p w:rsidR="00FC0C9E" w:rsidRDefault="00113A6B" w:rsidP="002474C7">
      <w:pPr>
        <w:jc w:val="both"/>
        <w:rPr>
          <w:rtl/>
        </w:rPr>
      </w:pPr>
      <w:r>
        <w:rPr>
          <w:rFonts w:hint="cs"/>
          <w:rtl/>
        </w:rPr>
        <w:t>اما پذیرش این بیان مشکل است، زیرا مبنای عامه در طلاق</w:t>
      </w:r>
      <w:r w:rsidR="00883F93">
        <w:rPr>
          <w:rFonts w:hint="cs"/>
          <w:rtl/>
        </w:rPr>
        <w:t>،</w:t>
      </w:r>
      <w:r>
        <w:rPr>
          <w:rFonts w:hint="cs"/>
          <w:rtl/>
        </w:rPr>
        <w:t xml:space="preserve"> در روایات ما تخطئه شده است، عام</w:t>
      </w:r>
      <w:r w:rsidR="00DC6543">
        <w:rPr>
          <w:rFonts w:hint="cs"/>
          <w:rtl/>
        </w:rPr>
        <w:t>ه در طلاق شهود را شرط نمی دانند و چون طلاق می تواند پنهانی انجام شود و «لا یعلم الا من قبله» می باشد، قول مرد حجت است</w:t>
      </w:r>
      <w:r w:rsidR="00CB1738">
        <w:rPr>
          <w:rFonts w:hint="cs"/>
          <w:rtl/>
        </w:rPr>
        <w:t xml:space="preserve">. اما امامیه شهود را </w:t>
      </w:r>
      <w:r w:rsidR="00651077">
        <w:rPr>
          <w:rFonts w:hint="cs"/>
          <w:rtl/>
        </w:rPr>
        <w:t>شرط صحت طلاق می دانند و ممکن ا</w:t>
      </w:r>
      <w:r w:rsidR="00D67F8D">
        <w:rPr>
          <w:rFonts w:hint="cs"/>
          <w:rtl/>
        </w:rPr>
        <w:t>ست شهود جنبه‌ی اثباتی داشته باش</w:t>
      </w:r>
      <w:r w:rsidR="00651077">
        <w:rPr>
          <w:rFonts w:hint="cs"/>
          <w:rtl/>
        </w:rPr>
        <w:t xml:space="preserve">د که در صورت نیاز </w:t>
      </w:r>
      <w:r w:rsidR="002474C7">
        <w:rPr>
          <w:rFonts w:hint="cs"/>
          <w:rtl/>
        </w:rPr>
        <w:t>شهود</w:t>
      </w:r>
      <w:r w:rsidR="00651077">
        <w:rPr>
          <w:rFonts w:hint="cs"/>
          <w:rtl/>
        </w:rPr>
        <w:t xml:space="preserve"> شهادت دهند تا طلاق اثبات شود.</w:t>
      </w:r>
    </w:p>
    <w:p w:rsidR="006C3E70" w:rsidRDefault="006C3E70" w:rsidP="0005395B">
      <w:pPr>
        <w:jc w:val="both"/>
        <w:rPr>
          <w:rtl/>
        </w:rPr>
      </w:pPr>
      <w:r>
        <w:rPr>
          <w:rFonts w:hint="cs"/>
          <w:rtl/>
        </w:rPr>
        <w:t xml:space="preserve">بنابراین با توجه به تفاوت فقه شیعه و فقه عامه در مورد طلاق، نکته‌ی عقلایی که در فقه عامه می </w:t>
      </w:r>
      <w:r w:rsidR="00972B12">
        <w:rPr>
          <w:rFonts w:hint="cs"/>
          <w:rtl/>
        </w:rPr>
        <w:t>باشد، در فقه شیعه تخطئه شده است، در نتیجه نمی توان به فتوای عامه به عنوان سیره‌ی متشرعه تمسک کرد.</w:t>
      </w:r>
    </w:p>
    <w:p w:rsidR="00367085" w:rsidRDefault="00665386" w:rsidP="0005395B">
      <w:pPr>
        <w:jc w:val="both"/>
        <w:rPr>
          <w:rtl/>
        </w:rPr>
      </w:pPr>
      <w:r>
        <w:rPr>
          <w:rFonts w:hint="cs"/>
          <w:rtl/>
        </w:rPr>
        <w:t>اگر در فقه شیعه مبنای عامه تخطئه نشده بود، فتوای عامه سیره‌ی متشرعه را تشکیل می داد و این سیره‌ی متشرعه در صورت عدم ردع ائمه علیهم السلام حجت بود.</w:t>
      </w:r>
    </w:p>
    <w:p w:rsidR="00367085" w:rsidRDefault="00D41538" w:rsidP="00CB1738">
      <w:pPr>
        <w:jc w:val="both"/>
        <w:rPr>
          <w:rtl/>
        </w:rPr>
      </w:pPr>
      <w:r>
        <w:rPr>
          <w:rFonts w:hint="cs"/>
          <w:rtl/>
        </w:rPr>
        <w:lastRenderedPageBreak/>
        <w:t>نتیجه این که در موارد «لا یعلم الا من قبله» قول شخص حجت است</w:t>
      </w:r>
      <w:r w:rsidR="00673395">
        <w:rPr>
          <w:rFonts w:hint="cs"/>
          <w:rtl/>
        </w:rPr>
        <w:t xml:space="preserve"> و ردعی ندارد</w:t>
      </w:r>
      <w:r>
        <w:rPr>
          <w:rFonts w:hint="cs"/>
          <w:rtl/>
        </w:rPr>
        <w:t xml:space="preserve"> اما با توجه به شرطیت شهود در طلاق، طلاق از مصادیق «لا یعلم الا من قبله» نمی باشد</w:t>
      </w:r>
      <w:r w:rsidR="0032629F">
        <w:rPr>
          <w:rFonts w:hint="cs"/>
          <w:rtl/>
        </w:rPr>
        <w:t xml:space="preserve">، پس کلام شیخ که فرموده: </w:t>
      </w:r>
      <w:r w:rsidR="0032629F" w:rsidRPr="00CC59E4">
        <w:rPr>
          <w:rFonts w:hint="cs"/>
          <w:color w:val="0000FF"/>
          <w:rtl/>
        </w:rPr>
        <w:t>فكما يصدّق في أصله</w:t>
      </w:r>
      <w:r w:rsidR="0032629F">
        <w:rPr>
          <w:rFonts w:hint="cs"/>
          <w:color w:val="0000FF"/>
          <w:rtl/>
        </w:rPr>
        <w:t xml:space="preserve"> </w:t>
      </w:r>
      <w:r w:rsidR="0032629F" w:rsidRPr="0032629F">
        <w:rPr>
          <w:rFonts w:hint="cs"/>
          <w:rtl/>
        </w:rPr>
        <w:t>صحیح</w:t>
      </w:r>
      <w:r w:rsidR="0032629F">
        <w:rPr>
          <w:rFonts w:hint="cs"/>
          <w:rtl/>
        </w:rPr>
        <w:t xml:space="preserve"> نیست و در اصل طلاق</w:t>
      </w:r>
      <w:r w:rsidR="000C5B2A">
        <w:rPr>
          <w:rFonts w:hint="cs"/>
          <w:rtl/>
        </w:rPr>
        <w:t>،</w:t>
      </w:r>
      <w:r w:rsidR="0032629F">
        <w:rPr>
          <w:rFonts w:hint="cs"/>
          <w:rtl/>
        </w:rPr>
        <w:t xml:space="preserve"> قول مرد پذیرفته نمی شود</w:t>
      </w:r>
      <w:r w:rsidR="00B43DA2">
        <w:rPr>
          <w:rFonts w:hint="cs"/>
          <w:rtl/>
        </w:rPr>
        <w:t>.</w:t>
      </w:r>
    </w:p>
    <w:p w:rsidR="00CB1738" w:rsidRPr="0032629F" w:rsidRDefault="00CB1738" w:rsidP="00CB1738">
      <w:pPr>
        <w:jc w:val="both"/>
        <w:rPr>
          <w:rtl/>
        </w:rPr>
      </w:pPr>
    </w:p>
    <w:sectPr w:rsidR="00CB1738" w:rsidRPr="0032629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01" w:rsidRDefault="00D42101" w:rsidP="008B750B">
      <w:pPr>
        <w:spacing w:line="240" w:lineRule="auto"/>
      </w:pPr>
      <w:r>
        <w:separator/>
      </w:r>
    </w:p>
  </w:endnote>
  <w:endnote w:type="continuationSeparator" w:id="0">
    <w:p w:rsidR="00D42101" w:rsidRDefault="00D421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2  Badr">
    <w:altName w:val="Courier New"/>
    <w:charset w:val="B2"/>
    <w:family w:val="auto"/>
    <w:pitch w:val="variable"/>
    <w:sig w:usb0="00002000"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B43DA2" w:rsidRPr="006D44C1" w:rsidTr="0020241A">
      <w:tc>
        <w:tcPr>
          <w:tcW w:w="3382" w:type="dxa"/>
          <w:tcBorders>
            <w:top w:val="nil"/>
            <w:left w:val="nil"/>
            <w:bottom w:val="nil"/>
            <w:right w:val="nil"/>
          </w:tcBorders>
        </w:tcPr>
        <w:p w:rsidR="00B43DA2" w:rsidRDefault="00B43DA2" w:rsidP="006D44C1">
          <w:pPr>
            <w:pStyle w:val="Footer"/>
            <w:rPr>
              <w:rtl/>
            </w:rPr>
          </w:pPr>
        </w:p>
      </w:tc>
      <w:tc>
        <w:tcPr>
          <w:tcW w:w="2252" w:type="dxa"/>
          <w:tcBorders>
            <w:top w:val="nil"/>
            <w:left w:val="nil"/>
            <w:bottom w:val="nil"/>
            <w:right w:val="nil"/>
          </w:tcBorders>
          <w:vAlign w:val="center"/>
        </w:tcPr>
        <w:p w:rsidR="00B43DA2" w:rsidRDefault="00B43DA2" w:rsidP="006D44C1">
          <w:pPr>
            <w:pStyle w:val="Footer"/>
            <w:jc w:val="right"/>
            <w:rPr>
              <w:rtl/>
            </w:rPr>
          </w:pPr>
          <w:r>
            <w:rPr>
              <w:rFonts w:hint="cs"/>
              <w:rtl/>
            </w:rPr>
            <w:t xml:space="preserve">صفحه </w:t>
          </w:r>
          <w:r>
            <w:fldChar w:fldCharType="begin"/>
          </w:r>
          <w:r>
            <w:instrText>PAGE   \* MERGEFORMAT</w:instrText>
          </w:r>
          <w:r>
            <w:fldChar w:fldCharType="separate"/>
          </w:r>
          <w:r w:rsidR="00684CA0" w:rsidRPr="00684CA0">
            <w:rPr>
              <w:noProof/>
              <w:rtl/>
              <w:lang w:val="fa-IR"/>
            </w:rPr>
            <w:t>5</w:t>
          </w:r>
          <w:r>
            <w:rPr>
              <w:noProof/>
            </w:rPr>
            <w:fldChar w:fldCharType="end"/>
          </w:r>
        </w:p>
      </w:tc>
      <w:tc>
        <w:tcPr>
          <w:tcW w:w="4786" w:type="dxa"/>
          <w:tcBorders>
            <w:top w:val="nil"/>
            <w:left w:val="nil"/>
            <w:bottom w:val="nil"/>
            <w:right w:val="nil"/>
          </w:tcBorders>
          <w:vAlign w:val="center"/>
        </w:tcPr>
        <w:p w:rsidR="00B43DA2" w:rsidRPr="006D44C1" w:rsidRDefault="00B43DA2" w:rsidP="001B6799">
          <w:pPr>
            <w:pStyle w:val="Footer"/>
            <w:bidi w:val="0"/>
            <w:rPr>
              <w:color w:val="808080" w:themeColor="background1" w:themeShade="80"/>
              <w:rtl/>
            </w:rPr>
          </w:pPr>
          <w:bookmarkStart w:id="22" w:name="BokAdres"/>
          <w:bookmarkEnd w:id="22"/>
          <w:r>
            <w:rPr>
              <w:color w:val="808080" w:themeColor="background1" w:themeShade="80"/>
            </w:rPr>
            <w:t>F1js1_13981023-051_mk3_mfeb.ir</w:t>
          </w:r>
        </w:p>
      </w:tc>
    </w:tr>
  </w:tbl>
  <w:p w:rsidR="00B43DA2" w:rsidRDefault="00B43DA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01" w:rsidRDefault="00D42101" w:rsidP="008B750B">
      <w:pPr>
        <w:spacing w:line="240" w:lineRule="auto"/>
      </w:pPr>
      <w:r>
        <w:separator/>
      </w:r>
    </w:p>
  </w:footnote>
  <w:footnote w:type="continuationSeparator" w:id="0">
    <w:p w:rsidR="00D42101" w:rsidRDefault="00D42101" w:rsidP="008B750B">
      <w:pPr>
        <w:spacing w:line="240" w:lineRule="auto"/>
      </w:pPr>
      <w:r>
        <w:continuationSeparator/>
      </w:r>
    </w:p>
  </w:footnote>
  <w:footnote w:id="1">
    <w:p w:rsidR="00B43DA2" w:rsidRPr="00335163" w:rsidRDefault="00B43DA2" w:rsidP="00335163">
      <w:pPr>
        <w:pStyle w:val="FootnoteText"/>
      </w:pPr>
      <w:r w:rsidRPr="00335163">
        <w:footnoteRef/>
      </w:r>
      <w:r w:rsidRPr="00335163">
        <w:rPr>
          <w:rtl/>
        </w:rPr>
        <w:t xml:space="preserve"> </w:t>
      </w:r>
      <w:hyperlink r:id="rId1" w:history="1">
        <w:r w:rsidRPr="00335163">
          <w:rPr>
            <w:rStyle w:val="Hyperlink"/>
            <w:rFonts w:hint="cs"/>
            <w:rtl/>
          </w:rPr>
          <w:t>تکملة</w:t>
        </w:r>
        <w:r w:rsidRPr="00335163">
          <w:rPr>
            <w:rStyle w:val="Hyperlink"/>
            <w:rtl/>
          </w:rPr>
          <w:t xml:space="preserve"> </w:t>
        </w:r>
        <w:r w:rsidRPr="00335163">
          <w:rPr>
            <w:rStyle w:val="Hyperlink"/>
            <w:rFonts w:hint="cs"/>
            <w:rtl/>
          </w:rPr>
          <w:t>العروة</w:t>
        </w:r>
        <w:r w:rsidRPr="00335163">
          <w:rPr>
            <w:rStyle w:val="Hyperlink"/>
            <w:rtl/>
          </w:rPr>
          <w:t xml:space="preserve"> </w:t>
        </w:r>
        <w:r w:rsidRPr="00335163">
          <w:rPr>
            <w:rStyle w:val="Hyperlink"/>
            <w:rFonts w:hint="cs"/>
            <w:rtl/>
          </w:rPr>
          <w:t>الوثقی،</w:t>
        </w:r>
        <w:r w:rsidRPr="00335163">
          <w:rPr>
            <w:rStyle w:val="Hyperlink"/>
            <w:rtl/>
          </w:rPr>
          <w:t xml:space="preserve"> </w:t>
        </w:r>
        <w:r w:rsidRPr="00335163">
          <w:rPr>
            <w:rStyle w:val="Hyperlink"/>
            <w:rFonts w:hint="cs"/>
            <w:rtl/>
          </w:rPr>
          <w:t>السید</w:t>
        </w:r>
        <w:r w:rsidRPr="00335163">
          <w:rPr>
            <w:rStyle w:val="Hyperlink"/>
            <w:rtl/>
          </w:rPr>
          <w:t xml:space="preserve"> </w:t>
        </w:r>
        <w:r w:rsidRPr="00335163">
          <w:rPr>
            <w:rStyle w:val="Hyperlink"/>
            <w:rFonts w:hint="cs"/>
            <w:rtl/>
          </w:rPr>
          <w:t>محمد</w:t>
        </w:r>
        <w:r w:rsidRPr="00335163">
          <w:rPr>
            <w:rStyle w:val="Hyperlink"/>
            <w:rtl/>
          </w:rPr>
          <w:t xml:space="preserve"> </w:t>
        </w:r>
        <w:r w:rsidRPr="00335163">
          <w:rPr>
            <w:rStyle w:val="Hyperlink"/>
            <w:rFonts w:hint="cs"/>
            <w:rtl/>
          </w:rPr>
          <w:t>کاظم</w:t>
        </w:r>
        <w:r w:rsidRPr="00335163">
          <w:rPr>
            <w:rStyle w:val="Hyperlink"/>
            <w:rtl/>
          </w:rPr>
          <w:t xml:space="preserve"> </w:t>
        </w:r>
        <w:r w:rsidRPr="00335163">
          <w:rPr>
            <w:rStyle w:val="Hyperlink"/>
            <w:rFonts w:hint="cs"/>
            <w:rtl/>
          </w:rPr>
          <w:t>الطباطبائی</w:t>
        </w:r>
        <w:r w:rsidRPr="00335163">
          <w:rPr>
            <w:rStyle w:val="Hyperlink"/>
            <w:rtl/>
          </w:rPr>
          <w:t xml:space="preserve"> </w:t>
        </w:r>
        <w:r w:rsidRPr="00335163">
          <w:rPr>
            <w:rStyle w:val="Hyperlink"/>
            <w:rFonts w:hint="cs"/>
            <w:rtl/>
          </w:rPr>
          <w:t>الیزدی،</w:t>
        </w:r>
        <w:r w:rsidRPr="00335163">
          <w:rPr>
            <w:rStyle w:val="Hyperlink"/>
            <w:rtl/>
          </w:rPr>
          <w:t xml:space="preserve"> </w:t>
        </w:r>
        <w:r w:rsidRPr="00335163">
          <w:rPr>
            <w:rStyle w:val="Hyperlink"/>
            <w:rFonts w:hint="cs"/>
            <w:rtl/>
          </w:rPr>
          <w:t>ج</w:t>
        </w:r>
        <w:r w:rsidRPr="00335163">
          <w:rPr>
            <w:rStyle w:val="Hyperlink"/>
            <w:rtl/>
          </w:rPr>
          <w:t>1</w:t>
        </w:r>
        <w:r w:rsidRPr="00335163">
          <w:rPr>
            <w:rStyle w:val="Hyperlink"/>
            <w:rFonts w:hint="cs"/>
            <w:rtl/>
          </w:rPr>
          <w:t>،</w:t>
        </w:r>
        <w:r w:rsidRPr="00335163">
          <w:rPr>
            <w:rStyle w:val="Hyperlink"/>
            <w:rtl/>
          </w:rPr>
          <w:t xml:space="preserve"> </w:t>
        </w:r>
        <w:r w:rsidRPr="00335163">
          <w:rPr>
            <w:rStyle w:val="Hyperlink"/>
            <w:rFonts w:hint="cs"/>
            <w:rtl/>
          </w:rPr>
          <w:t>ص</w:t>
        </w:r>
        <w:r w:rsidRPr="00335163">
          <w:rPr>
            <w:rStyle w:val="Hyperlink"/>
            <w:rtl/>
          </w:rPr>
          <w:t>62.</w:t>
        </w:r>
      </w:hyperlink>
    </w:p>
  </w:footnote>
  <w:footnote w:id="2">
    <w:p w:rsidR="00B43DA2" w:rsidRPr="00335163" w:rsidRDefault="00B43DA2" w:rsidP="00113A6B">
      <w:pPr>
        <w:pStyle w:val="FootnoteText"/>
      </w:pPr>
      <w:r w:rsidRPr="00335163">
        <w:footnoteRef/>
      </w:r>
      <w:r w:rsidRPr="00335163">
        <w:rPr>
          <w:rtl/>
        </w:rPr>
        <w:t xml:space="preserve"> </w:t>
      </w:r>
      <w:hyperlink r:id="rId2" w:history="1">
        <w:r w:rsidRPr="00335163">
          <w:rPr>
            <w:rStyle w:val="Hyperlink"/>
            <w:rFonts w:hint="cs"/>
            <w:rtl/>
          </w:rPr>
          <w:t>تکملة</w:t>
        </w:r>
        <w:r w:rsidRPr="00335163">
          <w:rPr>
            <w:rStyle w:val="Hyperlink"/>
            <w:rtl/>
          </w:rPr>
          <w:t xml:space="preserve"> </w:t>
        </w:r>
        <w:r w:rsidRPr="00335163">
          <w:rPr>
            <w:rStyle w:val="Hyperlink"/>
            <w:rFonts w:hint="cs"/>
            <w:rtl/>
          </w:rPr>
          <w:t>العروة</w:t>
        </w:r>
        <w:r w:rsidRPr="00335163">
          <w:rPr>
            <w:rStyle w:val="Hyperlink"/>
            <w:rtl/>
          </w:rPr>
          <w:t xml:space="preserve"> </w:t>
        </w:r>
        <w:r w:rsidRPr="00335163">
          <w:rPr>
            <w:rStyle w:val="Hyperlink"/>
            <w:rFonts w:hint="cs"/>
            <w:rtl/>
          </w:rPr>
          <w:t>الوثقی،</w:t>
        </w:r>
        <w:r w:rsidRPr="00335163">
          <w:rPr>
            <w:rStyle w:val="Hyperlink"/>
            <w:rtl/>
          </w:rPr>
          <w:t xml:space="preserve"> </w:t>
        </w:r>
        <w:r w:rsidRPr="00335163">
          <w:rPr>
            <w:rStyle w:val="Hyperlink"/>
            <w:rFonts w:hint="cs"/>
            <w:rtl/>
          </w:rPr>
          <w:t>السید</w:t>
        </w:r>
        <w:r w:rsidRPr="00335163">
          <w:rPr>
            <w:rStyle w:val="Hyperlink"/>
            <w:rtl/>
          </w:rPr>
          <w:t xml:space="preserve"> </w:t>
        </w:r>
        <w:r w:rsidRPr="00335163">
          <w:rPr>
            <w:rStyle w:val="Hyperlink"/>
            <w:rFonts w:hint="cs"/>
            <w:rtl/>
          </w:rPr>
          <w:t>محمد</w:t>
        </w:r>
        <w:r w:rsidRPr="00335163">
          <w:rPr>
            <w:rStyle w:val="Hyperlink"/>
            <w:rtl/>
          </w:rPr>
          <w:t xml:space="preserve"> </w:t>
        </w:r>
        <w:r w:rsidRPr="00335163">
          <w:rPr>
            <w:rStyle w:val="Hyperlink"/>
            <w:rFonts w:hint="cs"/>
            <w:rtl/>
          </w:rPr>
          <w:t>کاظم</w:t>
        </w:r>
        <w:r w:rsidRPr="00335163">
          <w:rPr>
            <w:rStyle w:val="Hyperlink"/>
            <w:rtl/>
          </w:rPr>
          <w:t xml:space="preserve"> </w:t>
        </w:r>
        <w:r w:rsidRPr="00335163">
          <w:rPr>
            <w:rStyle w:val="Hyperlink"/>
            <w:rFonts w:hint="cs"/>
            <w:rtl/>
          </w:rPr>
          <w:t>الطباطبائی</w:t>
        </w:r>
        <w:r w:rsidRPr="00335163">
          <w:rPr>
            <w:rStyle w:val="Hyperlink"/>
            <w:rtl/>
          </w:rPr>
          <w:t xml:space="preserve"> </w:t>
        </w:r>
        <w:r w:rsidRPr="00335163">
          <w:rPr>
            <w:rStyle w:val="Hyperlink"/>
            <w:rFonts w:hint="cs"/>
            <w:rtl/>
          </w:rPr>
          <w:t>الیزدی،</w:t>
        </w:r>
        <w:r w:rsidRPr="00335163">
          <w:rPr>
            <w:rStyle w:val="Hyperlink"/>
            <w:rtl/>
          </w:rPr>
          <w:t xml:space="preserve"> </w:t>
        </w:r>
        <w:r w:rsidRPr="00335163">
          <w:rPr>
            <w:rStyle w:val="Hyperlink"/>
            <w:rFonts w:hint="cs"/>
            <w:rtl/>
          </w:rPr>
          <w:t>ج</w:t>
        </w:r>
        <w:r w:rsidRPr="00335163">
          <w:rPr>
            <w:rStyle w:val="Hyperlink"/>
            <w:rtl/>
          </w:rPr>
          <w:t>1</w:t>
        </w:r>
        <w:r w:rsidRPr="00335163">
          <w:rPr>
            <w:rStyle w:val="Hyperlink"/>
            <w:rFonts w:hint="cs"/>
            <w:rtl/>
          </w:rPr>
          <w:t>،</w:t>
        </w:r>
        <w:r w:rsidRPr="00335163">
          <w:rPr>
            <w:rStyle w:val="Hyperlink"/>
            <w:rtl/>
          </w:rPr>
          <w:t xml:space="preserve"> </w:t>
        </w:r>
        <w:r w:rsidRPr="00335163">
          <w:rPr>
            <w:rStyle w:val="Hyperlink"/>
            <w:rFonts w:hint="cs"/>
            <w:rtl/>
          </w:rPr>
          <w:t>ص</w:t>
        </w:r>
        <w:r w:rsidRPr="00335163">
          <w:rPr>
            <w:rStyle w:val="Hyperlink"/>
            <w:rtl/>
          </w:rPr>
          <w:t>62.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A2" w:rsidRDefault="00B43DA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051</w:t>
    </w:r>
    <w:r>
      <w:rPr>
        <w:rFonts w:hint="cs"/>
        <w:b/>
        <w:bCs/>
        <w:sz w:val="20"/>
        <w:szCs w:val="24"/>
        <w:rtl/>
      </w:rPr>
      <w:tab/>
    </w:r>
  </w:p>
  <w:p w:rsidR="009F2CA2" w:rsidRDefault="00B43DA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16" w:name="Bokdars"/>
    <w:bookmarkEnd w:id="16"/>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7" w:name="Bokostad"/>
    <w:bookmarkEnd w:id="17"/>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F2CA2" w:rsidRDefault="00B43DA2" w:rsidP="009F2CA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23 /10 /1398</w:t>
    </w:r>
  </w:p>
  <w:p w:rsidR="009F2CA2" w:rsidRDefault="00B43DA2" w:rsidP="009F2CA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rFonts w:hint="cs"/>
        <w:color w:val="000000" w:themeColor="text1"/>
        <w:sz w:val="24"/>
        <w:szCs w:val="24"/>
        <w:rtl/>
      </w:rPr>
      <w:t>مسائل</w:t>
    </w:r>
    <w:r>
      <w:rPr>
        <w:color w:val="000000" w:themeColor="text1"/>
        <w:sz w:val="24"/>
        <w:szCs w:val="24"/>
        <w:rtl/>
      </w:rPr>
      <w:t xml:space="preserve"> </w:t>
    </w:r>
    <w:r>
      <w:rPr>
        <w:rFonts w:hint="cs"/>
        <w:color w:val="000000" w:themeColor="text1"/>
        <w:sz w:val="24"/>
        <w:szCs w:val="24"/>
        <w:rtl/>
      </w:rPr>
      <w:t>مرتبط</w:t>
    </w:r>
    <w:r>
      <w:rPr>
        <w:color w:val="000000" w:themeColor="text1"/>
        <w:sz w:val="24"/>
        <w:szCs w:val="24"/>
        <w:rtl/>
      </w:rPr>
      <w:t xml:space="preserve"> </w:t>
    </w:r>
    <w:r>
      <w:rPr>
        <w:rFonts w:hint="cs"/>
        <w:color w:val="000000" w:themeColor="text1"/>
        <w:sz w:val="24"/>
        <w:szCs w:val="24"/>
        <w:rtl/>
      </w:rPr>
      <w:t>با</w:t>
    </w:r>
    <w:r>
      <w:rPr>
        <w:color w:val="000000" w:themeColor="text1"/>
        <w:sz w:val="24"/>
        <w:szCs w:val="24"/>
        <w:rtl/>
      </w:rPr>
      <w:t xml:space="preserve"> </w:t>
    </w:r>
    <w:r>
      <w:rPr>
        <w:rFonts w:hint="cs"/>
        <w:color w:val="000000" w:themeColor="text1"/>
        <w:sz w:val="24"/>
        <w:szCs w:val="24"/>
        <w:rtl/>
      </w:rPr>
      <w:t>مساله‌ی</w:t>
    </w:r>
    <w:r>
      <w:rPr>
        <w:color w:val="000000" w:themeColor="text1"/>
        <w:sz w:val="24"/>
        <w:szCs w:val="24"/>
        <w:rtl/>
      </w:rPr>
      <w:t xml:space="preserve"> </w:t>
    </w:r>
    <w:r>
      <w:rPr>
        <w:rFonts w:hint="cs"/>
        <w:color w:val="000000" w:themeColor="text1"/>
        <w:sz w:val="24"/>
        <w:szCs w:val="24"/>
        <w:rtl/>
      </w:rPr>
      <w:t>پنجم</w:t>
    </w:r>
  </w:p>
  <w:p w:rsidR="009F2CA2" w:rsidRDefault="00B43DA2" w:rsidP="009F2CA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Pr>
        <w:rFonts w:hint="cs"/>
        <w:sz w:val="24"/>
        <w:szCs w:val="24"/>
        <w:rtl/>
      </w:rPr>
      <w:t xml:space="preserve">: </w:t>
    </w:r>
    <w:bookmarkStart w:id="20" w:name="Bokmoqarer"/>
    <w:bookmarkEnd w:id="20"/>
    <w:r w:rsidR="00DC416D">
      <w:rPr>
        <w:rFonts w:hint="cs"/>
        <w:sz w:val="24"/>
        <w:szCs w:val="24"/>
        <w:rtl/>
      </w:rPr>
      <w:t>مرکز فقهی امام محمد باقر علیه السلام</w:t>
    </w:r>
    <w:r>
      <w:rPr>
        <w:rFonts w:hint="cs"/>
        <w:sz w:val="24"/>
        <w:szCs w:val="24"/>
        <w:rtl/>
      </w:rPr>
      <w:tab/>
    </w:r>
  </w:p>
  <w:p w:rsidR="00B43DA2" w:rsidRPr="00F16B53" w:rsidRDefault="00B43DA2" w:rsidP="009F2CA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21" w:name="BokSabj2"/>
    <w:bookmarkEnd w:id="21"/>
    <w:r>
      <w:rPr>
        <w:rFonts w:hint="cs"/>
        <w:sz w:val="24"/>
        <w:szCs w:val="24"/>
        <w:rtl/>
      </w:rPr>
      <w:t>قبول</w:t>
    </w:r>
    <w:r>
      <w:rPr>
        <w:sz w:val="24"/>
        <w:szCs w:val="24"/>
        <w:rtl/>
      </w:rPr>
      <w:t xml:space="preserve"> </w:t>
    </w:r>
    <w:r>
      <w:rPr>
        <w:rFonts w:hint="cs"/>
        <w:sz w:val="24"/>
        <w:szCs w:val="24"/>
        <w:rtl/>
      </w:rPr>
      <w:t>قول</w:t>
    </w:r>
    <w:r>
      <w:rPr>
        <w:sz w:val="24"/>
        <w:szCs w:val="24"/>
        <w:rtl/>
      </w:rPr>
      <w:t xml:space="preserve"> </w:t>
    </w:r>
    <w:r>
      <w:rPr>
        <w:rFonts w:hint="cs"/>
        <w:sz w:val="24"/>
        <w:szCs w:val="24"/>
        <w:rtl/>
      </w:rPr>
      <w:t>زن</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52C"/>
    <w:rsid w:val="00025777"/>
    <w:rsid w:val="00025B70"/>
    <w:rsid w:val="00027949"/>
    <w:rsid w:val="000353D7"/>
    <w:rsid w:val="0005395B"/>
    <w:rsid w:val="00055496"/>
    <w:rsid w:val="00080A41"/>
    <w:rsid w:val="00081A68"/>
    <w:rsid w:val="0008299B"/>
    <w:rsid w:val="000913AA"/>
    <w:rsid w:val="00094847"/>
    <w:rsid w:val="00096C63"/>
    <w:rsid w:val="000A2307"/>
    <w:rsid w:val="000B5DB5"/>
    <w:rsid w:val="000C3947"/>
    <w:rsid w:val="000C5B2A"/>
    <w:rsid w:val="000D2A37"/>
    <w:rsid w:val="000D30E9"/>
    <w:rsid w:val="000D6818"/>
    <w:rsid w:val="000E335E"/>
    <w:rsid w:val="000F16CF"/>
    <w:rsid w:val="000F5BAC"/>
    <w:rsid w:val="00102585"/>
    <w:rsid w:val="00103545"/>
    <w:rsid w:val="001047A7"/>
    <w:rsid w:val="00113A6B"/>
    <w:rsid w:val="00114AB7"/>
    <w:rsid w:val="00116B2B"/>
    <w:rsid w:val="00124E3D"/>
    <w:rsid w:val="00127E95"/>
    <w:rsid w:val="00130659"/>
    <w:rsid w:val="001347C7"/>
    <w:rsid w:val="001356B0"/>
    <w:rsid w:val="001364D5"/>
    <w:rsid w:val="00151937"/>
    <w:rsid w:val="00162999"/>
    <w:rsid w:val="00171323"/>
    <w:rsid w:val="00181844"/>
    <w:rsid w:val="001837E9"/>
    <w:rsid w:val="00187DFA"/>
    <w:rsid w:val="00196A74"/>
    <w:rsid w:val="001A1BC1"/>
    <w:rsid w:val="001A1EA5"/>
    <w:rsid w:val="001A2574"/>
    <w:rsid w:val="001A27D7"/>
    <w:rsid w:val="001A294E"/>
    <w:rsid w:val="001A4ED8"/>
    <w:rsid w:val="001B1DB5"/>
    <w:rsid w:val="001B2488"/>
    <w:rsid w:val="001B6799"/>
    <w:rsid w:val="001C1362"/>
    <w:rsid w:val="001D2E9A"/>
    <w:rsid w:val="001D597F"/>
    <w:rsid w:val="001E3FD4"/>
    <w:rsid w:val="0020241A"/>
    <w:rsid w:val="00203821"/>
    <w:rsid w:val="00211632"/>
    <w:rsid w:val="0021630D"/>
    <w:rsid w:val="0024121B"/>
    <w:rsid w:val="002474C7"/>
    <w:rsid w:val="00247D2F"/>
    <w:rsid w:val="0025595E"/>
    <w:rsid w:val="00256560"/>
    <w:rsid w:val="0027605E"/>
    <w:rsid w:val="00281E00"/>
    <w:rsid w:val="00294A52"/>
    <w:rsid w:val="002B575F"/>
    <w:rsid w:val="002B729B"/>
    <w:rsid w:val="002C23B5"/>
    <w:rsid w:val="002C53A2"/>
    <w:rsid w:val="002D0040"/>
    <w:rsid w:val="002D2FA8"/>
    <w:rsid w:val="002E220F"/>
    <w:rsid w:val="003054F7"/>
    <w:rsid w:val="00307311"/>
    <w:rsid w:val="0032100F"/>
    <w:rsid w:val="003255DB"/>
    <w:rsid w:val="0032629F"/>
    <w:rsid w:val="0033402C"/>
    <w:rsid w:val="00335163"/>
    <w:rsid w:val="00340521"/>
    <w:rsid w:val="00345C73"/>
    <w:rsid w:val="00354A99"/>
    <w:rsid w:val="00360311"/>
    <w:rsid w:val="00361922"/>
    <w:rsid w:val="00367085"/>
    <w:rsid w:val="0037339B"/>
    <w:rsid w:val="00386C11"/>
    <w:rsid w:val="00397466"/>
    <w:rsid w:val="003A6148"/>
    <w:rsid w:val="003C33F6"/>
    <w:rsid w:val="003C3D2E"/>
    <w:rsid w:val="003C43A5"/>
    <w:rsid w:val="003D1FBC"/>
    <w:rsid w:val="003E1C5C"/>
    <w:rsid w:val="003E6650"/>
    <w:rsid w:val="003E79CA"/>
    <w:rsid w:val="003F5B46"/>
    <w:rsid w:val="00401363"/>
    <w:rsid w:val="00402E47"/>
    <w:rsid w:val="00425015"/>
    <w:rsid w:val="00430994"/>
    <w:rsid w:val="00441B6D"/>
    <w:rsid w:val="00445CF3"/>
    <w:rsid w:val="00452EA8"/>
    <w:rsid w:val="004556EF"/>
    <w:rsid w:val="00462B07"/>
    <w:rsid w:val="00465BD2"/>
    <w:rsid w:val="004715C8"/>
    <w:rsid w:val="00481C31"/>
    <w:rsid w:val="00482FC1"/>
    <w:rsid w:val="00483027"/>
    <w:rsid w:val="0048471A"/>
    <w:rsid w:val="004871AA"/>
    <w:rsid w:val="004918D7"/>
    <w:rsid w:val="004925BF"/>
    <w:rsid w:val="004926E1"/>
    <w:rsid w:val="00494DDC"/>
    <w:rsid w:val="004A2FEA"/>
    <w:rsid w:val="004D2DD7"/>
    <w:rsid w:val="004D75C5"/>
    <w:rsid w:val="004E2186"/>
    <w:rsid w:val="004E5C8C"/>
    <w:rsid w:val="004E66FB"/>
    <w:rsid w:val="004F470A"/>
    <w:rsid w:val="004F4C59"/>
    <w:rsid w:val="00500C8F"/>
    <w:rsid w:val="00501909"/>
    <w:rsid w:val="00507BBB"/>
    <w:rsid w:val="005128DF"/>
    <w:rsid w:val="0051592A"/>
    <w:rsid w:val="00516FAD"/>
    <w:rsid w:val="005206FE"/>
    <w:rsid w:val="005257ED"/>
    <w:rsid w:val="005306F8"/>
    <w:rsid w:val="0054023D"/>
    <w:rsid w:val="005426BF"/>
    <w:rsid w:val="00555771"/>
    <w:rsid w:val="0056213C"/>
    <w:rsid w:val="00580C24"/>
    <w:rsid w:val="00583538"/>
    <w:rsid w:val="005968EF"/>
    <w:rsid w:val="00596C1E"/>
    <w:rsid w:val="005A2E26"/>
    <w:rsid w:val="005B7BCA"/>
    <w:rsid w:val="005C0DAE"/>
    <w:rsid w:val="005C188E"/>
    <w:rsid w:val="005D2349"/>
    <w:rsid w:val="005D23C1"/>
    <w:rsid w:val="005E1B60"/>
    <w:rsid w:val="005E265B"/>
    <w:rsid w:val="005E5507"/>
    <w:rsid w:val="005E607B"/>
    <w:rsid w:val="005F0A8D"/>
    <w:rsid w:val="005F3EF9"/>
    <w:rsid w:val="005F56DA"/>
    <w:rsid w:val="00601229"/>
    <w:rsid w:val="00603B67"/>
    <w:rsid w:val="006162A2"/>
    <w:rsid w:val="006240DA"/>
    <w:rsid w:val="0063256E"/>
    <w:rsid w:val="00633F04"/>
    <w:rsid w:val="00635219"/>
    <w:rsid w:val="00635EC0"/>
    <w:rsid w:val="006371CF"/>
    <w:rsid w:val="00640B58"/>
    <w:rsid w:val="00647D30"/>
    <w:rsid w:val="00651077"/>
    <w:rsid w:val="00651B02"/>
    <w:rsid w:val="00651B19"/>
    <w:rsid w:val="00660A29"/>
    <w:rsid w:val="00665386"/>
    <w:rsid w:val="00673395"/>
    <w:rsid w:val="00684CA0"/>
    <w:rsid w:val="00695519"/>
    <w:rsid w:val="006A4134"/>
    <w:rsid w:val="006A56D7"/>
    <w:rsid w:val="006A5DDA"/>
    <w:rsid w:val="006A6701"/>
    <w:rsid w:val="006B21F4"/>
    <w:rsid w:val="006B3753"/>
    <w:rsid w:val="006B51F0"/>
    <w:rsid w:val="006B7AD6"/>
    <w:rsid w:val="006C1414"/>
    <w:rsid w:val="006C3E70"/>
    <w:rsid w:val="006C50FD"/>
    <w:rsid w:val="006D1DD4"/>
    <w:rsid w:val="006D4014"/>
    <w:rsid w:val="006D44C1"/>
    <w:rsid w:val="006E03B4"/>
    <w:rsid w:val="006E5651"/>
    <w:rsid w:val="006E5B85"/>
    <w:rsid w:val="006F026A"/>
    <w:rsid w:val="0070265B"/>
    <w:rsid w:val="00704813"/>
    <w:rsid w:val="00717FE7"/>
    <w:rsid w:val="0072290D"/>
    <w:rsid w:val="00723D6D"/>
    <w:rsid w:val="00724537"/>
    <w:rsid w:val="00731724"/>
    <w:rsid w:val="0073474B"/>
    <w:rsid w:val="00735511"/>
    <w:rsid w:val="00737208"/>
    <w:rsid w:val="00741EF5"/>
    <w:rsid w:val="00744DE6"/>
    <w:rsid w:val="00762452"/>
    <w:rsid w:val="007632F8"/>
    <w:rsid w:val="007639E0"/>
    <w:rsid w:val="007712EC"/>
    <w:rsid w:val="00775507"/>
    <w:rsid w:val="00783473"/>
    <w:rsid w:val="0078594B"/>
    <w:rsid w:val="00795E02"/>
    <w:rsid w:val="007979D0"/>
    <w:rsid w:val="007A4E18"/>
    <w:rsid w:val="007A7B8C"/>
    <w:rsid w:val="007C6D9E"/>
    <w:rsid w:val="007D1A28"/>
    <w:rsid w:val="007D1C43"/>
    <w:rsid w:val="007D577C"/>
    <w:rsid w:val="007D6C53"/>
    <w:rsid w:val="007E02C5"/>
    <w:rsid w:val="007E1564"/>
    <w:rsid w:val="007E1E87"/>
    <w:rsid w:val="007E5B3F"/>
    <w:rsid w:val="007F2257"/>
    <w:rsid w:val="0080091D"/>
    <w:rsid w:val="00804108"/>
    <w:rsid w:val="00804FC4"/>
    <w:rsid w:val="00812465"/>
    <w:rsid w:val="00816367"/>
    <w:rsid w:val="00816A0B"/>
    <w:rsid w:val="00824B22"/>
    <w:rsid w:val="00830C53"/>
    <w:rsid w:val="00837FAA"/>
    <w:rsid w:val="00841F77"/>
    <w:rsid w:val="0085276D"/>
    <w:rsid w:val="00863390"/>
    <w:rsid w:val="0086385C"/>
    <w:rsid w:val="00871916"/>
    <w:rsid w:val="008830D4"/>
    <w:rsid w:val="00883F93"/>
    <w:rsid w:val="008956DD"/>
    <w:rsid w:val="008A510E"/>
    <w:rsid w:val="008A522A"/>
    <w:rsid w:val="008B0012"/>
    <w:rsid w:val="008B4464"/>
    <w:rsid w:val="008B750B"/>
    <w:rsid w:val="008C2132"/>
    <w:rsid w:val="008C3162"/>
    <w:rsid w:val="008D1F14"/>
    <w:rsid w:val="008D3ABB"/>
    <w:rsid w:val="008E3924"/>
    <w:rsid w:val="008E5D02"/>
    <w:rsid w:val="008F13F7"/>
    <w:rsid w:val="008F5B4D"/>
    <w:rsid w:val="00907425"/>
    <w:rsid w:val="0091439C"/>
    <w:rsid w:val="00923C34"/>
    <w:rsid w:val="00924152"/>
    <w:rsid w:val="0092513D"/>
    <w:rsid w:val="00927A9F"/>
    <w:rsid w:val="009315E3"/>
    <w:rsid w:val="00932E8E"/>
    <w:rsid w:val="009335CC"/>
    <w:rsid w:val="00935A55"/>
    <w:rsid w:val="00941CEB"/>
    <w:rsid w:val="0094720F"/>
    <w:rsid w:val="00953B28"/>
    <w:rsid w:val="00954322"/>
    <w:rsid w:val="00957CAA"/>
    <w:rsid w:val="009645F2"/>
    <w:rsid w:val="0096778A"/>
    <w:rsid w:val="00972B12"/>
    <w:rsid w:val="00977656"/>
    <w:rsid w:val="00977E4A"/>
    <w:rsid w:val="00983AF3"/>
    <w:rsid w:val="009846A7"/>
    <w:rsid w:val="0098794D"/>
    <w:rsid w:val="0099497B"/>
    <w:rsid w:val="00996CDA"/>
    <w:rsid w:val="009A43BA"/>
    <w:rsid w:val="009B0D05"/>
    <w:rsid w:val="009B4CA6"/>
    <w:rsid w:val="009B79F8"/>
    <w:rsid w:val="009C66D5"/>
    <w:rsid w:val="009D13FD"/>
    <w:rsid w:val="009D266A"/>
    <w:rsid w:val="009E7B71"/>
    <w:rsid w:val="009F2CA2"/>
    <w:rsid w:val="009F6D21"/>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2B3A"/>
    <w:rsid w:val="00AA1CBA"/>
    <w:rsid w:val="00AA1F60"/>
    <w:rsid w:val="00AA40D7"/>
    <w:rsid w:val="00AB5F7D"/>
    <w:rsid w:val="00AB6C63"/>
    <w:rsid w:val="00AC0C50"/>
    <w:rsid w:val="00AC66DC"/>
    <w:rsid w:val="00AC6FE2"/>
    <w:rsid w:val="00AD17C1"/>
    <w:rsid w:val="00AF3925"/>
    <w:rsid w:val="00B03586"/>
    <w:rsid w:val="00B1296B"/>
    <w:rsid w:val="00B2292F"/>
    <w:rsid w:val="00B43169"/>
    <w:rsid w:val="00B43DA2"/>
    <w:rsid w:val="00B501A8"/>
    <w:rsid w:val="00B55AE4"/>
    <w:rsid w:val="00B70B46"/>
    <w:rsid w:val="00B73576"/>
    <w:rsid w:val="00B739B0"/>
    <w:rsid w:val="00B814A3"/>
    <w:rsid w:val="00B86C94"/>
    <w:rsid w:val="00B96F38"/>
    <w:rsid w:val="00BC4B62"/>
    <w:rsid w:val="00BC716B"/>
    <w:rsid w:val="00BD0C19"/>
    <w:rsid w:val="00BD0E74"/>
    <w:rsid w:val="00BD5F8C"/>
    <w:rsid w:val="00BE29DD"/>
    <w:rsid w:val="00BE49A5"/>
    <w:rsid w:val="00C066AF"/>
    <w:rsid w:val="00C10E06"/>
    <w:rsid w:val="00C145B8"/>
    <w:rsid w:val="00C2438F"/>
    <w:rsid w:val="00C31AF0"/>
    <w:rsid w:val="00C32A7E"/>
    <w:rsid w:val="00C34359"/>
    <w:rsid w:val="00C34F28"/>
    <w:rsid w:val="00C368DF"/>
    <w:rsid w:val="00C442C5"/>
    <w:rsid w:val="00C57B5C"/>
    <w:rsid w:val="00C57C7C"/>
    <w:rsid w:val="00C61049"/>
    <w:rsid w:val="00C63FFE"/>
    <w:rsid w:val="00C7119A"/>
    <w:rsid w:val="00C91EB6"/>
    <w:rsid w:val="00CA10B0"/>
    <w:rsid w:val="00CA2F8E"/>
    <w:rsid w:val="00CA3EE2"/>
    <w:rsid w:val="00CA7FD5"/>
    <w:rsid w:val="00CB1738"/>
    <w:rsid w:val="00CB3287"/>
    <w:rsid w:val="00CB33E2"/>
    <w:rsid w:val="00CB4E68"/>
    <w:rsid w:val="00CC2733"/>
    <w:rsid w:val="00CD0050"/>
    <w:rsid w:val="00CE016F"/>
    <w:rsid w:val="00CE7481"/>
    <w:rsid w:val="00CF0A8F"/>
    <w:rsid w:val="00D048CE"/>
    <w:rsid w:val="00D0637A"/>
    <w:rsid w:val="00D10998"/>
    <w:rsid w:val="00D141FE"/>
    <w:rsid w:val="00D15CBD"/>
    <w:rsid w:val="00D221CB"/>
    <w:rsid w:val="00D23391"/>
    <w:rsid w:val="00D31805"/>
    <w:rsid w:val="00D41538"/>
    <w:rsid w:val="00D41BDF"/>
    <w:rsid w:val="00D42101"/>
    <w:rsid w:val="00D552B9"/>
    <w:rsid w:val="00D64FE5"/>
    <w:rsid w:val="00D67F8D"/>
    <w:rsid w:val="00D735B2"/>
    <w:rsid w:val="00D74021"/>
    <w:rsid w:val="00D75E0B"/>
    <w:rsid w:val="00D76D01"/>
    <w:rsid w:val="00D85D9C"/>
    <w:rsid w:val="00D922A9"/>
    <w:rsid w:val="00D9394A"/>
    <w:rsid w:val="00DA145F"/>
    <w:rsid w:val="00DB0CBB"/>
    <w:rsid w:val="00DB67CC"/>
    <w:rsid w:val="00DC3783"/>
    <w:rsid w:val="00DC416D"/>
    <w:rsid w:val="00DC6543"/>
    <w:rsid w:val="00DD30EE"/>
    <w:rsid w:val="00DE1070"/>
    <w:rsid w:val="00E00219"/>
    <w:rsid w:val="00E0316B"/>
    <w:rsid w:val="00E25E10"/>
    <w:rsid w:val="00E354B8"/>
    <w:rsid w:val="00E50B41"/>
    <w:rsid w:val="00E5219B"/>
    <w:rsid w:val="00E52D07"/>
    <w:rsid w:val="00E5518B"/>
    <w:rsid w:val="00E609FE"/>
    <w:rsid w:val="00E630BE"/>
    <w:rsid w:val="00E7090C"/>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6EB"/>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715"/>
    <w:rsid w:val="00F938E7"/>
    <w:rsid w:val="00F97B8D"/>
    <w:rsid w:val="00FA3B17"/>
    <w:rsid w:val="00FA5E8D"/>
    <w:rsid w:val="00FA5F3D"/>
    <w:rsid w:val="00FB399E"/>
    <w:rsid w:val="00FB7F50"/>
    <w:rsid w:val="00FC0C9E"/>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1/1/62/&#1740;&#1589;&#1583;&#1602;" TargetMode="External"/><Relationship Id="rId1" Type="http://schemas.openxmlformats.org/officeDocument/2006/relationships/hyperlink" Target="http://lib.eshia.ir/10081/1/62/&#1740;&#1589;&#1583;&#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9047-72D0-457C-BC0F-1FA066DE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906</Words>
  <Characters>5167</Characters>
  <Application>Microsoft Office Word</Application>
  <DocSecurity>0</DocSecurity>
  <Lines>43</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6061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cp:lastPrinted>2020-01-14T11:42:00Z</cp:lastPrinted>
  <dcterms:created xsi:type="dcterms:W3CDTF">2020-01-14T11:45:00Z</dcterms:created>
  <dcterms:modified xsi:type="dcterms:W3CDTF">2020-01-28T11:46:00Z</dcterms:modified>
  <cp:contentStatus>ویرایش 2.5</cp:contentStatus>
  <cp:version>2.7</cp:version>
</cp:coreProperties>
</file>