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D1" w:rsidRDefault="001917D1" w:rsidP="001917D1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632423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632423"/>
          <w:sz w:val="24"/>
          <w:szCs w:val="24"/>
          <w:shd w:val="clear" w:color="auto" w:fill="FFFFFF"/>
          <w:rtl/>
        </w:rPr>
        <w:t>درس خارج فقه استاد سید محمد جواد شبیری</w:t>
      </w:r>
    </w:p>
    <w:p w:rsidR="001917D1" w:rsidRDefault="001917D1" w:rsidP="001917D1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جلسه2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1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4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– 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10</w:t>
      </w:r>
      <w:bookmarkStart w:id="0" w:name="_GoBack"/>
      <w:bookmarkEnd w:id="0"/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/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10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/ 1398 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قبول قول زن در عده/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م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ساله پنجم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تکمله‌ی عروه/ اقوال فقها در عده/کتاب العدد</w:t>
      </w:r>
    </w:p>
    <w:p w:rsidR="008F5B4D" w:rsidRPr="009C66D5" w:rsidRDefault="008F5B4D" w:rsidP="008F5B4D">
      <w:pPr>
        <w:rPr>
          <w:rStyle w:val="Emphasis"/>
          <w:b/>
          <w:bCs w:val="0"/>
          <w:rtl/>
        </w:rPr>
      </w:pPr>
      <w:r w:rsidRPr="009C66D5">
        <w:rPr>
          <w:rStyle w:val="Emphasis"/>
          <w:rFonts w:hint="cs"/>
          <w:b/>
          <w:bCs w:val="0"/>
          <w:rtl/>
        </w:rPr>
        <w:t>خلاصه</w:t>
      </w:r>
      <w:r w:rsidR="001F3E90">
        <w:rPr>
          <w:rStyle w:val="Emphasis"/>
          <w:rFonts w:hint="cs"/>
          <w:b/>
          <w:bCs w:val="0"/>
          <w:rtl/>
        </w:rPr>
        <w:t>‌ی</w:t>
      </w:r>
      <w:r w:rsidRPr="009C66D5">
        <w:rPr>
          <w:rStyle w:val="Emphasis"/>
          <w:rFonts w:hint="cs"/>
          <w:b/>
          <w:bCs w:val="0"/>
          <w:rtl/>
        </w:rPr>
        <w:t xml:space="preserve"> مباحث گذشته:</w:t>
      </w:r>
    </w:p>
    <w:p w:rsidR="003A6148" w:rsidRDefault="00F713AC" w:rsidP="001F3E90">
      <w:pPr>
        <w:pBdr>
          <w:bottom w:val="double" w:sz="6" w:space="1" w:color="auto"/>
        </w:pBdr>
        <w:jc w:val="both"/>
        <w:rPr>
          <w:rtl/>
        </w:rPr>
      </w:pPr>
      <w:r>
        <w:rPr>
          <w:rFonts w:hint="cs"/>
          <w:rtl/>
        </w:rPr>
        <w:t>بحث در مساله‌ی پنجم تکمله‌ی عروه بود و این که قول زن در مورد انقضاء عده در چه مواردی مقبول است؟</w:t>
      </w:r>
    </w:p>
    <w:p w:rsidR="00F713AC" w:rsidRDefault="00F713AC" w:rsidP="001F3E90">
      <w:pPr>
        <w:pBdr>
          <w:bottom w:val="double" w:sz="6" w:space="1" w:color="auto"/>
        </w:pBdr>
        <w:jc w:val="both"/>
        <w:rPr>
          <w:rtl/>
        </w:rPr>
      </w:pPr>
      <w:r>
        <w:rPr>
          <w:rFonts w:hint="cs"/>
          <w:rtl/>
        </w:rPr>
        <w:t xml:space="preserve">نتیجه این شد که اگر ادعای زن در مورد انقضاء عده به اقراء یا </w:t>
      </w:r>
      <w:r w:rsidR="00730B0E">
        <w:rPr>
          <w:rFonts w:hint="cs"/>
          <w:rtl/>
        </w:rPr>
        <w:t xml:space="preserve">انقضاء عده به </w:t>
      </w:r>
      <w:r>
        <w:rPr>
          <w:rFonts w:hint="cs"/>
          <w:rtl/>
        </w:rPr>
        <w:t>حمل باشد، قولش معتبر است اما اگر</w:t>
      </w:r>
      <w:r w:rsidR="00062FCB">
        <w:rPr>
          <w:rFonts w:hint="cs"/>
          <w:rtl/>
        </w:rPr>
        <w:t xml:space="preserve"> ادعایش در مورد انقضاء عده</w:t>
      </w:r>
      <w:r>
        <w:rPr>
          <w:rFonts w:hint="cs"/>
          <w:rtl/>
        </w:rPr>
        <w:t xml:space="preserve"> به شهور باشد، قولش معتبر نیست.</w:t>
      </w:r>
    </w:p>
    <w:p w:rsidR="00062FCB" w:rsidRDefault="00062FCB" w:rsidP="001F3E90">
      <w:pPr>
        <w:pBdr>
          <w:bottom w:val="double" w:sz="6" w:space="1" w:color="auto"/>
        </w:pBdr>
        <w:jc w:val="both"/>
        <w:rPr>
          <w:rtl/>
        </w:rPr>
      </w:pPr>
      <w:r>
        <w:rPr>
          <w:rFonts w:hint="cs"/>
          <w:rtl/>
        </w:rPr>
        <w:t>شیخ طوسی و محقق حلی هم این تفصیل را پذیرفته اند اما استدلال شیخ طوسی با بیان ما متفاوت است.</w:t>
      </w:r>
    </w:p>
    <w:p w:rsidR="00247D2F" w:rsidRPr="003A6148" w:rsidRDefault="00247D2F" w:rsidP="001F3E90">
      <w:pPr>
        <w:pBdr>
          <w:bottom w:val="double" w:sz="6" w:space="1" w:color="auto"/>
        </w:pBdr>
        <w:jc w:val="both"/>
      </w:pPr>
    </w:p>
    <w:p w:rsidR="008F5B4D" w:rsidRDefault="008F5B4D" w:rsidP="001F3E90">
      <w:pPr>
        <w:jc w:val="both"/>
      </w:pPr>
    </w:p>
    <w:p w:rsidR="003E6650" w:rsidRDefault="004B5693" w:rsidP="00E70082">
      <w:pPr>
        <w:pStyle w:val="Heading1"/>
        <w:rPr>
          <w:rtl/>
        </w:rPr>
      </w:pPr>
      <w:bookmarkStart w:id="1" w:name="_Toc28662529"/>
      <w:bookmarkStart w:id="2" w:name="_Toc28734342"/>
      <w:r>
        <w:rPr>
          <w:rFonts w:hint="cs"/>
          <w:rtl/>
        </w:rPr>
        <w:t>معنای تصدیق قول زن</w:t>
      </w:r>
      <w:bookmarkEnd w:id="1"/>
      <w:bookmarkEnd w:id="2"/>
    </w:p>
    <w:p w:rsidR="009A4371" w:rsidRDefault="009A4371" w:rsidP="00C75BD3">
      <w:pPr>
        <w:jc w:val="both"/>
        <w:rPr>
          <w:rtl/>
        </w:rPr>
      </w:pPr>
      <w:r>
        <w:rPr>
          <w:rFonts w:hint="cs"/>
          <w:rtl/>
        </w:rPr>
        <w:t xml:space="preserve">معنای تصدیق قول زن این است که برای ادعای خودش به بینه </w:t>
      </w:r>
      <w:r w:rsidR="00C75BD3">
        <w:rPr>
          <w:rFonts w:hint="cs"/>
          <w:rtl/>
        </w:rPr>
        <w:t xml:space="preserve">نیازی </w:t>
      </w:r>
      <w:r>
        <w:rPr>
          <w:rFonts w:hint="cs"/>
          <w:rtl/>
        </w:rPr>
        <w:t>ندارد.</w:t>
      </w:r>
    </w:p>
    <w:p w:rsidR="009A4371" w:rsidRDefault="009A4371" w:rsidP="00C75BD3">
      <w:pPr>
        <w:jc w:val="both"/>
        <w:rPr>
          <w:rtl/>
        </w:rPr>
      </w:pPr>
      <w:r>
        <w:rPr>
          <w:rFonts w:hint="cs"/>
          <w:rtl/>
        </w:rPr>
        <w:t>حال اگر ادعای زن در باب تنازع باشد، تصدیق قول او نیازمند یمین است اما در موارد غیر تنازع به یمین</w:t>
      </w:r>
      <w:r w:rsidR="00C75BD3">
        <w:rPr>
          <w:rFonts w:hint="cs"/>
          <w:rtl/>
        </w:rPr>
        <w:t xml:space="preserve"> نیاز</w:t>
      </w:r>
      <w:r>
        <w:rPr>
          <w:rFonts w:hint="cs"/>
          <w:rtl/>
        </w:rPr>
        <w:t xml:space="preserve"> نمی باشد.</w:t>
      </w:r>
    </w:p>
    <w:p w:rsidR="005515CC" w:rsidRDefault="005515CC" w:rsidP="00C75BD3">
      <w:pPr>
        <w:jc w:val="both"/>
        <w:rPr>
          <w:rtl/>
        </w:rPr>
      </w:pPr>
      <w:r>
        <w:rPr>
          <w:rFonts w:hint="cs"/>
          <w:rtl/>
        </w:rPr>
        <w:t>در کلمات فقها هم هر جا گفته می شود «القول قولها» به این معناست که به بینه</w:t>
      </w:r>
      <w:r w:rsidR="00C75BD3" w:rsidRPr="00C75BD3">
        <w:rPr>
          <w:rFonts w:hint="cs"/>
          <w:rtl/>
        </w:rPr>
        <w:t xml:space="preserve"> </w:t>
      </w:r>
      <w:r w:rsidR="00C75BD3">
        <w:rPr>
          <w:rFonts w:hint="cs"/>
          <w:rtl/>
        </w:rPr>
        <w:t>نیازی</w:t>
      </w:r>
      <w:r>
        <w:rPr>
          <w:rFonts w:hint="cs"/>
          <w:rtl/>
        </w:rPr>
        <w:t xml:space="preserve"> نیست، نه این که بدون یمین قولش پذیرفته می شود.</w:t>
      </w:r>
    </w:p>
    <w:p w:rsidR="00D24C4D" w:rsidRDefault="00D24C4D" w:rsidP="00E70082">
      <w:pPr>
        <w:pStyle w:val="Heading1"/>
        <w:rPr>
          <w:rtl/>
        </w:rPr>
      </w:pPr>
      <w:bookmarkStart w:id="3" w:name="_Toc28662530"/>
      <w:bookmarkStart w:id="4" w:name="_Toc28734343"/>
      <w:r>
        <w:rPr>
          <w:rFonts w:hint="cs"/>
          <w:rtl/>
        </w:rPr>
        <w:t>مسموع بودن ادعای علیه زن</w:t>
      </w:r>
      <w:bookmarkEnd w:id="3"/>
      <w:bookmarkEnd w:id="4"/>
    </w:p>
    <w:p w:rsidR="004B5693" w:rsidRDefault="00CD723C" w:rsidP="00DC1246">
      <w:pPr>
        <w:jc w:val="both"/>
        <w:rPr>
          <w:rtl/>
        </w:rPr>
      </w:pPr>
      <w:r>
        <w:rPr>
          <w:rFonts w:hint="cs"/>
          <w:rtl/>
        </w:rPr>
        <w:t>بحث دیگر این است که</w:t>
      </w:r>
      <w:r w:rsidR="00DC1246">
        <w:rPr>
          <w:rFonts w:hint="cs"/>
          <w:rtl/>
        </w:rPr>
        <w:t xml:space="preserve"> در مواردی که قول زن تصدیق می شود، آیا</w:t>
      </w:r>
      <w:r>
        <w:rPr>
          <w:rFonts w:hint="cs"/>
          <w:rtl/>
        </w:rPr>
        <w:t xml:space="preserve"> ادعایی که علیه زن </w:t>
      </w:r>
      <w:r w:rsidR="003B5617">
        <w:rPr>
          <w:rFonts w:hint="cs"/>
          <w:rtl/>
        </w:rPr>
        <w:t xml:space="preserve">مطرح </w:t>
      </w:r>
      <w:r>
        <w:rPr>
          <w:rFonts w:hint="cs"/>
          <w:rtl/>
        </w:rPr>
        <w:t>می شود، مسموع است؟</w:t>
      </w:r>
    </w:p>
    <w:p w:rsidR="00ED1240" w:rsidRPr="00ED1240" w:rsidRDefault="00CD723C" w:rsidP="00ED1240">
      <w:pPr>
        <w:jc w:val="both"/>
      </w:pPr>
      <w:r>
        <w:rPr>
          <w:rFonts w:hint="cs"/>
          <w:rtl/>
        </w:rPr>
        <w:lastRenderedPageBreak/>
        <w:t xml:space="preserve">محقق </w:t>
      </w:r>
      <w:r w:rsidR="00C12B67">
        <w:rPr>
          <w:rFonts w:hint="cs"/>
          <w:rtl/>
        </w:rPr>
        <w:t>کرکی در جامع المقاصد ضمن بحث</w:t>
      </w:r>
      <w:r w:rsidR="00426DC0">
        <w:rPr>
          <w:rFonts w:hint="cs"/>
          <w:rtl/>
        </w:rPr>
        <w:t xml:space="preserve"> دیگر</w:t>
      </w:r>
      <w:r w:rsidR="00C12B67">
        <w:rPr>
          <w:rFonts w:hint="cs"/>
          <w:rtl/>
        </w:rPr>
        <w:t>ی</w:t>
      </w:r>
      <w:r w:rsidR="00ED1240">
        <w:rPr>
          <w:rFonts w:hint="cs"/>
          <w:rtl/>
        </w:rPr>
        <w:t xml:space="preserve"> این مطلب را بیان می کند: </w:t>
      </w:r>
      <w:r w:rsidR="009319C4">
        <w:rPr>
          <w:rFonts w:hint="cs"/>
          <w:rtl/>
        </w:rPr>
        <w:t>«</w:t>
      </w:r>
      <w:r w:rsidR="00ED1240" w:rsidRPr="009319C4">
        <w:rPr>
          <w:rFonts w:hint="cs"/>
          <w:color w:val="000080"/>
          <w:rtl/>
        </w:rPr>
        <w:t>فلو قال الدافع: نويت الدين الفلاني، و قال الآخر: بل نويت الفلاني فله إحلافه، و إن كانت النية أمرا قلبيا لا يطلع عليه إلا من قبله، لأن الأمر‌ الخفي تسمع الدعوى فيه بمجرد التهمة على الأصح، و يترتب عليها اليمين و لا ترد.</w:t>
      </w:r>
      <w:r w:rsidR="009319C4">
        <w:rPr>
          <w:rFonts w:hint="cs"/>
          <w:color w:val="000080"/>
          <w:rtl/>
        </w:rPr>
        <w:t>»</w:t>
      </w:r>
      <w:r w:rsidR="009319C4">
        <w:rPr>
          <w:rStyle w:val="FootnoteReference"/>
          <w:color w:val="000080"/>
          <w:rtl/>
        </w:rPr>
        <w:footnoteReference w:id="1"/>
      </w:r>
    </w:p>
    <w:p w:rsidR="006A2139" w:rsidRDefault="009319C4" w:rsidP="006A2139">
      <w:pPr>
        <w:jc w:val="both"/>
        <w:rPr>
          <w:rtl/>
        </w:rPr>
      </w:pPr>
      <w:r>
        <w:rPr>
          <w:rFonts w:hint="cs"/>
          <w:rtl/>
        </w:rPr>
        <w:t>دافع ادعا می کند که فلان دین را نیت کردم، مثلا دینی را که رهن داشت نیت کردم اما طرف مقابل می گوید: دینی را که رهن نداشت نیت کردی، در این صورت مدفوع الیه می تواند طرح دعوا کند و دافع را قسم دهد</w:t>
      </w:r>
      <w:r w:rsidR="006A2139">
        <w:rPr>
          <w:rFonts w:hint="cs"/>
          <w:rtl/>
        </w:rPr>
        <w:t>.</w:t>
      </w:r>
    </w:p>
    <w:p w:rsidR="00CD723C" w:rsidRDefault="00F553AD" w:rsidP="006A2139">
      <w:pPr>
        <w:jc w:val="both"/>
        <w:rPr>
          <w:rtl/>
        </w:rPr>
      </w:pPr>
      <w:r>
        <w:rPr>
          <w:rFonts w:hint="cs"/>
          <w:rtl/>
        </w:rPr>
        <w:t>ادعا در امر خفی به مجرد تهمت پذیرفته می شود و نتیجه‌ی آن قسم خوردن دافع است.</w:t>
      </w:r>
    </w:p>
    <w:p w:rsidR="00F553AD" w:rsidRPr="00F553AD" w:rsidRDefault="00F553AD" w:rsidP="00F553AD">
      <w:pPr>
        <w:jc w:val="both"/>
      </w:pPr>
      <w:r>
        <w:rPr>
          <w:rFonts w:hint="cs"/>
          <w:rtl/>
        </w:rPr>
        <w:t>شهید ثانی در شرح لمعه می فرماید: «</w:t>
      </w:r>
      <w:r w:rsidRPr="00F553AD">
        <w:rPr>
          <w:rFonts w:hint="cs"/>
          <w:color w:val="000080"/>
          <w:rtl/>
        </w:rPr>
        <w:t>و لو ادعى المشتري من المشتركين المأذونين- شراء شي‌ء لنفسه أو لهما حلف و قبل بيمينه لأن مرجع ذلك إلى قصده و هو أعلم به و الاشتراك لا يعين التصرف بدون القصد و إنما لزمه الحلف مع أن القصد من الأمور الباطنة التي لا تعلم إلا من قبله- لإمكان الاطلاع عليه بإقراره‌</w:t>
      </w:r>
      <w:r>
        <w:rPr>
          <w:rFonts w:hint="cs"/>
          <w:color w:val="000080"/>
          <w:rtl/>
        </w:rPr>
        <w:t>»</w:t>
      </w:r>
      <w:r>
        <w:rPr>
          <w:rStyle w:val="FootnoteReference"/>
          <w:color w:val="000080"/>
          <w:rtl/>
        </w:rPr>
        <w:footnoteReference w:id="2"/>
      </w:r>
    </w:p>
    <w:p w:rsidR="004B5693" w:rsidRDefault="00C5527E" w:rsidP="00C5527E">
      <w:pPr>
        <w:jc w:val="both"/>
        <w:rPr>
          <w:rtl/>
        </w:rPr>
      </w:pPr>
      <w:r>
        <w:rPr>
          <w:rFonts w:hint="cs"/>
          <w:rtl/>
        </w:rPr>
        <w:t>کسی که اذن دارد برای دیگری چیزی بخرد، اگر چیزی خرید و ادعا کرد که برای خودش خریده است، قسم داده می شود و قولش با قسم مقدم می شود، زیرا او به قصدش آگاه تر است.</w:t>
      </w:r>
    </w:p>
    <w:p w:rsidR="004B5693" w:rsidRDefault="00B70688" w:rsidP="001F3E90">
      <w:pPr>
        <w:jc w:val="both"/>
        <w:rPr>
          <w:rtl/>
        </w:rPr>
      </w:pPr>
      <w:r>
        <w:rPr>
          <w:rFonts w:hint="cs"/>
          <w:rtl/>
        </w:rPr>
        <w:t xml:space="preserve">این که دعوای طرف دیگر مسموع است به خاطر این است که امکان اطلاع او به واسطه‌ی اقرار </w:t>
      </w:r>
      <w:r w:rsidR="00C131C8">
        <w:rPr>
          <w:rFonts w:hint="cs"/>
          <w:rtl/>
        </w:rPr>
        <w:t xml:space="preserve">سابق </w:t>
      </w:r>
      <w:r>
        <w:rPr>
          <w:rFonts w:hint="cs"/>
          <w:rtl/>
        </w:rPr>
        <w:t>مشتری</w:t>
      </w:r>
      <w:r w:rsidR="00D47132">
        <w:rPr>
          <w:rFonts w:hint="cs"/>
          <w:rtl/>
        </w:rPr>
        <w:t xml:space="preserve"> یا قرائن دیگر</w:t>
      </w:r>
      <w:r>
        <w:rPr>
          <w:rFonts w:hint="cs"/>
          <w:rtl/>
        </w:rPr>
        <w:t xml:space="preserve"> وجود دارد.</w:t>
      </w:r>
    </w:p>
    <w:p w:rsidR="00F553AD" w:rsidRPr="00E70082" w:rsidRDefault="00E70082" w:rsidP="00E70082">
      <w:pPr>
        <w:pStyle w:val="Heading1"/>
        <w:rPr>
          <w:rtl/>
        </w:rPr>
      </w:pPr>
      <w:bookmarkStart w:id="5" w:name="_Toc28662531"/>
      <w:bookmarkStart w:id="6" w:name="_Toc28734344"/>
      <w:r w:rsidRPr="00E70082">
        <w:rPr>
          <w:rtl/>
        </w:rPr>
        <w:t>کلام مرحوم بجنوردی در القواعد الفقهی</w:t>
      </w:r>
      <w:bookmarkEnd w:id="5"/>
      <w:r w:rsidR="00C75BD3">
        <w:rPr>
          <w:rFonts w:hint="cs"/>
          <w:rtl/>
        </w:rPr>
        <w:t>ه</w:t>
      </w:r>
      <w:bookmarkEnd w:id="6"/>
    </w:p>
    <w:p w:rsidR="00E70082" w:rsidRDefault="00E70082" w:rsidP="00213A02">
      <w:pPr>
        <w:jc w:val="both"/>
        <w:rPr>
          <w:rFonts w:ascii="Noor_Lotus" w:eastAsia="Times New Roman" w:hAnsi="Noor_Lotus"/>
          <w:color w:val="000000"/>
          <w:sz w:val="28"/>
          <w:rtl/>
        </w:rPr>
      </w:pPr>
      <w:r>
        <w:rPr>
          <w:rFonts w:hint="cs"/>
          <w:rtl/>
        </w:rPr>
        <w:t>مرحوم بجنوردی قاعده ای با عنوان «</w:t>
      </w:r>
      <w:r w:rsidRPr="00E70082">
        <w:rPr>
          <w:rFonts w:ascii="Noor_NazliBold" w:eastAsia="Times New Roman" w:hAnsi="Noor_NazliBold" w:hint="cs"/>
          <w:color w:val="000080"/>
          <w:sz w:val="28"/>
          <w:rtl/>
        </w:rPr>
        <w:t>قاعدة كلّ مدّع يسمع قوله فعليه اليمين</w:t>
      </w:r>
      <w:r>
        <w:rPr>
          <w:rFonts w:ascii="Noor_NazliBold" w:eastAsia="Times New Roman" w:hAnsi="Noor_NazliBold" w:hint="cs"/>
          <w:color w:val="000080"/>
          <w:sz w:val="28"/>
          <w:rtl/>
        </w:rPr>
        <w:t>»</w:t>
      </w:r>
      <w:r>
        <w:rPr>
          <w:rStyle w:val="FootnoteReference"/>
          <w:rFonts w:ascii="Noor_NazliBold" w:eastAsia="Times New Roman" w:hAnsi="Noor_NazliBold"/>
          <w:color w:val="000080"/>
          <w:sz w:val="28"/>
          <w:rtl/>
        </w:rPr>
        <w:footnoteReference w:id="3"/>
      </w:r>
      <w:r w:rsidRPr="00E70082">
        <w:rPr>
          <w:rFonts w:ascii="Noor_Lotus" w:eastAsia="Times New Roman" w:hAnsi="Noor_Lotus" w:hint="cs"/>
          <w:color w:val="000000"/>
          <w:sz w:val="28"/>
        </w:rPr>
        <w:t>‌</w:t>
      </w:r>
      <w:r w:rsidRPr="00E70082">
        <w:rPr>
          <w:rFonts w:ascii="Noor_Lotus" w:eastAsia="Times New Roman" w:hAnsi="Noor_Lotus" w:hint="cs"/>
          <w:color w:val="000000"/>
          <w:sz w:val="28"/>
          <w:rtl/>
        </w:rPr>
        <w:t xml:space="preserve"> آورده است</w:t>
      </w:r>
      <w:r w:rsidR="00544D3B">
        <w:rPr>
          <w:rFonts w:ascii="Noor_Lotus" w:eastAsia="Times New Roman" w:hAnsi="Noor_Lotus" w:hint="cs"/>
          <w:color w:val="000000"/>
          <w:sz w:val="28"/>
          <w:rtl/>
        </w:rPr>
        <w:t xml:space="preserve"> و بحث تصدیق قول زن را از مصادیق این قاعده قرار داده است.</w:t>
      </w:r>
    </w:p>
    <w:p w:rsidR="00E70082" w:rsidRDefault="00F747B6" w:rsidP="0061122F">
      <w:pPr>
        <w:jc w:val="both"/>
        <w:rPr>
          <w:rtl/>
        </w:rPr>
      </w:pPr>
      <w:r>
        <w:rPr>
          <w:rFonts w:ascii="Noor_Lotus" w:eastAsia="Times New Roman" w:hAnsi="Noor_Lotus" w:hint="cs"/>
          <w:color w:val="000000"/>
          <w:sz w:val="28"/>
          <w:rtl/>
        </w:rPr>
        <w:lastRenderedPageBreak/>
        <w:t>ایشان می فرماید: گاهی بعضی افراد مدعی هستند اما با این وجود نیازی به اقامه</w:t>
      </w:r>
      <w:r>
        <w:rPr>
          <w:rFonts w:ascii="Noor_Lotus" w:eastAsia="Times New Roman" w:hAnsi="Noor_Lotus" w:hint="eastAsia"/>
          <w:color w:val="000000"/>
          <w:sz w:val="28"/>
        </w:rPr>
        <w:t>‌</w:t>
      </w:r>
      <w:r>
        <w:rPr>
          <w:rFonts w:ascii="Noor_Lotus" w:eastAsia="Times New Roman" w:hAnsi="Noor_Lotus" w:cs="Noor_Lotus"/>
          <w:color w:val="000000"/>
          <w:sz w:val="28"/>
          <w:rtl/>
        </w:rPr>
        <w:t>ی</w:t>
      </w:r>
      <w:r>
        <w:rPr>
          <w:rFonts w:ascii="Noor_Lotus" w:eastAsia="Times New Roman" w:hAnsi="Noor_Lotus" w:hint="cs"/>
          <w:color w:val="000000"/>
          <w:sz w:val="28"/>
          <w:rtl/>
        </w:rPr>
        <w:t xml:space="preserve"> بینه ندارند و یمین بر عهده</w:t>
      </w:r>
      <w:r>
        <w:rPr>
          <w:rFonts w:ascii="Noor_Lotus" w:eastAsia="Times New Roman" w:hAnsi="Noor_Lotus" w:hint="eastAsia"/>
          <w:color w:val="000000"/>
          <w:sz w:val="28"/>
        </w:rPr>
        <w:t>‌</w:t>
      </w:r>
      <w:r>
        <w:rPr>
          <w:rFonts w:ascii="Noor_Lotus" w:eastAsia="Times New Roman" w:hAnsi="Noor_Lotus" w:cs="Noor_Lotus"/>
          <w:color w:val="000000"/>
          <w:sz w:val="28"/>
          <w:rtl/>
        </w:rPr>
        <w:t>ی</w:t>
      </w:r>
      <w:r>
        <w:rPr>
          <w:rFonts w:ascii="Noor_Lotus" w:eastAsia="Times New Roman" w:hAnsi="Noor_Lotus" w:hint="cs"/>
          <w:color w:val="000000"/>
          <w:sz w:val="28"/>
          <w:rtl/>
        </w:rPr>
        <w:t xml:space="preserve"> آن هاست.</w:t>
      </w:r>
      <w:r w:rsidR="0061122F">
        <w:rPr>
          <w:rFonts w:ascii="Noor_NazliBold" w:eastAsia="Times New Roman" w:hAnsi="Noor_NazliBold" w:hint="cs"/>
          <w:color w:val="000000"/>
          <w:sz w:val="28"/>
          <w:rtl/>
        </w:rPr>
        <w:t xml:space="preserve"> </w:t>
      </w:r>
      <w:r w:rsidR="00213A02">
        <w:rPr>
          <w:rFonts w:hint="cs"/>
          <w:rtl/>
        </w:rPr>
        <w:t>در بحث تصدیق قول زن هم با وجود این که زن مدعی است اما بر خلاف قوانین باب قضا نیازی به اقامه‌ی بینه ندارد و با قسم قول او پذیرفته می شود.</w:t>
      </w:r>
    </w:p>
    <w:p w:rsidR="0061122F" w:rsidRDefault="0061122F" w:rsidP="0061122F">
      <w:pPr>
        <w:jc w:val="both"/>
        <w:rPr>
          <w:rtl/>
        </w:rPr>
      </w:pPr>
      <w:r>
        <w:rPr>
          <w:rFonts w:hint="cs"/>
          <w:rtl/>
        </w:rPr>
        <w:t xml:space="preserve">در مورد عدم نیاز به بینه </w:t>
      </w:r>
      <w:r w:rsidR="003E7310">
        <w:rPr>
          <w:rFonts w:hint="cs"/>
          <w:rtl/>
        </w:rPr>
        <w:t xml:space="preserve">در بحث ما </w:t>
      </w:r>
      <w:r>
        <w:rPr>
          <w:rFonts w:hint="cs"/>
          <w:rtl/>
        </w:rPr>
        <w:t>به روایت زراره</w:t>
      </w:r>
      <w:r w:rsidR="003E7310">
        <w:rPr>
          <w:rFonts w:hint="cs"/>
          <w:rtl/>
        </w:rPr>
        <w:t xml:space="preserve"> ( </w:t>
      </w:r>
      <w:r w:rsidR="003E7310" w:rsidRPr="001C38BA">
        <w:rPr>
          <w:rFonts w:hint="cs"/>
          <w:color w:val="008000"/>
          <w:rtl/>
        </w:rPr>
        <w:t>الْعِدَّةُ</w:t>
      </w:r>
      <w:r w:rsidR="003E7310">
        <w:rPr>
          <w:rFonts w:hint="cs"/>
          <w:color w:val="008000"/>
          <w:rtl/>
        </w:rPr>
        <w:t xml:space="preserve"> وَ الْحَيْضُ‏ إِلَى‏ النِّسَاء</w:t>
      </w:r>
      <w:r w:rsidR="003E7310" w:rsidRPr="001D6054">
        <w:rPr>
          <w:rStyle w:val="FootnoteReference"/>
          <w:color w:val="008000"/>
          <w:rtl/>
        </w:rPr>
        <w:footnoteReference w:id="4"/>
      </w:r>
      <w:r w:rsidR="003E7310" w:rsidRPr="002C60ED">
        <w:rPr>
          <w:rFonts w:hint="cs"/>
          <w:rtl/>
        </w:rPr>
        <w:t>)</w:t>
      </w:r>
      <w:r w:rsidR="003E7310">
        <w:rPr>
          <w:rFonts w:hint="cs"/>
          <w:rtl/>
        </w:rPr>
        <w:t xml:space="preserve"> </w:t>
      </w:r>
      <w:r>
        <w:rPr>
          <w:rFonts w:hint="cs"/>
          <w:rtl/>
        </w:rPr>
        <w:t>اشاره می کند</w:t>
      </w:r>
      <w:r w:rsidR="003E7310">
        <w:rPr>
          <w:rFonts w:hint="cs"/>
          <w:rtl/>
        </w:rPr>
        <w:t>.</w:t>
      </w:r>
    </w:p>
    <w:p w:rsidR="003E7310" w:rsidRPr="003E7310" w:rsidRDefault="003E7310" w:rsidP="003E7310">
      <w:pPr>
        <w:jc w:val="both"/>
      </w:pPr>
      <w:r>
        <w:rPr>
          <w:rFonts w:hint="cs"/>
          <w:rtl/>
        </w:rPr>
        <w:t xml:space="preserve">اما در مورد این که چرا یمین بر عهده‌ی زن می باشد، روایتی را می آورد: </w:t>
      </w:r>
      <w:r w:rsidRPr="003E7310">
        <w:rPr>
          <w:rFonts w:hint="cs"/>
          <w:rtl/>
        </w:rPr>
        <w:t>عَلِيُّ بْنُ إِبْرَاهِيمَ عَنْ أَبِيهِ وَ مُحَمَّدُ بْنُ إِسْمَاعِيلَ عَنِ الْفَضْلِ بْنِ شَاذَانَ جَمِيعاً عَنِ ابْنِ أَبِي عُمَيْرٍ عَنْ سَعْدِ بْنِ هِشَامِ‏ بْنِ الْحَكَمِ عَنْ أَبِي عَبْدِ اللَّهِ ع</w:t>
      </w:r>
      <w:r w:rsidR="00552748">
        <w:rPr>
          <w:rFonts w:hint="cs"/>
          <w:rtl/>
        </w:rPr>
        <w:t>لیه السلام</w:t>
      </w:r>
      <w:r w:rsidRPr="003E7310">
        <w:rPr>
          <w:rFonts w:hint="cs"/>
          <w:rtl/>
        </w:rPr>
        <w:t xml:space="preserve"> قَالَ قَالَ رَسُولُ اللَّهِ ص</w:t>
      </w:r>
      <w:r w:rsidR="00552748">
        <w:rPr>
          <w:rFonts w:hint="cs"/>
          <w:rtl/>
        </w:rPr>
        <w:t>لی الله علیه و اله</w:t>
      </w:r>
      <w:r w:rsidR="00146BD3">
        <w:rPr>
          <w:rFonts w:hint="cs"/>
          <w:rtl/>
        </w:rPr>
        <w:t xml:space="preserve"> و سلم</w:t>
      </w:r>
      <w:r w:rsidR="00647ACE">
        <w:rPr>
          <w:rFonts w:hint="cs"/>
          <w:rtl/>
        </w:rPr>
        <w:t>:</w:t>
      </w:r>
      <w:r w:rsidRPr="003E7310">
        <w:rPr>
          <w:rFonts w:hint="cs"/>
          <w:rtl/>
        </w:rPr>
        <w:t xml:space="preserve">‏ </w:t>
      </w:r>
      <w:r w:rsidRPr="00B9697E">
        <w:rPr>
          <w:rFonts w:hint="cs"/>
          <w:color w:val="008000"/>
          <w:rtl/>
        </w:rPr>
        <w:t>إِنَّمَا أَقْضِي‏ بَيْنَكُمْ‏ بِالْبَيِّنَاتِ وَ الْأَيْمَانِ وَ بَعْضُكُمْ أَلْحَنُ بِحُجَّتِهِ مِنْ بَعْضٍ فَأَيُّمَا رَجُلٍ قَطَعْتُ لَهُ مِنْ مَالِ أَخِيهِ شَيْئاً فَإِنَّمَا قَطَعْتُ لَهُ بِهِ قِطْعَةً مِنَ النَّار</w:t>
      </w:r>
      <w:r w:rsidR="00CF18DD">
        <w:rPr>
          <w:rFonts w:hint="cs"/>
          <w:color w:val="008000"/>
          <w:rtl/>
        </w:rPr>
        <w:t>.</w:t>
      </w:r>
    </w:p>
    <w:p w:rsidR="003E7310" w:rsidRDefault="00B9697E" w:rsidP="006840CD">
      <w:pPr>
        <w:jc w:val="both"/>
        <w:rPr>
          <w:rFonts w:ascii="Noor_NazliBold" w:eastAsia="Times New Roman" w:hAnsi="Noor_NazliBold"/>
          <w:color w:val="000000"/>
          <w:sz w:val="28"/>
          <w:rtl/>
        </w:rPr>
      </w:pPr>
      <w:r>
        <w:rPr>
          <w:rFonts w:ascii="Noor_NazliBold" w:eastAsia="Times New Roman" w:hAnsi="Noor_NazliBold" w:hint="cs"/>
          <w:color w:val="000000"/>
          <w:sz w:val="28"/>
          <w:rtl/>
        </w:rPr>
        <w:t>می فرماید: طبق این روایت، برای قضاوت بینه یا یمین لازم است، حال که در این موارد بینه وجود ندارد، باید با یمین حکم شود.</w:t>
      </w:r>
    </w:p>
    <w:p w:rsidR="00774B4C" w:rsidRPr="0061122F" w:rsidRDefault="00774B4C" w:rsidP="00774B4C">
      <w:pPr>
        <w:pStyle w:val="Heading2"/>
        <w:rPr>
          <w:rtl/>
        </w:rPr>
      </w:pPr>
      <w:bookmarkStart w:id="7" w:name="_Toc28662532"/>
      <w:bookmarkStart w:id="8" w:name="_Toc28734345"/>
      <w:r>
        <w:rPr>
          <w:rFonts w:hint="cs"/>
          <w:rtl/>
        </w:rPr>
        <w:t>اشکال به کلام مرحوم بجنوردی</w:t>
      </w:r>
      <w:bookmarkEnd w:id="7"/>
      <w:bookmarkEnd w:id="8"/>
    </w:p>
    <w:p w:rsidR="00774B4C" w:rsidRDefault="00774B4C" w:rsidP="00774B4C">
      <w:pPr>
        <w:pStyle w:val="Heading3"/>
        <w:rPr>
          <w:rtl/>
        </w:rPr>
      </w:pPr>
      <w:bookmarkStart w:id="9" w:name="_Toc28662533"/>
      <w:bookmarkStart w:id="10" w:name="_Toc28734346"/>
      <w:r>
        <w:rPr>
          <w:rFonts w:hint="cs"/>
          <w:rtl/>
        </w:rPr>
        <w:t>اشکال اول</w:t>
      </w:r>
      <w:bookmarkEnd w:id="9"/>
      <w:bookmarkEnd w:id="10"/>
    </w:p>
    <w:p w:rsidR="00F553AD" w:rsidRDefault="00D86604" w:rsidP="00213A02">
      <w:pPr>
        <w:jc w:val="both"/>
        <w:rPr>
          <w:rtl/>
        </w:rPr>
      </w:pPr>
      <w:r>
        <w:rPr>
          <w:rFonts w:hint="cs"/>
          <w:rtl/>
        </w:rPr>
        <w:t>به نظر می رسد فقها که یمین را برای زن لازم می دانند به خاطر این است که او را منکر می دانند.</w:t>
      </w:r>
    </w:p>
    <w:p w:rsidR="00F553AD" w:rsidRDefault="004948C0" w:rsidP="004948C0">
      <w:pPr>
        <w:jc w:val="both"/>
        <w:rPr>
          <w:rtl/>
        </w:rPr>
      </w:pPr>
      <w:r>
        <w:rPr>
          <w:rFonts w:hint="cs"/>
          <w:rtl/>
        </w:rPr>
        <w:t xml:space="preserve">مدعی کسی است که </w:t>
      </w:r>
      <w:r w:rsidR="008171AD">
        <w:rPr>
          <w:rFonts w:hint="cs"/>
          <w:rtl/>
        </w:rPr>
        <w:t>قولش مخالف اصل و مخالف حجت فعلی</w:t>
      </w:r>
      <w:r>
        <w:rPr>
          <w:rFonts w:hint="cs"/>
          <w:rtl/>
        </w:rPr>
        <w:t xml:space="preserve"> است.</w:t>
      </w:r>
    </w:p>
    <w:p w:rsidR="004948C0" w:rsidRDefault="004948C0" w:rsidP="004948C0">
      <w:pPr>
        <w:jc w:val="both"/>
        <w:rPr>
          <w:rtl/>
        </w:rPr>
      </w:pPr>
      <w:r>
        <w:rPr>
          <w:rFonts w:hint="cs"/>
          <w:rtl/>
        </w:rPr>
        <w:t xml:space="preserve">شارع با حجت قرار دادن قول زن و تصدیق قول او مدعی و منکر را تغییر داده است، یعنی قول زن با توجه به تصدیقش موافق اصل می شود و </w:t>
      </w:r>
      <w:r w:rsidR="00750496">
        <w:rPr>
          <w:rFonts w:hint="cs"/>
          <w:rtl/>
        </w:rPr>
        <w:t>منکر خواهد بود.</w:t>
      </w:r>
    </w:p>
    <w:p w:rsidR="0089748C" w:rsidRPr="0089748C" w:rsidRDefault="0089748C" w:rsidP="0089748C">
      <w:pPr>
        <w:jc w:val="both"/>
      </w:pPr>
      <w:r>
        <w:rPr>
          <w:rFonts w:hint="cs"/>
          <w:rtl/>
        </w:rPr>
        <w:lastRenderedPageBreak/>
        <w:t xml:space="preserve">ابن قدامه در مغنی این طور آورده است که در محل بحث ما ابوحنیفه قول زن را بدون یمین مقدم می کند و در مقام رد ابوحنیفه به </w:t>
      </w:r>
      <w:r w:rsidRPr="0089748C">
        <w:rPr>
          <w:rFonts w:hint="cs"/>
          <w:color w:val="008000"/>
          <w:rtl/>
        </w:rPr>
        <w:t>الْبَيِّنَةُ عَلَى مَنِ ادَّعَى وَ الْيَمِي</w:t>
      </w:r>
      <w:r w:rsidR="006A2139">
        <w:rPr>
          <w:rFonts w:hint="cs"/>
          <w:color w:val="008000"/>
          <w:rtl/>
        </w:rPr>
        <w:t>نُ عَلَى مَنِ ادُّعِيَ عَلَيْهِ</w:t>
      </w:r>
      <w:r>
        <w:rPr>
          <w:rStyle w:val="FootnoteReference"/>
          <w:color w:val="008000"/>
          <w:rtl/>
        </w:rPr>
        <w:footnoteReference w:id="5"/>
      </w:r>
      <w:r>
        <w:rPr>
          <w:rFonts w:hint="cs"/>
          <w:color w:val="008000"/>
          <w:rtl/>
        </w:rPr>
        <w:t xml:space="preserve"> </w:t>
      </w:r>
      <w:r w:rsidRPr="0089748C">
        <w:rPr>
          <w:rFonts w:hint="cs"/>
          <w:rtl/>
        </w:rPr>
        <w:t>تم</w:t>
      </w:r>
      <w:r>
        <w:rPr>
          <w:rFonts w:hint="cs"/>
          <w:rtl/>
        </w:rPr>
        <w:t>سک کرده است، یعنی زن را منکر دانسته است.</w:t>
      </w:r>
    </w:p>
    <w:p w:rsidR="00F553AD" w:rsidRDefault="00774B4C" w:rsidP="00774B4C">
      <w:pPr>
        <w:pStyle w:val="Heading3"/>
        <w:rPr>
          <w:rtl/>
        </w:rPr>
      </w:pPr>
      <w:bookmarkStart w:id="11" w:name="_Toc28662534"/>
      <w:bookmarkStart w:id="12" w:name="_Toc28734347"/>
      <w:r>
        <w:rPr>
          <w:rFonts w:hint="cs"/>
          <w:rtl/>
        </w:rPr>
        <w:t>اشکال دوم</w:t>
      </w:r>
      <w:bookmarkEnd w:id="11"/>
      <w:bookmarkEnd w:id="12"/>
    </w:p>
    <w:p w:rsidR="004B5693" w:rsidRDefault="00774B4C" w:rsidP="0094636E">
      <w:pPr>
        <w:jc w:val="both"/>
        <w:rPr>
          <w:rtl/>
        </w:rPr>
      </w:pPr>
      <w:r>
        <w:rPr>
          <w:rFonts w:hint="cs"/>
          <w:rtl/>
        </w:rPr>
        <w:t xml:space="preserve">روایت </w:t>
      </w:r>
      <w:r w:rsidRPr="00B9697E">
        <w:rPr>
          <w:rFonts w:hint="cs"/>
          <w:color w:val="008000"/>
          <w:rtl/>
        </w:rPr>
        <w:t>إِنَّمَا أَقْضِي‏ بَيْنَكُمْ‏ بِالْبَيِّنَاتِ وَ الْأَيْمَانِ</w:t>
      </w:r>
      <w:r>
        <w:rPr>
          <w:rFonts w:hint="cs"/>
          <w:rtl/>
        </w:rPr>
        <w:t xml:space="preserve"> در مقام بیان این مطلب نیست که علی البدل بینه یا یمین باید وجود داشته باشد، بلکه باید با توجه به روایت </w:t>
      </w:r>
      <w:r w:rsidRPr="0089748C">
        <w:rPr>
          <w:rFonts w:hint="cs"/>
          <w:color w:val="008000"/>
          <w:rtl/>
        </w:rPr>
        <w:t>الْبَيِّنَةُ عَلَى مَنِ ادَّعَى وَ الْيَمِي</w:t>
      </w:r>
      <w:r w:rsidR="009A7C2A">
        <w:rPr>
          <w:rFonts w:hint="cs"/>
          <w:color w:val="008000"/>
          <w:rtl/>
        </w:rPr>
        <w:t>نُ عَلَى مَنِ ادُّعِيَ عَلَيْهِ</w:t>
      </w:r>
      <w:r>
        <w:rPr>
          <w:rStyle w:val="FootnoteReference"/>
          <w:color w:val="008000"/>
          <w:rtl/>
        </w:rPr>
        <w:footnoteReference w:id="6"/>
      </w:r>
      <w:r>
        <w:rPr>
          <w:rFonts w:hint="cs"/>
          <w:color w:val="008000"/>
          <w:rtl/>
        </w:rPr>
        <w:t xml:space="preserve"> </w:t>
      </w:r>
      <w:r>
        <w:rPr>
          <w:rFonts w:hint="cs"/>
          <w:rtl/>
        </w:rPr>
        <w:t xml:space="preserve">گفته شود که در روایت اول </w:t>
      </w:r>
      <w:r w:rsidR="0094636E">
        <w:rPr>
          <w:rFonts w:hint="cs"/>
          <w:rtl/>
        </w:rPr>
        <w:t xml:space="preserve">بینه </w:t>
      </w:r>
      <w:r>
        <w:rPr>
          <w:rFonts w:hint="cs"/>
          <w:rtl/>
        </w:rPr>
        <w:t>بر عهده‌ی مدعی است و یمین بر ع</w:t>
      </w:r>
      <w:r w:rsidR="00D56450">
        <w:rPr>
          <w:rFonts w:hint="cs"/>
          <w:rtl/>
        </w:rPr>
        <w:t>ه</w:t>
      </w:r>
      <w:r>
        <w:rPr>
          <w:rFonts w:hint="cs"/>
          <w:rtl/>
        </w:rPr>
        <w:t>ده‌ی منکر می باشد.</w:t>
      </w:r>
    </w:p>
    <w:p w:rsidR="00057CE1" w:rsidRDefault="002C5185" w:rsidP="00ED01F2">
      <w:pPr>
        <w:jc w:val="both"/>
        <w:rPr>
          <w:rtl/>
        </w:rPr>
      </w:pPr>
      <w:r>
        <w:rPr>
          <w:rFonts w:hint="cs"/>
          <w:rtl/>
        </w:rPr>
        <w:t>بنابراین در جایی که می دانیم مدعی به بینه</w:t>
      </w:r>
      <w:r w:rsidR="00C61290" w:rsidRPr="00C61290">
        <w:rPr>
          <w:rFonts w:hint="cs"/>
          <w:rtl/>
        </w:rPr>
        <w:t xml:space="preserve"> </w:t>
      </w:r>
      <w:r w:rsidR="00C61290">
        <w:rPr>
          <w:rFonts w:hint="cs"/>
          <w:rtl/>
        </w:rPr>
        <w:t>نیاز</w:t>
      </w:r>
      <w:r>
        <w:rPr>
          <w:rFonts w:hint="cs"/>
          <w:rtl/>
        </w:rPr>
        <w:t xml:space="preserve"> ندارد، دیگر نمی توان گفت باید قسم بخورد، زیرا مدعی وظیفه اش فقط اقامه‌ی بینه ب</w:t>
      </w:r>
      <w:r w:rsidR="000B0B62">
        <w:rPr>
          <w:rFonts w:hint="cs"/>
          <w:rtl/>
        </w:rPr>
        <w:t>ود و قسم بر عهده‌ی منکر می باشد،</w:t>
      </w:r>
      <w:r w:rsidR="00ED01F2">
        <w:rPr>
          <w:rFonts w:hint="cs"/>
          <w:rtl/>
        </w:rPr>
        <w:t xml:space="preserve"> </w:t>
      </w:r>
      <w:r w:rsidR="00057CE1">
        <w:rPr>
          <w:rFonts w:hint="cs"/>
          <w:rtl/>
        </w:rPr>
        <w:t>مگر در مواردی که در خود روایات گفته شده است، مثلا پس از نکول منکر، قسم وظیفه‌ی مدعی است اما در ابتدا مدعی وظیفه اش فقط اقامه‌ی بینه است.</w:t>
      </w:r>
    </w:p>
    <w:p w:rsidR="0087485C" w:rsidRPr="006162A2" w:rsidRDefault="0087485C" w:rsidP="00057CE1">
      <w:pPr>
        <w:jc w:val="both"/>
        <w:rPr>
          <w:rtl/>
        </w:rPr>
      </w:pPr>
    </w:p>
    <w:sectPr w:rsidR="0087485C" w:rsidRPr="006162A2" w:rsidSect="00F91B85">
      <w:headerReference w:type="default" r:id="rId8"/>
      <w:footerReference w:type="default" r:id="rId9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2BF" w:rsidRDefault="003D42BF" w:rsidP="008B750B">
      <w:pPr>
        <w:spacing w:line="240" w:lineRule="auto"/>
      </w:pPr>
      <w:r>
        <w:separator/>
      </w:r>
    </w:p>
  </w:endnote>
  <w:endnote w:type="continuationSeparator" w:id="0">
    <w:p w:rsidR="003D42BF" w:rsidRDefault="003D42BF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Noor_Lotus">
    <w:altName w:val="Segoe UI Semilight"/>
    <w:charset w:val="00"/>
    <w:family w:val="auto"/>
    <w:pitch w:val="variable"/>
    <w:sig w:usb0="00000000" w:usb1="80002000" w:usb2="00000008" w:usb3="00000000" w:csb0="00000043" w:csb1="00000000"/>
  </w:font>
  <w:font w:name="Noor_NazliBold">
    <w:panose1 w:val="00000000000000000000"/>
    <w:charset w:val="00"/>
    <w:family w:val="roman"/>
    <w:notTrueType/>
    <w:pitch w:val="default"/>
  </w:font>
  <w:font w:name="Alaem">
    <w:altName w:val="Times New Roman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293"/>
      <w:gridCol w:w="2209"/>
      <w:gridCol w:w="4702"/>
    </w:tblGrid>
    <w:tr w:rsidR="006D44C1" w:rsidRPr="006D44C1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6D44C1" w:rsidRDefault="006D44C1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917D1" w:rsidRPr="001917D1">
            <w:rPr>
              <w:noProof/>
              <w:rtl/>
              <w:lang w:val="fa-IR"/>
            </w:rPr>
            <w:t>4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6D44C1" w:rsidRDefault="007A79F7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20" w:name="BokAdres"/>
          <w:bookmarkEnd w:id="20"/>
          <w:r>
            <w:rPr>
              <w:color w:val="808080" w:themeColor="background1" w:themeShade="80"/>
            </w:rPr>
            <w:t>F1js1_13981008-046_mk3_mfeb.ir</w:t>
          </w:r>
        </w:p>
      </w:tc>
    </w:tr>
  </w:tbl>
  <w:p w:rsidR="00FA3B17" w:rsidRDefault="00FA3B17" w:rsidP="00FA5F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2BF" w:rsidRDefault="003D42BF" w:rsidP="008B750B">
      <w:pPr>
        <w:spacing w:line="240" w:lineRule="auto"/>
      </w:pPr>
      <w:r>
        <w:separator/>
      </w:r>
    </w:p>
  </w:footnote>
  <w:footnote w:type="continuationSeparator" w:id="0">
    <w:p w:rsidR="003D42BF" w:rsidRDefault="003D42BF" w:rsidP="008B750B">
      <w:pPr>
        <w:spacing w:line="240" w:lineRule="auto"/>
      </w:pPr>
      <w:r>
        <w:continuationSeparator/>
      </w:r>
    </w:p>
  </w:footnote>
  <w:footnote w:id="1">
    <w:p w:rsidR="009319C4" w:rsidRPr="009319C4" w:rsidRDefault="009319C4" w:rsidP="009319C4">
      <w:pPr>
        <w:pStyle w:val="FootnoteText"/>
      </w:pPr>
      <w:r w:rsidRPr="009319C4">
        <w:footnoteRef/>
      </w:r>
      <w:r w:rsidRPr="009319C4">
        <w:rPr>
          <w:rtl/>
        </w:rPr>
        <w:t xml:space="preserve"> </w:t>
      </w:r>
      <w:hyperlink r:id="rId1" w:history="1">
        <w:r w:rsidRPr="009319C4">
          <w:rPr>
            <w:rStyle w:val="Hyperlink"/>
            <w:rFonts w:hint="cs"/>
            <w:rtl/>
          </w:rPr>
          <w:t>جامع</w:t>
        </w:r>
        <w:r w:rsidRPr="009319C4">
          <w:rPr>
            <w:rStyle w:val="Hyperlink"/>
            <w:rtl/>
          </w:rPr>
          <w:t xml:space="preserve"> </w:t>
        </w:r>
        <w:r w:rsidRPr="009319C4">
          <w:rPr>
            <w:rStyle w:val="Hyperlink"/>
            <w:rFonts w:hint="cs"/>
            <w:rtl/>
          </w:rPr>
          <w:t>المقاصد</w:t>
        </w:r>
        <w:r w:rsidRPr="009319C4">
          <w:rPr>
            <w:rStyle w:val="Hyperlink"/>
            <w:rtl/>
          </w:rPr>
          <w:t xml:space="preserve"> </w:t>
        </w:r>
        <w:r w:rsidRPr="009319C4">
          <w:rPr>
            <w:rStyle w:val="Hyperlink"/>
            <w:rFonts w:hint="cs"/>
            <w:rtl/>
          </w:rPr>
          <w:t>فی</w:t>
        </w:r>
        <w:r w:rsidRPr="009319C4">
          <w:rPr>
            <w:rStyle w:val="Hyperlink"/>
            <w:rtl/>
          </w:rPr>
          <w:t xml:space="preserve"> </w:t>
        </w:r>
        <w:r w:rsidRPr="009319C4">
          <w:rPr>
            <w:rStyle w:val="Hyperlink"/>
            <w:rFonts w:hint="cs"/>
            <w:rtl/>
          </w:rPr>
          <w:t>شرح</w:t>
        </w:r>
        <w:r w:rsidRPr="009319C4">
          <w:rPr>
            <w:rStyle w:val="Hyperlink"/>
            <w:rtl/>
          </w:rPr>
          <w:t xml:space="preserve"> </w:t>
        </w:r>
        <w:r w:rsidRPr="009319C4">
          <w:rPr>
            <w:rStyle w:val="Hyperlink"/>
            <w:rFonts w:hint="cs"/>
            <w:rtl/>
          </w:rPr>
          <w:t>القواعد،</w:t>
        </w:r>
        <w:r w:rsidRPr="009319C4">
          <w:rPr>
            <w:rStyle w:val="Hyperlink"/>
            <w:rtl/>
          </w:rPr>
          <w:t xml:space="preserve"> </w:t>
        </w:r>
        <w:r w:rsidRPr="009319C4">
          <w:rPr>
            <w:rStyle w:val="Hyperlink"/>
            <w:rFonts w:hint="cs"/>
            <w:rtl/>
          </w:rPr>
          <w:t>علی</w:t>
        </w:r>
        <w:r w:rsidRPr="009319C4">
          <w:rPr>
            <w:rStyle w:val="Hyperlink"/>
            <w:rtl/>
          </w:rPr>
          <w:t xml:space="preserve"> </w:t>
        </w:r>
        <w:r w:rsidRPr="009319C4">
          <w:rPr>
            <w:rStyle w:val="Hyperlink"/>
            <w:rFonts w:hint="cs"/>
            <w:rtl/>
          </w:rPr>
          <w:t>بن</w:t>
        </w:r>
        <w:r w:rsidRPr="009319C4">
          <w:rPr>
            <w:rStyle w:val="Hyperlink"/>
            <w:rtl/>
          </w:rPr>
          <w:t xml:space="preserve"> </w:t>
        </w:r>
        <w:r w:rsidRPr="009319C4">
          <w:rPr>
            <w:rStyle w:val="Hyperlink"/>
            <w:rFonts w:hint="cs"/>
            <w:rtl/>
          </w:rPr>
          <w:t>حسین</w:t>
        </w:r>
        <w:r w:rsidRPr="009319C4">
          <w:rPr>
            <w:rStyle w:val="Hyperlink"/>
            <w:rtl/>
          </w:rPr>
          <w:t xml:space="preserve"> </w:t>
        </w:r>
        <w:r w:rsidRPr="009319C4">
          <w:rPr>
            <w:rStyle w:val="Hyperlink"/>
            <w:rFonts w:hint="cs"/>
            <w:rtl/>
          </w:rPr>
          <w:t>کرکی</w:t>
        </w:r>
        <w:r w:rsidRPr="009319C4">
          <w:rPr>
            <w:rStyle w:val="Hyperlink"/>
            <w:rtl/>
          </w:rPr>
          <w:t xml:space="preserve"> (</w:t>
        </w:r>
        <w:r w:rsidRPr="009319C4">
          <w:rPr>
            <w:rStyle w:val="Hyperlink"/>
            <w:rFonts w:hint="cs"/>
            <w:rtl/>
          </w:rPr>
          <w:t>المحقق</w:t>
        </w:r>
        <w:r w:rsidRPr="009319C4">
          <w:rPr>
            <w:rStyle w:val="Hyperlink"/>
            <w:rtl/>
          </w:rPr>
          <w:t xml:space="preserve"> </w:t>
        </w:r>
        <w:r w:rsidRPr="009319C4">
          <w:rPr>
            <w:rStyle w:val="Hyperlink"/>
            <w:rFonts w:hint="cs"/>
            <w:rtl/>
          </w:rPr>
          <w:t>الثانی</w:t>
        </w:r>
        <w:r w:rsidRPr="009319C4">
          <w:rPr>
            <w:rStyle w:val="Hyperlink"/>
            <w:rtl/>
          </w:rPr>
          <w:t>)</w:t>
        </w:r>
        <w:r w:rsidRPr="009319C4">
          <w:rPr>
            <w:rStyle w:val="Hyperlink"/>
            <w:rFonts w:hint="cs"/>
            <w:rtl/>
          </w:rPr>
          <w:t>،</w:t>
        </w:r>
        <w:r w:rsidRPr="009319C4">
          <w:rPr>
            <w:rStyle w:val="Hyperlink"/>
            <w:rtl/>
          </w:rPr>
          <w:t xml:space="preserve"> </w:t>
        </w:r>
        <w:r w:rsidRPr="009319C4">
          <w:rPr>
            <w:rStyle w:val="Hyperlink"/>
            <w:rFonts w:hint="cs"/>
            <w:rtl/>
          </w:rPr>
          <w:t>ج</w:t>
        </w:r>
        <w:r w:rsidRPr="009319C4">
          <w:rPr>
            <w:rStyle w:val="Hyperlink"/>
            <w:rtl/>
          </w:rPr>
          <w:t>5</w:t>
        </w:r>
        <w:r w:rsidRPr="009319C4">
          <w:rPr>
            <w:rStyle w:val="Hyperlink"/>
            <w:rFonts w:hint="cs"/>
            <w:rtl/>
          </w:rPr>
          <w:t>،</w:t>
        </w:r>
        <w:r w:rsidRPr="009319C4">
          <w:rPr>
            <w:rStyle w:val="Hyperlink"/>
            <w:rtl/>
          </w:rPr>
          <w:t xml:space="preserve"> </w:t>
        </w:r>
        <w:r w:rsidRPr="009319C4">
          <w:rPr>
            <w:rStyle w:val="Hyperlink"/>
            <w:rFonts w:hint="cs"/>
            <w:rtl/>
          </w:rPr>
          <w:t>ص</w:t>
        </w:r>
        <w:r w:rsidRPr="009319C4">
          <w:rPr>
            <w:rStyle w:val="Hyperlink"/>
            <w:rtl/>
          </w:rPr>
          <w:t>156.</w:t>
        </w:r>
      </w:hyperlink>
    </w:p>
  </w:footnote>
  <w:footnote w:id="2">
    <w:p w:rsidR="00F553AD" w:rsidRPr="00F553AD" w:rsidRDefault="00F553AD" w:rsidP="00F553AD">
      <w:pPr>
        <w:pStyle w:val="FootnoteText"/>
      </w:pPr>
      <w:r w:rsidRPr="00F553AD">
        <w:footnoteRef/>
      </w:r>
      <w:r w:rsidRPr="00F553AD">
        <w:rPr>
          <w:rtl/>
        </w:rPr>
        <w:t xml:space="preserve"> </w:t>
      </w:r>
      <w:hyperlink r:id="rId2" w:history="1">
        <w:r w:rsidRPr="00F553AD">
          <w:rPr>
            <w:rStyle w:val="Hyperlink"/>
            <w:rFonts w:hint="cs"/>
            <w:rtl/>
          </w:rPr>
          <w:t>الروضة</w:t>
        </w:r>
        <w:r w:rsidRPr="00F553AD">
          <w:rPr>
            <w:rStyle w:val="Hyperlink"/>
            <w:rtl/>
          </w:rPr>
          <w:t xml:space="preserve"> </w:t>
        </w:r>
        <w:r w:rsidRPr="00F553AD">
          <w:rPr>
            <w:rStyle w:val="Hyperlink"/>
            <w:rFonts w:hint="cs"/>
            <w:rtl/>
          </w:rPr>
          <w:t>البهیة</w:t>
        </w:r>
        <w:r w:rsidRPr="00F553AD">
          <w:rPr>
            <w:rStyle w:val="Hyperlink"/>
            <w:rtl/>
          </w:rPr>
          <w:t xml:space="preserve"> </w:t>
        </w:r>
        <w:r w:rsidRPr="00F553AD">
          <w:rPr>
            <w:rStyle w:val="Hyperlink"/>
            <w:rFonts w:hint="cs"/>
            <w:rtl/>
          </w:rPr>
          <w:t>فی</w:t>
        </w:r>
        <w:r w:rsidRPr="00F553AD">
          <w:rPr>
            <w:rStyle w:val="Hyperlink"/>
            <w:rtl/>
          </w:rPr>
          <w:t xml:space="preserve"> </w:t>
        </w:r>
        <w:r w:rsidRPr="00F553AD">
          <w:rPr>
            <w:rStyle w:val="Hyperlink"/>
            <w:rFonts w:hint="cs"/>
            <w:rtl/>
          </w:rPr>
          <w:t>شرح</w:t>
        </w:r>
        <w:r w:rsidRPr="00F553AD">
          <w:rPr>
            <w:rStyle w:val="Hyperlink"/>
            <w:rtl/>
          </w:rPr>
          <w:t xml:space="preserve"> </w:t>
        </w:r>
        <w:r w:rsidRPr="00F553AD">
          <w:rPr>
            <w:rStyle w:val="Hyperlink"/>
            <w:rFonts w:hint="cs"/>
            <w:rtl/>
          </w:rPr>
          <w:t>اللمعة</w:t>
        </w:r>
        <w:r w:rsidRPr="00F553AD">
          <w:rPr>
            <w:rStyle w:val="Hyperlink"/>
            <w:rtl/>
          </w:rPr>
          <w:t xml:space="preserve"> </w:t>
        </w:r>
        <w:r w:rsidRPr="00F553AD">
          <w:rPr>
            <w:rStyle w:val="Hyperlink"/>
            <w:rFonts w:hint="cs"/>
            <w:rtl/>
          </w:rPr>
          <w:t>الدمشقیة،</w:t>
        </w:r>
        <w:r w:rsidRPr="00F553AD">
          <w:rPr>
            <w:rStyle w:val="Hyperlink"/>
            <w:rtl/>
          </w:rPr>
          <w:t xml:space="preserve"> </w:t>
        </w:r>
        <w:r w:rsidRPr="00F553AD">
          <w:rPr>
            <w:rStyle w:val="Hyperlink"/>
            <w:rFonts w:hint="cs"/>
            <w:rtl/>
          </w:rPr>
          <w:t>زین</w:t>
        </w:r>
        <w:r w:rsidRPr="00F553AD">
          <w:rPr>
            <w:rStyle w:val="Hyperlink"/>
            <w:rtl/>
          </w:rPr>
          <w:t xml:space="preserve"> </w:t>
        </w:r>
        <w:r w:rsidRPr="00F553AD">
          <w:rPr>
            <w:rStyle w:val="Hyperlink"/>
            <w:rFonts w:hint="cs"/>
            <w:rtl/>
          </w:rPr>
          <w:t>الدین</w:t>
        </w:r>
        <w:r w:rsidRPr="00F553AD">
          <w:rPr>
            <w:rStyle w:val="Hyperlink"/>
            <w:rtl/>
          </w:rPr>
          <w:t xml:space="preserve"> </w:t>
        </w:r>
        <w:r w:rsidRPr="00F553AD">
          <w:rPr>
            <w:rStyle w:val="Hyperlink"/>
            <w:rFonts w:hint="cs"/>
            <w:rtl/>
          </w:rPr>
          <w:t>بن</w:t>
        </w:r>
        <w:r w:rsidRPr="00F553AD">
          <w:rPr>
            <w:rStyle w:val="Hyperlink"/>
            <w:rtl/>
          </w:rPr>
          <w:t xml:space="preserve"> </w:t>
        </w:r>
        <w:r w:rsidRPr="00F553AD">
          <w:rPr>
            <w:rStyle w:val="Hyperlink"/>
            <w:rFonts w:hint="cs"/>
            <w:rtl/>
          </w:rPr>
          <w:t>علی</w:t>
        </w:r>
        <w:r w:rsidRPr="00F553AD">
          <w:rPr>
            <w:rStyle w:val="Hyperlink"/>
            <w:rtl/>
          </w:rPr>
          <w:t xml:space="preserve"> </w:t>
        </w:r>
        <w:r w:rsidRPr="00F553AD">
          <w:rPr>
            <w:rStyle w:val="Hyperlink"/>
            <w:rFonts w:hint="cs"/>
            <w:rtl/>
          </w:rPr>
          <w:t>العاملی</w:t>
        </w:r>
        <w:r w:rsidRPr="00F553AD">
          <w:rPr>
            <w:rStyle w:val="Hyperlink"/>
            <w:rtl/>
          </w:rPr>
          <w:t xml:space="preserve"> (</w:t>
        </w:r>
        <w:r w:rsidRPr="00F553AD">
          <w:rPr>
            <w:rStyle w:val="Hyperlink"/>
            <w:rFonts w:hint="cs"/>
            <w:rtl/>
          </w:rPr>
          <w:t>الشهید</w:t>
        </w:r>
        <w:r w:rsidRPr="00F553AD">
          <w:rPr>
            <w:rStyle w:val="Hyperlink"/>
            <w:rtl/>
          </w:rPr>
          <w:t xml:space="preserve"> </w:t>
        </w:r>
        <w:r w:rsidRPr="00F553AD">
          <w:rPr>
            <w:rStyle w:val="Hyperlink"/>
            <w:rFonts w:hint="cs"/>
            <w:rtl/>
          </w:rPr>
          <w:t>الثانی</w:t>
        </w:r>
        <w:r w:rsidRPr="00F553AD">
          <w:rPr>
            <w:rStyle w:val="Hyperlink"/>
            <w:rtl/>
          </w:rPr>
          <w:t>)</w:t>
        </w:r>
        <w:r w:rsidRPr="00F553AD">
          <w:rPr>
            <w:rStyle w:val="Hyperlink"/>
            <w:rFonts w:hint="cs"/>
            <w:rtl/>
          </w:rPr>
          <w:t>،</w:t>
        </w:r>
        <w:r w:rsidRPr="00F553AD">
          <w:rPr>
            <w:rStyle w:val="Hyperlink"/>
            <w:rtl/>
          </w:rPr>
          <w:t xml:space="preserve"> </w:t>
        </w:r>
        <w:r w:rsidRPr="00F553AD">
          <w:rPr>
            <w:rStyle w:val="Hyperlink"/>
            <w:rFonts w:hint="cs"/>
            <w:rtl/>
          </w:rPr>
          <w:t>ج</w:t>
        </w:r>
        <w:r w:rsidRPr="00F553AD">
          <w:rPr>
            <w:rStyle w:val="Hyperlink"/>
            <w:rtl/>
          </w:rPr>
          <w:t>4</w:t>
        </w:r>
        <w:r w:rsidRPr="00F553AD">
          <w:rPr>
            <w:rStyle w:val="Hyperlink"/>
            <w:rFonts w:hint="cs"/>
            <w:rtl/>
          </w:rPr>
          <w:t>،</w:t>
        </w:r>
        <w:r w:rsidRPr="00F553AD">
          <w:rPr>
            <w:rStyle w:val="Hyperlink"/>
            <w:rtl/>
          </w:rPr>
          <w:t xml:space="preserve"> </w:t>
        </w:r>
        <w:r w:rsidRPr="00F553AD">
          <w:rPr>
            <w:rStyle w:val="Hyperlink"/>
            <w:rFonts w:hint="cs"/>
            <w:rtl/>
          </w:rPr>
          <w:t>ص</w:t>
        </w:r>
        <w:r w:rsidRPr="00F553AD">
          <w:rPr>
            <w:rStyle w:val="Hyperlink"/>
            <w:rtl/>
          </w:rPr>
          <w:t>207.</w:t>
        </w:r>
      </w:hyperlink>
    </w:p>
  </w:footnote>
  <w:footnote w:id="3">
    <w:p w:rsidR="00E70082" w:rsidRPr="00E70082" w:rsidRDefault="00E70082" w:rsidP="00E70082">
      <w:pPr>
        <w:pStyle w:val="FootnoteText"/>
      </w:pPr>
      <w:r w:rsidRPr="00E70082">
        <w:footnoteRef/>
      </w:r>
      <w:r w:rsidRPr="00E70082">
        <w:rPr>
          <w:rtl/>
        </w:rPr>
        <w:t xml:space="preserve"> </w:t>
      </w:r>
      <w:hyperlink r:id="rId3" w:history="1">
        <w:r w:rsidRPr="00E70082">
          <w:rPr>
            <w:rStyle w:val="Hyperlink"/>
            <w:rFonts w:hint="cs"/>
            <w:rtl/>
          </w:rPr>
          <w:t>القواعد</w:t>
        </w:r>
        <w:r w:rsidRPr="00E70082">
          <w:rPr>
            <w:rStyle w:val="Hyperlink"/>
            <w:rtl/>
          </w:rPr>
          <w:t xml:space="preserve"> </w:t>
        </w:r>
        <w:r w:rsidRPr="00E70082">
          <w:rPr>
            <w:rStyle w:val="Hyperlink"/>
            <w:rFonts w:hint="cs"/>
            <w:rtl/>
          </w:rPr>
          <w:t>الفقهیة،</w:t>
        </w:r>
        <w:r w:rsidRPr="00E70082">
          <w:rPr>
            <w:rStyle w:val="Hyperlink"/>
            <w:rtl/>
          </w:rPr>
          <w:t xml:space="preserve"> </w:t>
        </w:r>
        <w:r w:rsidRPr="00E70082">
          <w:rPr>
            <w:rStyle w:val="Hyperlink"/>
            <w:rFonts w:hint="cs"/>
            <w:rtl/>
          </w:rPr>
          <w:t>السید</w:t>
        </w:r>
        <w:r w:rsidRPr="00E70082">
          <w:rPr>
            <w:rStyle w:val="Hyperlink"/>
            <w:rtl/>
          </w:rPr>
          <w:t xml:space="preserve"> </w:t>
        </w:r>
        <w:r w:rsidRPr="00E70082">
          <w:rPr>
            <w:rStyle w:val="Hyperlink"/>
            <w:rFonts w:hint="cs"/>
            <w:rtl/>
          </w:rPr>
          <w:t>البجنوردی،</w:t>
        </w:r>
        <w:r w:rsidRPr="00E70082">
          <w:rPr>
            <w:rStyle w:val="Hyperlink"/>
            <w:rtl/>
          </w:rPr>
          <w:t xml:space="preserve"> </w:t>
        </w:r>
        <w:r w:rsidRPr="00E70082">
          <w:rPr>
            <w:rStyle w:val="Hyperlink"/>
            <w:rFonts w:hint="cs"/>
            <w:rtl/>
          </w:rPr>
          <w:t>ج</w:t>
        </w:r>
        <w:r w:rsidRPr="00E70082">
          <w:rPr>
            <w:rStyle w:val="Hyperlink"/>
            <w:rtl/>
          </w:rPr>
          <w:t>3</w:t>
        </w:r>
        <w:r w:rsidRPr="00E70082">
          <w:rPr>
            <w:rStyle w:val="Hyperlink"/>
            <w:rFonts w:hint="cs"/>
            <w:rtl/>
          </w:rPr>
          <w:t>،</w:t>
        </w:r>
        <w:r w:rsidRPr="00E70082">
          <w:rPr>
            <w:rStyle w:val="Hyperlink"/>
            <w:rtl/>
          </w:rPr>
          <w:t xml:space="preserve"> </w:t>
        </w:r>
        <w:r w:rsidRPr="00E70082">
          <w:rPr>
            <w:rStyle w:val="Hyperlink"/>
            <w:rFonts w:hint="cs"/>
            <w:rtl/>
          </w:rPr>
          <w:t>ص</w:t>
        </w:r>
        <w:r w:rsidRPr="00E70082">
          <w:rPr>
            <w:rStyle w:val="Hyperlink"/>
            <w:rtl/>
          </w:rPr>
          <w:t>109.</w:t>
        </w:r>
      </w:hyperlink>
    </w:p>
  </w:footnote>
  <w:footnote w:id="4">
    <w:p w:rsidR="003E7310" w:rsidRPr="000848F4" w:rsidRDefault="003E7310" w:rsidP="003E7310">
      <w:pPr>
        <w:pStyle w:val="FootnoteText"/>
      </w:pPr>
      <w:r w:rsidRPr="000848F4">
        <w:footnoteRef/>
      </w:r>
      <w:r w:rsidRPr="000848F4">
        <w:rPr>
          <w:rtl/>
        </w:rPr>
        <w:t xml:space="preserve"> </w:t>
      </w:r>
      <w:hyperlink r:id="rId4" w:history="1">
        <w:r w:rsidRPr="000848F4">
          <w:rPr>
            <w:rStyle w:val="Hyperlink"/>
            <w:rFonts w:hint="cs"/>
            <w:rtl/>
          </w:rPr>
          <w:t>تهذیب</w:t>
        </w:r>
        <w:r w:rsidRPr="000848F4">
          <w:rPr>
            <w:rStyle w:val="Hyperlink"/>
            <w:rtl/>
          </w:rPr>
          <w:t xml:space="preserve"> </w:t>
        </w:r>
        <w:r w:rsidRPr="000848F4">
          <w:rPr>
            <w:rStyle w:val="Hyperlink"/>
            <w:rFonts w:hint="cs"/>
            <w:rtl/>
          </w:rPr>
          <w:t>الاحکام،</w:t>
        </w:r>
        <w:r w:rsidRPr="000848F4">
          <w:rPr>
            <w:rStyle w:val="Hyperlink"/>
            <w:rtl/>
          </w:rPr>
          <w:t xml:space="preserve"> </w:t>
        </w:r>
        <w:r w:rsidRPr="000848F4">
          <w:rPr>
            <w:rStyle w:val="Hyperlink"/>
            <w:rFonts w:hint="cs"/>
            <w:rtl/>
          </w:rPr>
          <w:t>شیخ</w:t>
        </w:r>
        <w:r w:rsidRPr="000848F4">
          <w:rPr>
            <w:rStyle w:val="Hyperlink"/>
            <w:rtl/>
          </w:rPr>
          <w:t xml:space="preserve"> </w:t>
        </w:r>
        <w:r w:rsidRPr="000848F4">
          <w:rPr>
            <w:rStyle w:val="Hyperlink"/>
            <w:rFonts w:hint="cs"/>
            <w:rtl/>
          </w:rPr>
          <w:t>طوسی،</w:t>
        </w:r>
        <w:r w:rsidRPr="000848F4">
          <w:rPr>
            <w:rStyle w:val="Hyperlink"/>
            <w:rtl/>
          </w:rPr>
          <w:t xml:space="preserve"> </w:t>
        </w:r>
        <w:r w:rsidRPr="000848F4">
          <w:rPr>
            <w:rStyle w:val="Hyperlink"/>
            <w:rFonts w:hint="cs"/>
            <w:rtl/>
          </w:rPr>
          <w:t>ج</w:t>
        </w:r>
        <w:r w:rsidRPr="000848F4">
          <w:rPr>
            <w:rStyle w:val="Hyperlink"/>
            <w:rtl/>
          </w:rPr>
          <w:t>1</w:t>
        </w:r>
        <w:r w:rsidRPr="000848F4">
          <w:rPr>
            <w:rStyle w:val="Hyperlink"/>
            <w:rFonts w:hint="cs"/>
            <w:rtl/>
          </w:rPr>
          <w:t>،</w:t>
        </w:r>
        <w:r w:rsidRPr="000848F4">
          <w:rPr>
            <w:rStyle w:val="Hyperlink"/>
            <w:rtl/>
          </w:rPr>
          <w:t xml:space="preserve"> </w:t>
        </w:r>
        <w:r w:rsidRPr="000848F4">
          <w:rPr>
            <w:rStyle w:val="Hyperlink"/>
            <w:rFonts w:hint="cs"/>
            <w:rtl/>
          </w:rPr>
          <w:t>ص</w:t>
        </w:r>
        <w:r w:rsidRPr="000848F4">
          <w:rPr>
            <w:rStyle w:val="Hyperlink"/>
            <w:rtl/>
          </w:rPr>
          <w:t>398.</w:t>
        </w:r>
      </w:hyperlink>
    </w:p>
  </w:footnote>
  <w:footnote w:id="5">
    <w:p w:rsidR="0089748C" w:rsidRPr="0089748C" w:rsidRDefault="0089748C" w:rsidP="0089748C">
      <w:pPr>
        <w:pStyle w:val="FootnoteText"/>
      </w:pPr>
      <w:r w:rsidRPr="0089748C">
        <w:footnoteRef/>
      </w:r>
      <w:r w:rsidRPr="0089748C">
        <w:rPr>
          <w:rtl/>
        </w:rPr>
        <w:t xml:space="preserve"> </w:t>
      </w:r>
      <w:hyperlink r:id="rId5" w:history="1">
        <w:r w:rsidRPr="0089748C">
          <w:rPr>
            <w:rStyle w:val="Hyperlink"/>
            <w:rFonts w:hint="cs"/>
            <w:rtl/>
          </w:rPr>
          <w:t>الکافی،</w:t>
        </w:r>
        <w:r w:rsidRPr="0089748C">
          <w:rPr>
            <w:rStyle w:val="Hyperlink"/>
            <w:rtl/>
          </w:rPr>
          <w:t xml:space="preserve"> </w:t>
        </w:r>
        <w:r w:rsidRPr="0089748C">
          <w:rPr>
            <w:rStyle w:val="Hyperlink"/>
            <w:rFonts w:hint="cs"/>
            <w:rtl/>
          </w:rPr>
          <w:t>محمد</w:t>
        </w:r>
        <w:r w:rsidRPr="0089748C">
          <w:rPr>
            <w:rStyle w:val="Hyperlink"/>
            <w:rtl/>
          </w:rPr>
          <w:t xml:space="preserve"> </w:t>
        </w:r>
        <w:r w:rsidRPr="0089748C">
          <w:rPr>
            <w:rStyle w:val="Hyperlink"/>
            <w:rFonts w:hint="cs"/>
            <w:rtl/>
          </w:rPr>
          <w:t>بن</w:t>
        </w:r>
        <w:r w:rsidRPr="0089748C">
          <w:rPr>
            <w:rStyle w:val="Hyperlink"/>
            <w:rtl/>
          </w:rPr>
          <w:t xml:space="preserve"> </w:t>
        </w:r>
        <w:r w:rsidRPr="0089748C">
          <w:rPr>
            <w:rStyle w:val="Hyperlink"/>
            <w:rFonts w:hint="cs"/>
            <w:rtl/>
          </w:rPr>
          <w:t>یعقوب</w:t>
        </w:r>
        <w:r w:rsidRPr="0089748C">
          <w:rPr>
            <w:rStyle w:val="Hyperlink"/>
            <w:rtl/>
          </w:rPr>
          <w:t xml:space="preserve"> </w:t>
        </w:r>
        <w:r w:rsidRPr="0089748C">
          <w:rPr>
            <w:rStyle w:val="Hyperlink"/>
            <w:rFonts w:hint="cs"/>
            <w:rtl/>
          </w:rPr>
          <w:t>کلینی،</w:t>
        </w:r>
        <w:r w:rsidRPr="0089748C">
          <w:rPr>
            <w:rStyle w:val="Hyperlink"/>
            <w:rtl/>
          </w:rPr>
          <w:t xml:space="preserve"> </w:t>
        </w:r>
        <w:r w:rsidRPr="0089748C">
          <w:rPr>
            <w:rStyle w:val="Hyperlink"/>
            <w:rFonts w:hint="cs"/>
            <w:rtl/>
          </w:rPr>
          <w:t>ج</w:t>
        </w:r>
        <w:r w:rsidRPr="0089748C">
          <w:rPr>
            <w:rStyle w:val="Hyperlink"/>
            <w:rtl/>
          </w:rPr>
          <w:t>7</w:t>
        </w:r>
        <w:r w:rsidRPr="0089748C">
          <w:rPr>
            <w:rStyle w:val="Hyperlink"/>
            <w:rFonts w:hint="cs"/>
            <w:rtl/>
          </w:rPr>
          <w:t>،</w:t>
        </w:r>
        <w:r w:rsidRPr="0089748C">
          <w:rPr>
            <w:rStyle w:val="Hyperlink"/>
            <w:rtl/>
          </w:rPr>
          <w:t xml:space="preserve"> </w:t>
        </w:r>
        <w:r w:rsidRPr="0089748C">
          <w:rPr>
            <w:rStyle w:val="Hyperlink"/>
            <w:rFonts w:hint="cs"/>
            <w:rtl/>
          </w:rPr>
          <w:t>ص</w:t>
        </w:r>
        <w:r w:rsidRPr="0089748C">
          <w:rPr>
            <w:rStyle w:val="Hyperlink"/>
            <w:rtl/>
          </w:rPr>
          <w:t>415.</w:t>
        </w:r>
      </w:hyperlink>
    </w:p>
  </w:footnote>
  <w:footnote w:id="6">
    <w:p w:rsidR="00774B4C" w:rsidRPr="0089748C" w:rsidRDefault="00774B4C" w:rsidP="00774B4C">
      <w:pPr>
        <w:pStyle w:val="FootnoteText"/>
      </w:pPr>
      <w:r w:rsidRPr="0089748C">
        <w:footnoteRef/>
      </w:r>
      <w:r w:rsidRPr="0089748C">
        <w:rPr>
          <w:rtl/>
        </w:rPr>
        <w:t xml:space="preserve"> </w:t>
      </w:r>
      <w:hyperlink r:id="rId6" w:history="1">
        <w:r w:rsidRPr="0089748C">
          <w:rPr>
            <w:rStyle w:val="Hyperlink"/>
            <w:rFonts w:hint="cs"/>
            <w:rtl/>
          </w:rPr>
          <w:t>الکافی،</w:t>
        </w:r>
        <w:r w:rsidRPr="0089748C">
          <w:rPr>
            <w:rStyle w:val="Hyperlink"/>
            <w:rtl/>
          </w:rPr>
          <w:t xml:space="preserve"> </w:t>
        </w:r>
        <w:r w:rsidRPr="0089748C">
          <w:rPr>
            <w:rStyle w:val="Hyperlink"/>
            <w:rFonts w:hint="cs"/>
            <w:rtl/>
          </w:rPr>
          <w:t>محمد</w:t>
        </w:r>
        <w:r w:rsidRPr="0089748C">
          <w:rPr>
            <w:rStyle w:val="Hyperlink"/>
            <w:rtl/>
          </w:rPr>
          <w:t xml:space="preserve"> </w:t>
        </w:r>
        <w:r w:rsidRPr="0089748C">
          <w:rPr>
            <w:rStyle w:val="Hyperlink"/>
            <w:rFonts w:hint="cs"/>
            <w:rtl/>
          </w:rPr>
          <w:t>بن</w:t>
        </w:r>
        <w:r w:rsidRPr="0089748C">
          <w:rPr>
            <w:rStyle w:val="Hyperlink"/>
            <w:rtl/>
          </w:rPr>
          <w:t xml:space="preserve"> </w:t>
        </w:r>
        <w:r w:rsidRPr="0089748C">
          <w:rPr>
            <w:rStyle w:val="Hyperlink"/>
            <w:rFonts w:hint="cs"/>
            <w:rtl/>
          </w:rPr>
          <w:t>یعقوب</w:t>
        </w:r>
        <w:r w:rsidRPr="0089748C">
          <w:rPr>
            <w:rStyle w:val="Hyperlink"/>
            <w:rtl/>
          </w:rPr>
          <w:t xml:space="preserve"> </w:t>
        </w:r>
        <w:r w:rsidRPr="0089748C">
          <w:rPr>
            <w:rStyle w:val="Hyperlink"/>
            <w:rFonts w:hint="cs"/>
            <w:rtl/>
          </w:rPr>
          <w:t>کلینی،</w:t>
        </w:r>
        <w:r w:rsidRPr="0089748C">
          <w:rPr>
            <w:rStyle w:val="Hyperlink"/>
            <w:rtl/>
          </w:rPr>
          <w:t xml:space="preserve"> </w:t>
        </w:r>
        <w:r w:rsidRPr="0089748C">
          <w:rPr>
            <w:rStyle w:val="Hyperlink"/>
            <w:rFonts w:hint="cs"/>
            <w:rtl/>
          </w:rPr>
          <w:t>ج</w:t>
        </w:r>
        <w:r w:rsidRPr="0089748C">
          <w:rPr>
            <w:rStyle w:val="Hyperlink"/>
            <w:rtl/>
          </w:rPr>
          <w:t>7</w:t>
        </w:r>
        <w:r w:rsidRPr="0089748C">
          <w:rPr>
            <w:rStyle w:val="Hyperlink"/>
            <w:rFonts w:hint="cs"/>
            <w:rtl/>
          </w:rPr>
          <w:t>،</w:t>
        </w:r>
        <w:r w:rsidRPr="0089748C">
          <w:rPr>
            <w:rStyle w:val="Hyperlink"/>
            <w:rtl/>
          </w:rPr>
          <w:t xml:space="preserve"> </w:t>
        </w:r>
        <w:r w:rsidRPr="0089748C">
          <w:rPr>
            <w:rStyle w:val="Hyperlink"/>
            <w:rFonts w:hint="cs"/>
            <w:rtl/>
          </w:rPr>
          <w:t>ص</w:t>
        </w:r>
        <w:r w:rsidRPr="0089748C">
          <w:rPr>
            <w:rStyle w:val="Hyperlink"/>
            <w:rtl/>
          </w:rPr>
          <w:t>415.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448" w:rsidRDefault="00935A55" w:rsidP="00F713AC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b/>
        <w:bCs/>
        <w:color w:val="632423" w:themeColor="accent2" w:themeShade="80"/>
        <w:sz w:val="20"/>
        <w:szCs w:val="24"/>
        <w:rtl/>
      </w:rPr>
    </w:pPr>
    <w:r w:rsidRPr="001D2E9A">
      <w:rPr>
        <w:rFonts w:hint="cs"/>
        <w:b/>
        <w:bCs/>
        <w:color w:val="7030A0"/>
        <w:sz w:val="20"/>
        <w:szCs w:val="24"/>
        <w:rtl/>
      </w:rPr>
      <w:t xml:space="preserve">شماره </w:t>
    </w:r>
    <w:r w:rsidR="00FA3B17" w:rsidRPr="001D2E9A">
      <w:rPr>
        <w:rFonts w:hint="cs"/>
        <w:b/>
        <w:bCs/>
        <w:color w:val="7030A0"/>
        <w:sz w:val="20"/>
        <w:szCs w:val="24"/>
        <w:rtl/>
      </w:rPr>
      <w:t>جلسه</w:t>
    </w:r>
    <w:r w:rsidR="00E630BE">
      <w:rPr>
        <w:rFonts w:hint="cs"/>
        <w:b/>
        <w:bCs/>
        <w:sz w:val="20"/>
        <w:szCs w:val="24"/>
        <w:rtl/>
      </w:rPr>
      <w:t xml:space="preserve">: </w:t>
    </w:r>
    <w:bookmarkStart w:id="13" w:name="BokNum"/>
    <w:bookmarkEnd w:id="13"/>
    <w:r w:rsidR="007A79F7">
      <w:rPr>
        <w:b/>
        <w:bCs/>
        <w:sz w:val="20"/>
        <w:szCs w:val="24"/>
        <w:rtl/>
      </w:rPr>
      <w:t>046</w:t>
    </w:r>
    <w:r w:rsidR="001A4ED8">
      <w:rPr>
        <w:rFonts w:hint="cs"/>
        <w:b/>
        <w:bCs/>
        <w:sz w:val="20"/>
        <w:szCs w:val="24"/>
        <w:rtl/>
      </w:rPr>
      <w:tab/>
    </w:r>
  </w:p>
  <w:p w:rsidR="00AC3448" w:rsidRDefault="0021630D" w:rsidP="00F713AC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rFonts w:cs="Alaem"/>
        <w:b/>
        <w:bCs/>
        <w:color w:val="632423" w:themeColor="accent2" w:themeShade="80"/>
        <w:sz w:val="14"/>
        <w:szCs w:val="14"/>
        <w:rtl/>
      </w:rPr>
    </w:pPr>
    <w:r w:rsidRPr="00C32A7E">
      <w:rPr>
        <w:rFonts w:hint="cs"/>
        <w:b/>
        <w:bCs/>
        <w:color w:val="632423" w:themeColor="accent2" w:themeShade="80"/>
        <w:sz w:val="20"/>
        <w:szCs w:val="24"/>
        <w:rtl/>
      </w:rPr>
      <w:t>د</w:t>
    </w:r>
    <w:r w:rsidR="00704813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رس خارج </w:t>
    </w:r>
    <w:bookmarkStart w:id="14" w:name="Bokdars"/>
    <w:bookmarkEnd w:id="14"/>
    <w:r w:rsidR="007A79F7">
      <w:rPr>
        <w:rFonts w:hint="cs"/>
        <w:b/>
        <w:bCs/>
        <w:color w:val="632423" w:themeColor="accent2" w:themeShade="80"/>
        <w:sz w:val="20"/>
        <w:szCs w:val="24"/>
        <w:rtl/>
      </w:rPr>
      <w:t>فقه</w:t>
    </w:r>
    <w:r w:rsidR="002B575F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</w:t>
    </w:r>
    <w:r w:rsidR="00FA3B17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استاد </w:t>
    </w:r>
    <w:bookmarkStart w:id="15" w:name="Bokostad"/>
    <w:bookmarkEnd w:id="15"/>
    <w:r w:rsidR="007A79F7">
      <w:rPr>
        <w:rFonts w:hint="cs"/>
        <w:b/>
        <w:bCs/>
        <w:color w:val="632423" w:themeColor="accent2" w:themeShade="80"/>
        <w:sz w:val="20"/>
        <w:szCs w:val="24"/>
        <w:rtl/>
      </w:rPr>
      <w:t>سید</w:t>
    </w:r>
    <w:r w:rsidR="007A79F7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7A79F7">
      <w:rPr>
        <w:rFonts w:hint="cs"/>
        <w:b/>
        <w:bCs/>
        <w:color w:val="632423" w:themeColor="accent2" w:themeShade="80"/>
        <w:sz w:val="20"/>
        <w:szCs w:val="24"/>
        <w:rtl/>
      </w:rPr>
      <w:t>محمد</w:t>
    </w:r>
    <w:r w:rsidR="007A79F7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7A79F7">
      <w:rPr>
        <w:rFonts w:hint="cs"/>
        <w:b/>
        <w:bCs/>
        <w:color w:val="632423" w:themeColor="accent2" w:themeShade="80"/>
        <w:sz w:val="20"/>
        <w:szCs w:val="24"/>
        <w:rtl/>
      </w:rPr>
      <w:t>جواد</w:t>
    </w:r>
    <w:r w:rsidR="007A79F7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7A79F7">
      <w:rPr>
        <w:rFonts w:hint="cs"/>
        <w:b/>
        <w:bCs/>
        <w:color w:val="632423" w:themeColor="accent2" w:themeShade="80"/>
        <w:sz w:val="20"/>
        <w:szCs w:val="24"/>
        <w:rtl/>
      </w:rPr>
      <w:t>شبیری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</w:p>
  <w:p w:rsidR="00AC3448" w:rsidRDefault="00935A55" w:rsidP="00AC3448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 w:rsidR="00E630BE">
      <w:rPr>
        <w:rFonts w:hint="cs"/>
        <w:sz w:val="24"/>
        <w:szCs w:val="24"/>
        <w:rtl/>
      </w:rPr>
      <w:t xml:space="preserve">: </w:t>
    </w:r>
    <w:bookmarkStart w:id="16" w:name="BokTarikh"/>
    <w:bookmarkEnd w:id="16"/>
    <w:r w:rsidR="00F713AC">
      <w:rPr>
        <w:rFonts w:hint="cs"/>
        <w:sz w:val="24"/>
        <w:szCs w:val="24"/>
        <w:rtl/>
      </w:rPr>
      <w:t>10</w:t>
    </w:r>
    <w:r w:rsidR="007A79F7">
      <w:rPr>
        <w:sz w:val="24"/>
        <w:szCs w:val="24"/>
        <w:rtl/>
      </w:rPr>
      <w:t xml:space="preserve"> /10 /1398</w:t>
    </w:r>
  </w:p>
  <w:p w:rsidR="00AC3448" w:rsidRDefault="00935A55" w:rsidP="00AC3448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color w:val="000000" w:themeColor="text1"/>
        <w:sz w:val="24"/>
        <w:szCs w:val="24"/>
        <w:rtl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 w:rsidR="00E630BE">
      <w:rPr>
        <w:rFonts w:hint="cs"/>
        <w:b/>
        <w:bCs/>
        <w:color w:val="7030A0"/>
        <w:sz w:val="24"/>
        <w:szCs w:val="24"/>
        <w:rtl/>
      </w:rPr>
      <w:t>:</w:t>
    </w:r>
    <w:r w:rsidR="00E630BE"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17" w:name="BokSabj"/>
    <w:bookmarkEnd w:id="17"/>
    <w:r w:rsidR="007A79F7">
      <w:rPr>
        <w:rFonts w:hint="cs"/>
        <w:color w:val="000000" w:themeColor="text1"/>
        <w:sz w:val="24"/>
        <w:szCs w:val="24"/>
        <w:rtl/>
      </w:rPr>
      <w:t>مساله</w:t>
    </w:r>
    <w:r w:rsidR="001F3E90">
      <w:rPr>
        <w:rFonts w:hint="cs"/>
        <w:color w:val="000000" w:themeColor="text1"/>
        <w:sz w:val="24"/>
        <w:szCs w:val="24"/>
        <w:rtl/>
      </w:rPr>
      <w:t>‌ی</w:t>
    </w:r>
    <w:r w:rsidR="007A79F7">
      <w:rPr>
        <w:color w:val="000000" w:themeColor="text1"/>
        <w:sz w:val="24"/>
        <w:szCs w:val="24"/>
        <w:rtl/>
      </w:rPr>
      <w:t xml:space="preserve"> </w:t>
    </w:r>
    <w:r w:rsidR="007A79F7">
      <w:rPr>
        <w:rFonts w:hint="cs"/>
        <w:color w:val="000000" w:themeColor="text1"/>
        <w:sz w:val="24"/>
        <w:szCs w:val="24"/>
        <w:rtl/>
      </w:rPr>
      <w:t>پنجم</w:t>
    </w:r>
    <w:r w:rsidR="007A79F7">
      <w:rPr>
        <w:color w:val="000000" w:themeColor="text1"/>
        <w:sz w:val="24"/>
        <w:szCs w:val="24"/>
        <w:rtl/>
      </w:rPr>
      <w:t xml:space="preserve"> </w:t>
    </w:r>
    <w:r w:rsidR="007A79F7">
      <w:rPr>
        <w:rFonts w:hint="cs"/>
        <w:color w:val="000000" w:themeColor="text1"/>
        <w:sz w:val="24"/>
        <w:szCs w:val="24"/>
        <w:rtl/>
      </w:rPr>
      <w:t>تکلمه</w:t>
    </w:r>
    <w:r w:rsidR="001F3E90">
      <w:rPr>
        <w:rFonts w:hint="cs"/>
        <w:color w:val="000000" w:themeColor="text1"/>
        <w:sz w:val="24"/>
        <w:szCs w:val="24"/>
        <w:rtl/>
      </w:rPr>
      <w:t>‌ی</w:t>
    </w:r>
    <w:r w:rsidR="007A79F7">
      <w:rPr>
        <w:color w:val="000000" w:themeColor="text1"/>
        <w:sz w:val="24"/>
        <w:szCs w:val="24"/>
        <w:rtl/>
      </w:rPr>
      <w:t xml:space="preserve"> </w:t>
    </w:r>
    <w:r w:rsidR="007A79F7">
      <w:rPr>
        <w:rFonts w:hint="cs"/>
        <w:color w:val="000000" w:themeColor="text1"/>
        <w:sz w:val="24"/>
        <w:szCs w:val="24"/>
        <w:rtl/>
      </w:rPr>
      <w:t>عروه</w:t>
    </w:r>
  </w:p>
  <w:p w:rsidR="00AC3448" w:rsidRDefault="00935A55" w:rsidP="00AC3448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b/>
        <w:bCs/>
        <w:color w:val="7030A0"/>
        <w:sz w:val="24"/>
        <w:szCs w:val="24"/>
        <w:rtl/>
      </w:rPr>
    </w:pPr>
    <w:r w:rsidRPr="001D2E9A">
      <w:rPr>
        <w:rFonts w:hint="cs"/>
        <w:b/>
        <w:bCs/>
        <w:color w:val="7030A0"/>
        <w:sz w:val="24"/>
        <w:szCs w:val="24"/>
        <w:rtl/>
      </w:rPr>
      <w:t>مقرر</w:t>
    </w:r>
    <w:r w:rsidR="00E630BE">
      <w:rPr>
        <w:rFonts w:hint="cs"/>
        <w:sz w:val="24"/>
        <w:szCs w:val="24"/>
        <w:rtl/>
      </w:rPr>
      <w:t xml:space="preserve">: </w:t>
    </w:r>
    <w:bookmarkStart w:id="18" w:name="Bokmoqarer"/>
    <w:bookmarkEnd w:id="18"/>
    <w:r w:rsidR="00067267">
      <w:rPr>
        <w:rFonts w:hint="cs"/>
        <w:sz w:val="24"/>
        <w:szCs w:val="24"/>
        <w:rtl/>
      </w:rPr>
      <w:t>مرکز فقهی امام محمد باقر علیه السلام</w:t>
    </w:r>
    <w:r w:rsidR="001B6799">
      <w:rPr>
        <w:rFonts w:hint="cs"/>
        <w:sz w:val="24"/>
        <w:szCs w:val="24"/>
        <w:rtl/>
      </w:rPr>
      <w:tab/>
    </w:r>
  </w:p>
  <w:p w:rsidR="00FA3B17" w:rsidRPr="00F16B53" w:rsidRDefault="00935A55" w:rsidP="00AC3448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 w:rsidR="00F16B53">
      <w:rPr>
        <w:rFonts w:hint="cs"/>
        <w:sz w:val="24"/>
        <w:szCs w:val="24"/>
        <w:rtl/>
      </w:rPr>
      <w:t xml:space="preserve">: </w:t>
    </w:r>
    <w:bookmarkStart w:id="19" w:name="BokSabj2"/>
    <w:bookmarkEnd w:id="19"/>
    <w:r w:rsidR="007A79F7">
      <w:rPr>
        <w:rFonts w:hint="cs"/>
        <w:sz w:val="24"/>
        <w:szCs w:val="24"/>
        <w:rtl/>
      </w:rPr>
      <w:t>قبول</w:t>
    </w:r>
    <w:r w:rsidR="007A79F7">
      <w:rPr>
        <w:sz w:val="24"/>
        <w:szCs w:val="24"/>
        <w:rtl/>
      </w:rPr>
      <w:t xml:space="preserve"> </w:t>
    </w:r>
    <w:r w:rsidR="007A79F7">
      <w:rPr>
        <w:rFonts w:hint="cs"/>
        <w:sz w:val="24"/>
        <w:szCs w:val="24"/>
        <w:rtl/>
      </w:rPr>
      <w:t>قول</w:t>
    </w:r>
    <w:r w:rsidR="007A79F7">
      <w:rPr>
        <w:sz w:val="24"/>
        <w:szCs w:val="24"/>
        <w:rtl/>
      </w:rPr>
      <w:t xml:space="preserve"> </w:t>
    </w:r>
    <w:r w:rsidR="007A79F7">
      <w:rPr>
        <w:rFonts w:hint="cs"/>
        <w:sz w:val="24"/>
        <w:szCs w:val="24"/>
        <w:rtl/>
      </w:rPr>
      <w:t>زن</w:t>
    </w:r>
    <w:r w:rsidR="007A79F7">
      <w:rPr>
        <w:sz w:val="24"/>
        <w:szCs w:val="24"/>
        <w:rtl/>
      </w:rPr>
      <w:t xml:space="preserve"> </w:t>
    </w:r>
    <w:r w:rsidR="007A79F7">
      <w:rPr>
        <w:rFonts w:hint="cs"/>
        <w:sz w:val="24"/>
        <w:szCs w:val="24"/>
        <w:rtl/>
      </w:rPr>
      <w:t>در</w:t>
    </w:r>
    <w:r w:rsidR="007A79F7">
      <w:rPr>
        <w:sz w:val="24"/>
        <w:szCs w:val="24"/>
        <w:rtl/>
      </w:rPr>
      <w:t xml:space="preserve"> </w:t>
    </w:r>
    <w:r w:rsidR="007A79F7">
      <w:rPr>
        <w:rFonts w:hint="cs"/>
        <w:sz w:val="24"/>
        <w:szCs w:val="24"/>
        <w:rtl/>
      </w:rPr>
      <w:t>عده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aveSubsetFonts/>
  <w:attachedTemplate r:id="rId1"/>
  <w:stylePaneSortMethod w:val="0000"/>
  <w:defaultTabStop w:val="72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D"/>
    <w:rsid w:val="00000F4E"/>
    <w:rsid w:val="000072A3"/>
    <w:rsid w:val="00024C7F"/>
    <w:rsid w:val="00025777"/>
    <w:rsid w:val="00025B70"/>
    <w:rsid w:val="000353D7"/>
    <w:rsid w:val="00055496"/>
    <w:rsid w:val="00057CE1"/>
    <w:rsid w:val="00062FCB"/>
    <w:rsid w:val="00067267"/>
    <w:rsid w:val="00080A41"/>
    <w:rsid w:val="0008299B"/>
    <w:rsid w:val="000913AA"/>
    <w:rsid w:val="00094847"/>
    <w:rsid w:val="00096C63"/>
    <w:rsid w:val="000B0B62"/>
    <w:rsid w:val="000B5DB5"/>
    <w:rsid w:val="000C3947"/>
    <w:rsid w:val="000D2A37"/>
    <w:rsid w:val="000D30E9"/>
    <w:rsid w:val="000D6818"/>
    <w:rsid w:val="000E335E"/>
    <w:rsid w:val="000F16CF"/>
    <w:rsid w:val="000F5BAC"/>
    <w:rsid w:val="00102585"/>
    <w:rsid w:val="00114AB7"/>
    <w:rsid w:val="00116B2B"/>
    <w:rsid w:val="00124E3D"/>
    <w:rsid w:val="00127E95"/>
    <w:rsid w:val="00130659"/>
    <w:rsid w:val="001343EE"/>
    <w:rsid w:val="001347C7"/>
    <w:rsid w:val="001356B0"/>
    <w:rsid w:val="00146BD3"/>
    <w:rsid w:val="00151937"/>
    <w:rsid w:val="00181844"/>
    <w:rsid w:val="001837E9"/>
    <w:rsid w:val="00187DFA"/>
    <w:rsid w:val="001917D1"/>
    <w:rsid w:val="001A1BC1"/>
    <w:rsid w:val="001A1EA5"/>
    <w:rsid w:val="001A2574"/>
    <w:rsid w:val="001A27D7"/>
    <w:rsid w:val="001A294E"/>
    <w:rsid w:val="001A4ED8"/>
    <w:rsid w:val="001B2488"/>
    <w:rsid w:val="001B6799"/>
    <w:rsid w:val="001C1362"/>
    <w:rsid w:val="001D2E9A"/>
    <w:rsid w:val="001D597F"/>
    <w:rsid w:val="001E3FD4"/>
    <w:rsid w:val="001F3E90"/>
    <w:rsid w:val="0020241A"/>
    <w:rsid w:val="00203821"/>
    <w:rsid w:val="00211632"/>
    <w:rsid w:val="00211B23"/>
    <w:rsid w:val="00213A02"/>
    <w:rsid w:val="0021630D"/>
    <w:rsid w:val="0024121B"/>
    <w:rsid w:val="00247D2F"/>
    <w:rsid w:val="00256560"/>
    <w:rsid w:val="0027605E"/>
    <w:rsid w:val="00281E00"/>
    <w:rsid w:val="00294A52"/>
    <w:rsid w:val="002B575F"/>
    <w:rsid w:val="002B729B"/>
    <w:rsid w:val="002C23B5"/>
    <w:rsid w:val="002C5185"/>
    <w:rsid w:val="002C53A2"/>
    <w:rsid w:val="002D0040"/>
    <w:rsid w:val="002D2FA8"/>
    <w:rsid w:val="002E220F"/>
    <w:rsid w:val="00307311"/>
    <w:rsid w:val="0032100F"/>
    <w:rsid w:val="0033402C"/>
    <w:rsid w:val="003402FE"/>
    <w:rsid w:val="00340521"/>
    <w:rsid w:val="00345C73"/>
    <w:rsid w:val="00354A99"/>
    <w:rsid w:val="00360311"/>
    <w:rsid w:val="00361922"/>
    <w:rsid w:val="00362771"/>
    <w:rsid w:val="0037339B"/>
    <w:rsid w:val="00386C11"/>
    <w:rsid w:val="00397466"/>
    <w:rsid w:val="003A6148"/>
    <w:rsid w:val="003B5617"/>
    <w:rsid w:val="003C33F6"/>
    <w:rsid w:val="003C3D2E"/>
    <w:rsid w:val="003C43A5"/>
    <w:rsid w:val="003D42BF"/>
    <w:rsid w:val="003E1C5C"/>
    <w:rsid w:val="003E6650"/>
    <w:rsid w:val="003E7310"/>
    <w:rsid w:val="003F5B46"/>
    <w:rsid w:val="00401363"/>
    <w:rsid w:val="00402E47"/>
    <w:rsid w:val="00425015"/>
    <w:rsid w:val="00426DC0"/>
    <w:rsid w:val="00430994"/>
    <w:rsid w:val="00441B6D"/>
    <w:rsid w:val="004556EF"/>
    <w:rsid w:val="00462B07"/>
    <w:rsid w:val="00465BD2"/>
    <w:rsid w:val="004715C8"/>
    <w:rsid w:val="00481C31"/>
    <w:rsid w:val="00482FC1"/>
    <w:rsid w:val="00483027"/>
    <w:rsid w:val="004871AA"/>
    <w:rsid w:val="004918D7"/>
    <w:rsid w:val="004926E1"/>
    <w:rsid w:val="004948C0"/>
    <w:rsid w:val="004A2FEA"/>
    <w:rsid w:val="004B5693"/>
    <w:rsid w:val="004C7087"/>
    <w:rsid w:val="004D2DD7"/>
    <w:rsid w:val="004D75C5"/>
    <w:rsid w:val="004E2186"/>
    <w:rsid w:val="004E66FB"/>
    <w:rsid w:val="004F470A"/>
    <w:rsid w:val="004F4C59"/>
    <w:rsid w:val="00500C8F"/>
    <w:rsid w:val="00501909"/>
    <w:rsid w:val="00507BBB"/>
    <w:rsid w:val="005128DF"/>
    <w:rsid w:val="0051592A"/>
    <w:rsid w:val="005206FE"/>
    <w:rsid w:val="005257ED"/>
    <w:rsid w:val="005306F8"/>
    <w:rsid w:val="0054023D"/>
    <w:rsid w:val="005426BF"/>
    <w:rsid w:val="00544D3B"/>
    <w:rsid w:val="005515CC"/>
    <w:rsid w:val="00552748"/>
    <w:rsid w:val="0056213C"/>
    <w:rsid w:val="00580C24"/>
    <w:rsid w:val="005968EF"/>
    <w:rsid w:val="00596C1E"/>
    <w:rsid w:val="005A0C59"/>
    <w:rsid w:val="005A2E26"/>
    <w:rsid w:val="005B7BCA"/>
    <w:rsid w:val="005C0DAE"/>
    <w:rsid w:val="005C188E"/>
    <w:rsid w:val="005D2349"/>
    <w:rsid w:val="005E1B60"/>
    <w:rsid w:val="005E5507"/>
    <w:rsid w:val="005E607B"/>
    <w:rsid w:val="005F0A8D"/>
    <w:rsid w:val="00601229"/>
    <w:rsid w:val="00603B67"/>
    <w:rsid w:val="0061122F"/>
    <w:rsid w:val="006162A2"/>
    <w:rsid w:val="006240DA"/>
    <w:rsid w:val="00631DD1"/>
    <w:rsid w:val="0063256E"/>
    <w:rsid w:val="00633F04"/>
    <w:rsid w:val="00635219"/>
    <w:rsid w:val="00635EC0"/>
    <w:rsid w:val="00640B58"/>
    <w:rsid w:val="00647ACE"/>
    <w:rsid w:val="00651B02"/>
    <w:rsid w:val="00651B19"/>
    <w:rsid w:val="00660A29"/>
    <w:rsid w:val="006840CD"/>
    <w:rsid w:val="00695519"/>
    <w:rsid w:val="006A2139"/>
    <w:rsid w:val="006A4134"/>
    <w:rsid w:val="006A5DDA"/>
    <w:rsid w:val="006A6701"/>
    <w:rsid w:val="006B21F4"/>
    <w:rsid w:val="006B3753"/>
    <w:rsid w:val="006B7AD6"/>
    <w:rsid w:val="006C50FD"/>
    <w:rsid w:val="006D1DD4"/>
    <w:rsid w:val="006D4014"/>
    <w:rsid w:val="006D44C1"/>
    <w:rsid w:val="006E5651"/>
    <w:rsid w:val="006E5B85"/>
    <w:rsid w:val="006F026A"/>
    <w:rsid w:val="0070265B"/>
    <w:rsid w:val="00704813"/>
    <w:rsid w:val="0072290D"/>
    <w:rsid w:val="00723D6D"/>
    <w:rsid w:val="00724537"/>
    <w:rsid w:val="00730B0E"/>
    <w:rsid w:val="00731724"/>
    <w:rsid w:val="0073474B"/>
    <w:rsid w:val="00735511"/>
    <w:rsid w:val="00737208"/>
    <w:rsid w:val="00744DE6"/>
    <w:rsid w:val="00750496"/>
    <w:rsid w:val="00762452"/>
    <w:rsid w:val="007639E0"/>
    <w:rsid w:val="00774B4C"/>
    <w:rsid w:val="00775134"/>
    <w:rsid w:val="00775507"/>
    <w:rsid w:val="00783473"/>
    <w:rsid w:val="0078594B"/>
    <w:rsid w:val="00795E02"/>
    <w:rsid w:val="007979D0"/>
    <w:rsid w:val="007A4E18"/>
    <w:rsid w:val="007A79F7"/>
    <w:rsid w:val="007A7B8C"/>
    <w:rsid w:val="007C6D9E"/>
    <w:rsid w:val="007D1C43"/>
    <w:rsid w:val="007D6C53"/>
    <w:rsid w:val="007E1564"/>
    <w:rsid w:val="007E1E87"/>
    <w:rsid w:val="007E5B3F"/>
    <w:rsid w:val="007F2257"/>
    <w:rsid w:val="0080091D"/>
    <w:rsid w:val="00804108"/>
    <w:rsid w:val="00804FC4"/>
    <w:rsid w:val="00816367"/>
    <w:rsid w:val="00816A0B"/>
    <w:rsid w:val="008171AD"/>
    <w:rsid w:val="00824B22"/>
    <w:rsid w:val="00830C53"/>
    <w:rsid w:val="00837FAA"/>
    <w:rsid w:val="00841F77"/>
    <w:rsid w:val="0085276D"/>
    <w:rsid w:val="00863390"/>
    <w:rsid w:val="0086385C"/>
    <w:rsid w:val="00871916"/>
    <w:rsid w:val="0087485C"/>
    <w:rsid w:val="008956DD"/>
    <w:rsid w:val="0089748C"/>
    <w:rsid w:val="008A510E"/>
    <w:rsid w:val="008A522A"/>
    <w:rsid w:val="008B4464"/>
    <w:rsid w:val="008B750B"/>
    <w:rsid w:val="008C3162"/>
    <w:rsid w:val="008D1F14"/>
    <w:rsid w:val="008E3924"/>
    <w:rsid w:val="008F13F7"/>
    <w:rsid w:val="008F5B4D"/>
    <w:rsid w:val="00907425"/>
    <w:rsid w:val="00923C34"/>
    <w:rsid w:val="00924152"/>
    <w:rsid w:val="0092513D"/>
    <w:rsid w:val="00927A9F"/>
    <w:rsid w:val="009319C4"/>
    <w:rsid w:val="009335CC"/>
    <w:rsid w:val="00935A55"/>
    <w:rsid w:val="00941CEB"/>
    <w:rsid w:val="0094636E"/>
    <w:rsid w:val="0094720F"/>
    <w:rsid w:val="00953B28"/>
    <w:rsid w:val="00954322"/>
    <w:rsid w:val="00957CAA"/>
    <w:rsid w:val="0096778A"/>
    <w:rsid w:val="00977656"/>
    <w:rsid w:val="009846A7"/>
    <w:rsid w:val="0098794D"/>
    <w:rsid w:val="0099497B"/>
    <w:rsid w:val="009A4371"/>
    <w:rsid w:val="009A43BA"/>
    <w:rsid w:val="009A7C2A"/>
    <w:rsid w:val="009B0D05"/>
    <w:rsid w:val="009B4CA6"/>
    <w:rsid w:val="009B79F8"/>
    <w:rsid w:val="009C66D5"/>
    <w:rsid w:val="009D13FD"/>
    <w:rsid w:val="009D266A"/>
    <w:rsid w:val="009F7E07"/>
    <w:rsid w:val="00A01522"/>
    <w:rsid w:val="00A10A11"/>
    <w:rsid w:val="00A13C6A"/>
    <w:rsid w:val="00A17B09"/>
    <w:rsid w:val="00A457C6"/>
    <w:rsid w:val="00A46AD0"/>
    <w:rsid w:val="00A47063"/>
    <w:rsid w:val="00A473A8"/>
    <w:rsid w:val="00A513F0"/>
    <w:rsid w:val="00A61AC8"/>
    <w:rsid w:val="00A6366F"/>
    <w:rsid w:val="00A65D4C"/>
    <w:rsid w:val="00A70512"/>
    <w:rsid w:val="00AA1F60"/>
    <w:rsid w:val="00AA40D7"/>
    <w:rsid w:val="00AB5F7D"/>
    <w:rsid w:val="00AC0C50"/>
    <w:rsid w:val="00AC3448"/>
    <w:rsid w:val="00AC6FE2"/>
    <w:rsid w:val="00AF3925"/>
    <w:rsid w:val="00B1296B"/>
    <w:rsid w:val="00B2292F"/>
    <w:rsid w:val="00B43169"/>
    <w:rsid w:val="00B501A8"/>
    <w:rsid w:val="00B55AE4"/>
    <w:rsid w:val="00B70688"/>
    <w:rsid w:val="00B70B46"/>
    <w:rsid w:val="00B739B0"/>
    <w:rsid w:val="00B814A3"/>
    <w:rsid w:val="00B9697E"/>
    <w:rsid w:val="00B96F38"/>
    <w:rsid w:val="00BC716B"/>
    <w:rsid w:val="00BD0E74"/>
    <w:rsid w:val="00BD5F8C"/>
    <w:rsid w:val="00BE29DD"/>
    <w:rsid w:val="00C066AF"/>
    <w:rsid w:val="00C10E06"/>
    <w:rsid w:val="00C12B67"/>
    <w:rsid w:val="00C131C8"/>
    <w:rsid w:val="00C145B8"/>
    <w:rsid w:val="00C2438F"/>
    <w:rsid w:val="00C31AF0"/>
    <w:rsid w:val="00C32A7E"/>
    <w:rsid w:val="00C34F28"/>
    <w:rsid w:val="00C368DF"/>
    <w:rsid w:val="00C442C5"/>
    <w:rsid w:val="00C5527E"/>
    <w:rsid w:val="00C57B5C"/>
    <w:rsid w:val="00C57C7C"/>
    <w:rsid w:val="00C61049"/>
    <w:rsid w:val="00C61290"/>
    <w:rsid w:val="00C63FFE"/>
    <w:rsid w:val="00C75BD3"/>
    <w:rsid w:val="00C91EB6"/>
    <w:rsid w:val="00CA10B0"/>
    <w:rsid w:val="00CA2F8E"/>
    <w:rsid w:val="00CA3EE2"/>
    <w:rsid w:val="00CA7FD5"/>
    <w:rsid w:val="00CB3287"/>
    <w:rsid w:val="00CB33E2"/>
    <w:rsid w:val="00CB4E68"/>
    <w:rsid w:val="00CC2733"/>
    <w:rsid w:val="00CD0050"/>
    <w:rsid w:val="00CD0544"/>
    <w:rsid w:val="00CD723C"/>
    <w:rsid w:val="00CE7481"/>
    <w:rsid w:val="00CF0A8F"/>
    <w:rsid w:val="00CF18DD"/>
    <w:rsid w:val="00D048CE"/>
    <w:rsid w:val="00D10998"/>
    <w:rsid w:val="00D15CBD"/>
    <w:rsid w:val="00D221CB"/>
    <w:rsid w:val="00D23391"/>
    <w:rsid w:val="00D24C4D"/>
    <w:rsid w:val="00D31805"/>
    <w:rsid w:val="00D47132"/>
    <w:rsid w:val="00D552B9"/>
    <w:rsid w:val="00D56450"/>
    <w:rsid w:val="00D735B2"/>
    <w:rsid w:val="00D74021"/>
    <w:rsid w:val="00D76D01"/>
    <w:rsid w:val="00D86604"/>
    <w:rsid w:val="00D922A9"/>
    <w:rsid w:val="00D9394A"/>
    <w:rsid w:val="00DB0CBB"/>
    <w:rsid w:val="00DB67CC"/>
    <w:rsid w:val="00DC1246"/>
    <w:rsid w:val="00DC3783"/>
    <w:rsid w:val="00DE1070"/>
    <w:rsid w:val="00E00219"/>
    <w:rsid w:val="00E0316B"/>
    <w:rsid w:val="00E25E10"/>
    <w:rsid w:val="00E50B41"/>
    <w:rsid w:val="00E5219B"/>
    <w:rsid w:val="00E52D07"/>
    <w:rsid w:val="00E5518B"/>
    <w:rsid w:val="00E609FE"/>
    <w:rsid w:val="00E630BE"/>
    <w:rsid w:val="00E70082"/>
    <w:rsid w:val="00E75920"/>
    <w:rsid w:val="00E80D96"/>
    <w:rsid w:val="00E871FA"/>
    <w:rsid w:val="00E936A4"/>
    <w:rsid w:val="00E954BB"/>
    <w:rsid w:val="00EA45E7"/>
    <w:rsid w:val="00EB78E3"/>
    <w:rsid w:val="00EB7BE3"/>
    <w:rsid w:val="00EC1C4B"/>
    <w:rsid w:val="00EC735A"/>
    <w:rsid w:val="00ED01F2"/>
    <w:rsid w:val="00ED1240"/>
    <w:rsid w:val="00ED5F38"/>
    <w:rsid w:val="00EF27FE"/>
    <w:rsid w:val="00F06D7A"/>
    <w:rsid w:val="00F07FB6"/>
    <w:rsid w:val="00F149D0"/>
    <w:rsid w:val="00F16B53"/>
    <w:rsid w:val="00F25ECD"/>
    <w:rsid w:val="00F318BE"/>
    <w:rsid w:val="00F33297"/>
    <w:rsid w:val="00F343FB"/>
    <w:rsid w:val="00F359FE"/>
    <w:rsid w:val="00F42159"/>
    <w:rsid w:val="00F4256E"/>
    <w:rsid w:val="00F42EE1"/>
    <w:rsid w:val="00F553AD"/>
    <w:rsid w:val="00F60F1F"/>
    <w:rsid w:val="00F64141"/>
    <w:rsid w:val="00F67508"/>
    <w:rsid w:val="00F713AC"/>
    <w:rsid w:val="00F71FC9"/>
    <w:rsid w:val="00F73B48"/>
    <w:rsid w:val="00F747B6"/>
    <w:rsid w:val="00F74F51"/>
    <w:rsid w:val="00F842AD"/>
    <w:rsid w:val="00F914EB"/>
    <w:rsid w:val="00F91B85"/>
    <w:rsid w:val="00F938E7"/>
    <w:rsid w:val="00FA3B17"/>
    <w:rsid w:val="00FA5E8D"/>
    <w:rsid w:val="00FA5F3D"/>
    <w:rsid w:val="00FB399E"/>
    <w:rsid w:val="00FB7F50"/>
    <w:rsid w:val="00FC2A85"/>
    <w:rsid w:val="00FC40AF"/>
    <w:rsid w:val="00FC73B9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؛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1D"/>
    <w:pPr>
      <w:bidi/>
      <w:spacing w:line="276" w:lineRule="auto"/>
    </w:pPr>
    <w:rPr>
      <w:rFonts w:cs="B Badr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70082"/>
    <w:pPr>
      <w:keepNext/>
      <w:spacing w:before="120"/>
      <w:outlineLvl w:val="0"/>
    </w:pPr>
    <w:rPr>
      <w:rFonts w:ascii="IRTitr" w:eastAsia="Times New Roman" w:hAnsi="IRTitr" w:cs="IR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70082"/>
    <w:rPr>
      <w:rFonts w:ascii="IRTitr" w:eastAsia="Times New Roman" w:hAnsi="IRTitr" w:cs="IR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lib.eshia.ir/13009/3/109/&#1602;&#1575;&#1593;&#1583;&#1577;" TargetMode="External"/><Relationship Id="rId2" Type="http://schemas.openxmlformats.org/officeDocument/2006/relationships/hyperlink" Target="http://lib.eshia.ir/10102/4/207/&#1575;&#1604;&#1605;&#1575;&#1584;&#1608;&#1606;&#1740;&#1606;" TargetMode="External"/><Relationship Id="rId1" Type="http://schemas.openxmlformats.org/officeDocument/2006/relationships/hyperlink" Target="http://lib.eshia.ir/71611/5/156/&#1575;&#1604;&#1583;&#1575;&#1601;&#1593;" TargetMode="External"/><Relationship Id="rId6" Type="http://schemas.openxmlformats.org/officeDocument/2006/relationships/hyperlink" Target="http://lib.eshia.ir/11005/7/415/&#1608;&#1570;&#1604;&#1607;" TargetMode="External"/><Relationship Id="rId5" Type="http://schemas.openxmlformats.org/officeDocument/2006/relationships/hyperlink" Target="http://lib.eshia.ir/11005/7/415/&#1608;&#1570;&#1604;&#1607;" TargetMode="External"/><Relationship Id="rId4" Type="http://schemas.openxmlformats.org/officeDocument/2006/relationships/hyperlink" Target="http://lib.eshia.ir/10083/1/398/&#1583;&#1585;&#1575;&#1580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3770-4017-49A1-9AE0-EEFBC41A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</Template>
  <TotalTime>2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4492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مسعود صدری</cp:lastModifiedBy>
  <cp:revision>3</cp:revision>
  <cp:lastPrinted>2020-01-01T09:45:00Z</cp:lastPrinted>
  <dcterms:created xsi:type="dcterms:W3CDTF">2020-01-01T12:43:00Z</dcterms:created>
  <dcterms:modified xsi:type="dcterms:W3CDTF">2020-01-28T11:39:00Z</dcterms:modified>
  <cp:contentStatus>ویرایش 2.5</cp:contentStatus>
  <cp:version>2.7</cp:version>
</cp:coreProperties>
</file>