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89D" w:rsidRDefault="004A189D" w:rsidP="004A189D">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4A189D" w:rsidRDefault="004A189D" w:rsidP="004A189D">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1</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w:t>
      </w:r>
      <w:r>
        <w:rPr>
          <w:rFonts w:ascii="IRANSans" w:hAnsi="IRANSans" w:cs="IRANSans" w:hint="cs"/>
          <w:b/>
          <w:bCs/>
          <w:color w:val="0101FF"/>
          <w:sz w:val="24"/>
          <w:szCs w:val="24"/>
          <w:shd w:val="clear" w:color="auto" w:fill="FFFFFF"/>
          <w:rtl/>
        </w:rPr>
        <w:t>2</w:t>
      </w:r>
      <w:r>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10</w:t>
      </w:r>
      <w:r>
        <w:rPr>
          <w:rFonts w:ascii="IRANSans" w:hAnsi="IRANSans" w:cs="IRANSans"/>
          <w:b/>
          <w:bCs/>
          <w:color w:val="0101FF"/>
          <w:sz w:val="24"/>
          <w:szCs w:val="24"/>
          <w:shd w:val="clear" w:color="auto" w:fill="FFFFFF"/>
          <w:rtl/>
        </w:rPr>
        <w:t xml:space="preserve">/ 1398 </w:t>
      </w:r>
      <w:r>
        <w:rPr>
          <w:rFonts w:ascii="IRANSans" w:hAnsi="IRANSans" w:cs="IRANSans" w:hint="cs"/>
          <w:b/>
          <w:bCs/>
          <w:color w:val="0101FF"/>
          <w:sz w:val="24"/>
          <w:szCs w:val="24"/>
          <w:shd w:val="clear" w:color="auto" w:fill="FFFFFF"/>
          <w:rtl/>
        </w:rPr>
        <w:t>قبول قول زن در عده/</w:t>
      </w:r>
      <w:r>
        <w:rPr>
          <w:rFonts w:ascii="IRANSans" w:hAnsi="IRANSans" w:cs="IRANSans"/>
          <w:b/>
          <w:bCs/>
          <w:color w:val="0101FF"/>
          <w:sz w:val="24"/>
          <w:szCs w:val="24"/>
          <w:shd w:val="clear" w:color="auto" w:fill="FFFFFF"/>
          <w:rtl/>
        </w:rPr>
        <w:t>م</w:t>
      </w:r>
      <w:r>
        <w:rPr>
          <w:rFonts w:ascii="IRANSans" w:hAnsi="IRANSans" w:cs="IRANSans" w:hint="cs"/>
          <w:b/>
          <w:bCs/>
          <w:color w:val="0101FF"/>
          <w:sz w:val="24"/>
          <w:szCs w:val="24"/>
          <w:shd w:val="clear" w:color="auto" w:fill="FFFFFF"/>
          <w:rtl/>
        </w:rPr>
        <w:t>ساله پنجم</w:t>
      </w:r>
      <w:r>
        <w:rPr>
          <w:rFonts w:ascii="IRANSans" w:hAnsi="IRANSans" w:cs="IRANSans"/>
          <w:b/>
          <w:bCs/>
          <w:color w:val="0101FF"/>
          <w:sz w:val="24"/>
          <w:szCs w:val="24"/>
          <w:shd w:val="clear" w:color="auto" w:fill="FFFFFF"/>
          <w:rtl/>
        </w:rPr>
        <w:t xml:space="preserve"> تکمله‌ی عروه/ اقوال فقها در عده/کتاب العدد</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735EE0">
        <w:rPr>
          <w:rStyle w:val="Emphasis"/>
          <w:rFonts w:hint="cs"/>
          <w:b/>
          <w:bCs w:val="0"/>
          <w:rtl/>
        </w:rPr>
        <w:t>‌ی</w:t>
      </w:r>
      <w:r w:rsidRPr="009C66D5">
        <w:rPr>
          <w:rStyle w:val="Emphasis"/>
          <w:rFonts w:hint="cs"/>
          <w:b/>
          <w:bCs w:val="0"/>
          <w:rtl/>
        </w:rPr>
        <w:t xml:space="preserve"> مباحث گذشته:</w:t>
      </w:r>
    </w:p>
    <w:p w:rsidR="007F3056" w:rsidRDefault="007F3056" w:rsidP="007F3056">
      <w:pPr>
        <w:jc w:val="both"/>
        <w:rPr>
          <w:rtl/>
        </w:rPr>
      </w:pPr>
      <w:r>
        <w:rPr>
          <w:rFonts w:hint="cs"/>
          <w:rtl/>
        </w:rPr>
        <w:t>بحث در مفاد حدیث زراره و اطلاق یا عدم اطلاق آن بود. این روایت دو نقل داشت:</w:t>
      </w:r>
    </w:p>
    <w:p w:rsidR="007F3056" w:rsidRPr="00E26E70" w:rsidRDefault="007F3056" w:rsidP="007F3056">
      <w:pPr>
        <w:pStyle w:val="ListParagraph"/>
        <w:numPr>
          <w:ilvl w:val="0"/>
          <w:numId w:val="16"/>
        </w:numPr>
        <w:jc w:val="both"/>
        <w:rPr>
          <w:rFonts w:cs="B Badr"/>
        </w:rPr>
      </w:pPr>
      <w:r w:rsidRPr="00E26E70">
        <w:rPr>
          <w:rFonts w:cs="B Badr" w:hint="cs"/>
          <w:rtl/>
        </w:rPr>
        <w:t xml:space="preserve">نقل کافی: «عَلِيُّ بْنُ إِبْرَاهِيمَ عَنْ أَبِيهِ عَنِ ابْنِ أَبِي عُمَيْرٍ عَنْ جَمِيلٍ عَنْ زُرَارَةَ عَنْ أَبِي جَعْفَرٍ ع قَالَ: </w:t>
      </w:r>
      <w:r w:rsidRPr="00E26E70">
        <w:rPr>
          <w:rFonts w:cs="B Badr" w:hint="cs"/>
          <w:color w:val="008000"/>
          <w:rtl/>
        </w:rPr>
        <w:t>الْعِدَّةُ وَ الْحَيْضُ‏ لِلنِّسَاءِ إِذَا ادَّعَتْ صُدِّقَتْ.</w:t>
      </w:r>
      <w:r w:rsidRPr="00E26E70">
        <w:rPr>
          <w:rFonts w:cs="B Badr" w:hint="cs"/>
          <w:rtl/>
        </w:rPr>
        <w:t>»</w:t>
      </w:r>
      <w:r w:rsidRPr="00E26E70">
        <w:rPr>
          <w:rStyle w:val="FootnoteReference"/>
          <w:rFonts w:cs="B Badr"/>
          <w:rtl/>
        </w:rPr>
        <w:footnoteReference w:id="1"/>
      </w:r>
    </w:p>
    <w:p w:rsidR="007F3056" w:rsidRPr="000848F4" w:rsidRDefault="007F3056" w:rsidP="007F3056">
      <w:pPr>
        <w:pStyle w:val="ListParagraph"/>
        <w:numPr>
          <w:ilvl w:val="0"/>
          <w:numId w:val="16"/>
        </w:numPr>
        <w:jc w:val="both"/>
      </w:pPr>
      <w:r w:rsidRPr="00E26E70">
        <w:rPr>
          <w:rFonts w:cs="B Badr" w:hint="cs"/>
          <w:rtl/>
        </w:rPr>
        <w:t>نقل تهذیب</w:t>
      </w:r>
      <w:r w:rsidRPr="001D6054">
        <w:rPr>
          <w:rFonts w:cs="B Badr" w:hint="cs"/>
          <w:rtl/>
        </w:rPr>
        <w:t xml:space="preserve">: «أَحْمَدُ بْنُ مُحَمَّدٍ عَنِ الْحُسَيْنِ بْنِ سَعِيدٍ عَنْ جَمِيلِ بْنِ دَرَّاجٍ عَنْ زُرَارَةَ قَالَ سَمِعْتُ أَبَا جَعْفَرٍ ع يَقُولُ‏ </w:t>
      </w:r>
      <w:r w:rsidRPr="001D6054">
        <w:rPr>
          <w:rFonts w:cs="B Badr" w:hint="cs"/>
          <w:color w:val="008000"/>
          <w:rtl/>
        </w:rPr>
        <w:t>الْعِدَّةُ وَ الْحَيْضُ‏ إِلَى‏ النِّسَاء»</w:t>
      </w:r>
      <w:r w:rsidRPr="001D6054">
        <w:rPr>
          <w:rStyle w:val="FootnoteReference"/>
          <w:rFonts w:cs="B Badr"/>
          <w:color w:val="008000"/>
          <w:rtl/>
        </w:rPr>
        <w:footnoteReference w:id="2"/>
      </w:r>
    </w:p>
    <w:p w:rsidR="003A6148" w:rsidRDefault="007F3056" w:rsidP="001B4E11">
      <w:pPr>
        <w:pBdr>
          <w:bottom w:val="double" w:sz="6" w:space="1" w:color="auto"/>
        </w:pBdr>
        <w:jc w:val="both"/>
        <w:rPr>
          <w:rtl/>
        </w:rPr>
      </w:pPr>
      <w:r>
        <w:rPr>
          <w:rFonts w:hint="cs"/>
          <w:rtl/>
        </w:rPr>
        <w:t xml:space="preserve">یک بحث در مورد اطلاق نقل تهذیب است که </w:t>
      </w:r>
      <w:r w:rsidR="001B4E11">
        <w:rPr>
          <w:rFonts w:hint="cs"/>
          <w:rtl/>
        </w:rPr>
        <w:t>باید</w:t>
      </w:r>
      <w:r w:rsidR="00655872">
        <w:rPr>
          <w:rFonts w:hint="cs"/>
          <w:rtl/>
        </w:rPr>
        <w:t xml:space="preserve"> به آن ب</w:t>
      </w:r>
      <w:r>
        <w:rPr>
          <w:rFonts w:hint="cs"/>
          <w:rtl/>
        </w:rPr>
        <w:t>پردازیم.</w:t>
      </w:r>
    </w:p>
    <w:p w:rsidR="007F3056" w:rsidRDefault="007F3056" w:rsidP="002364C5">
      <w:pPr>
        <w:pBdr>
          <w:bottom w:val="double" w:sz="6" w:space="1" w:color="auto"/>
        </w:pBdr>
        <w:jc w:val="both"/>
        <w:rPr>
          <w:rtl/>
        </w:rPr>
      </w:pPr>
      <w:r>
        <w:rPr>
          <w:rFonts w:hint="cs"/>
          <w:rtl/>
        </w:rPr>
        <w:t>گفتیم اگر نقل تهذیب مطلق باشد، نمی توان به قرینه‌ی نقل کافی آن را مقید کرد، در نتیجه اطلاق نقل تهذیب قرینه‌ی بر این است که نقل</w:t>
      </w:r>
      <w:r w:rsidR="002364C5">
        <w:rPr>
          <w:rFonts w:hint="cs"/>
          <w:rtl/>
        </w:rPr>
        <w:t xml:space="preserve"> کافی</w:t>
      </w:r>
      <w:r>
        <w:rPr>
          <w:rFonts w:hint="cs"/>
          <w:rtl/>
        </w:rPr>
        <w:t xml:space="preserve"> ناظر به حکم تکوینی ن</w:t>
      </w:r>
      <w:r w:rsidR="00B96D42">
        <w:rPr>
          <w:rFonts w:hint="cs"/>
          <w:rtl/>
        </w:rPr>
        <w:t>یست بلکه ناظر به حکم تشریعی است و شامل همه‌ی صور مساله می شود.</w:t>
      </w:r>
    </w:p>
    <w:p w:rsidR="00247D2F" w:rsidRPr="003A6148" w:rsidRDefault="00247D2F" w:rsidP="007F3056">
      <w:pPr>
        <w:pBdr>
          <w:bottom w:val="double" w:sz="6" w:space="1" w:color="auto"/>
        </w:pBdr>
        <w:jc w:val="both"/>
      </w:pPr>
    </w:p>
    <w:p w:rsidR="008F5B4D" w:rsidRDefault="008F5B4D" w:rsidP="007F3056">
      <w:pPr>
        <w:jc w:val="both"/>
      </w:pPr>
    </w:p>
    <w:p w:rsidR="003E6650" w:rsidRPr="001A27D7" w:rsidRDefault="00CE018A" w:rsidP="003772CE">
      <w:pPr>
        <w:pStyle w:val="Heading1"/>
        <w:rPr>
          <w:rtl/>
        </w:rPr>
      </w:pPr>
      <w:bookmarkStart w:id="1" w:name="_Toc28047442"/>
      <w:bookmarkStart w:id="2" w:name="_Toc28054728"/>
      <w:r>
        <w:rPr>
          <w:rFonts w:hint="cs"/>
          <w:rtl/>
        </w:rPr>
        <w:t>بررسی اطلاق صحیحه‌ی زراره به نقل تهذیب</w:t>
      </w:r>
      <w:bookmarkEnd w:id="1"/>
      <w:bookmarkEnd w:id="2"/>
    </w:p>
    <w:p w:rsidR="001A1EA5" w:rsidRDefault="00B31ACF" w:rsidP="00B31ACF">
      <w:pPr>
        <w:jc w:val="both"/>
        <w:rPr>
          <w:rtl/>
        </w:rPr>
      </w:pPr>
      <w:r>
        <w:rPr>
          <w:rFonts w:hint="cs"/>
          <w:rtl/>
        </w:rPr>
        <w:t>در مورد نقلِ تهذیب</w:t>
      </w:r>
      <w:r w:rsidR="008D3669">
        <w:rPr>
          <w:rFonts w:hint="cs"/>
          <w:rtl/>
        </w:rPr>
        <w:t xml:space="preserve"> از</w:t>
      </w:r>
      <w:r>
        <w:rPr>
          <w:rFonts w:hint="cs"/>
          <w:rtl/>
        </w:rPr>
        <w:t xml:space="preserve"> صحیحه‌ی زراره</w:t>
      </w:r>
      <w:r w:rsidR="00B5057E">
        <w:rPr>
          <w:rFonts w:hint="cs"/>
          <w:rtl/>
        </w:rPr>
        <w:t>،</w:t>
      </w:r>
      <w:r>
        <w:rPr>
          <w:rFonts w:hint="cs"/>
          <w:rtl/>
        </w:rPr>
        <w:t xml:space="preserve"> از کلام فقها چند احتمال به دست می آید:</w:t>
      </w:r>
    </w:p>
    <w:p w:rsidR="00B31ACF" w:rsidRDefault="00B31ACF" w:rsidP="00B31ACF">
      <w:pPr>
        <w:pStyle w:val="Heading2"/>
        <w:rPr>
          <w:rtl/>
        </w:rPr>
      </w:pPr>
      <w:bookmarkStart w:id="3" w:name="_Toc28047443"/>
      <w:bookmarkStart w:id="4" w:name="_Toc28054729"/>
      <w:r>
        <w:rPr>
          <w:rFonts w:hint="cs"/>
          <w:rtl/>
        </w:rPr>
        <w:t>احتمال اول</w:t>
      </w:r>
      <w:bookmarkEnd w:id="3"/>
      <w:bookmarkEnd w:id="4"/>
    </w:p>
    <w:p w:rsidR="00CE018A" w:rsidRDefault="00B31ACF" w:rsidP="007F3056">
      <w:pPr>
        <w:jc w:val="both"/>
        <w:rPr>
          <w:rtl/>
        </w:rPr>
      </w:pPr>
      <w:r>
        <w:rPr>
          <w:rFonts w:hint="cs"/>
          <w:rtl/>
        </w:rPr>
        <w:t>صحیحه‌ی زراره (به نقل از تهذیب) مطلق است و شامل همه‌ی صور مساله می شود.</w:t>
      </w:r>
    </w:p>
    <w:p w:rsidR="00B31ACF" w:rsidRDefault="00B31ACF" w:rsidP="00753B42">
      <w:pPr>
        <w:pStyle w:val="Heading2"/>
        <w:rPr>
          <w:rtl/>
        </w:rPr>
      </w:pPr>
      <w:bookmarkStart w:id="5" w:name="_Toc28047444"/>
      <w:bookmarkStart w:id="6" w:name="_Toc28054730"/>
      <w:r>
        <w:rPr>
          <w:rFonts w:hint="cs"/>
          <w:rtl/>
        </w:rPr>
        <w:lastRenderedPageBreak/>
        <w:t>احتمال دوم</w:t>
      </w:r>
      <w:bookmarkEnd w:id="5"/>
      <w:bookmarkEnd w:id="6"/>
    </w:p>
    <w:p w:rsidR="00B31ACF" w:rsidRDefault="00B31ACF" w:rsidP="00B31ACF">
      <w:pPr>
        <w:jc w:val="both"/>
        <w:rPr>
          <w:rtl/>
        </w:rPr>
      </w:pPr>
      <w:r>
        <w:rPr>
          <w:rFonts w:hint="cs"/>
          <w:rtl/>
        </w:rPr>
        <w:t>صحیحه‌ی زراره (به نقل از تهذیب) شامل همه‌ی صور می شود، به جز صورتی که اصل اعتداد زن</w:t>
      </w:r>
      <w:r w:rsidR="006163FD">
        <w:rPr>
          <w:rFonts w:hint="cs"/>
          <w:rtl/>
        </w:rPr>
        <w:t xml:space="preserve"> و وجوب عده</w:t>
      </w:r>
      <w:r>
        <w:rPr>
          <w:rFonts w:hint="cs"/>
          <w:rtl/>
        </w:rPr>
        <w:t xml:space="preserve"> مشکوک باشد.</w:t>
      </w:r>
    </w:p>
    <w:p w:rsidR="00F47C6D" w:rsidRDefault="00F47C6D" w:rsidP="008F471F">
      <w:pPr>
        <w:jc w:val="both"/>
        <w:rPr>
          <w:rtl/>
        </w:rPr>
      </w:pPr>
      <w:r>
        <w:rPr>
          <w:rFonts w:hint="cs"/>
          <w:rtl/>
        </w:rPr>
        <w:t>یعنی صحیحه‌ی زراره شامل مواردی که عده‌ی زن مسلم است، می شود، اما مواردی مثل شک در مدخوله بودن زن و شک در یائسه بودن زن</w:t>
      </w:r>
      <w:r w:rsidR="00335E72">
        <w:rPr>
          <w:rFonts w:hint="cs"/>
          <w:rtl/>
        </w:rPr>
        <w:t xml:space="preserve"> و سایر صوری که در اصل وجوب عده شک داریم، مشمول صحیحه‌ی زراره نیستند.</w:t>
      </w:r>
    </w:p>
    <w:p w:rsidR="004D21BB" w:rsidRDefault="004D21BB" w:rsidP="00017C91">
      <w:pPr>
        <w:tabs>
          <w:tab w:val="left" w:pos="6552"/>
        </w:tabs>
        <w:jc w:val="both"/>
        <w:rPr>
          <w:rtl/>
        </w:rPr>
      </w:pPr>
      <w:r>
        <w:rPr>
          <w:rFonts w:hint="cs"/>
          <w:rtl/>
        </w:rPr>
        <w:t>این احتمال در کلام سید یزدی وجود دارد گر چه به حد استظهار نمی رسد.</w:t>
      </w:r>
      <w:r w:rsidR="00017C91">
        <w:rPr>
          <w:rtl/>
        </w:rPr>
        <w:tab/>
      </w:r>
    </w:p>
    <w:p w:rsidR="00CE018A" w:rsidRDefault="00753B42" w:rsidP="00753B42">
      <w:pPr>
        <w:pStyle w:val="Heading2"/>
        <w:rPr>
          <w:rtl/>
        </w:rPr>
      </w:pPr>
      <w:bookmarkStart w:id="7" w:name="_Toc28047445"/>
      <w:bookmarkStart w:id="8" w:name="_Toc28054731"/>
      <w:r>
        <w:rPr>
          <w:rFonts w:hint="cs"/>
          <w:rtl/>
        </w:rPr>
        <w:t>احتمال سوم</w:t>
      </w:r>
      <w:bookmarkEnd w:id="7"/>
      <w:bookmarkEnd w:id="8"/>
    </w:p>
    <w:p w:rsidR="00CD1D28" w:rsidRDefault="00753B42" w:rsidP="00CD1D28">
      <w:pPr>
        <w:jc w:val="both"/>
        <w:rPr>
          <w:rtl/>
        </w:rPr>
      </w:pPr>
      <w:r>
        <w:rPr>
          <w:rFonts w:hint="cs"/>
          <w:rtl/>
        </w:rPr>
        <w:t>این احتمال از کلام شیخ حسن کاشف الغطاء در انوار الفقاهة</w:t>
      </w:r>
      <w:r w:rsidR="00864CE3">
        <w:rPr>
          <w:rFonts w:hint="cs"/>
          <w:rtl/>
        </w:rPr>
        <w:t xml:space="preserve"> به دست می آید</w:t>
      </w:r>
      <w:r w:rsidR="00183C4A" w:rsidRPr="00183C4A">
        <w:rPr>
          <w:rFonts w:hint="cs"/>
          <w:rtl/>
        </w:rPr>
        <w:t xml:space="preserve"> </w:t>
      </w:r>
      <w:r w:rsidR="00183C4A">
        <w:rPr>
          <w:rFonts w:hint="cs"/>
          <w:rtl/>
        </w:rPr>
        <w:t>و آن این است که این روایت مربوط به جایی است که نوع عده مشخص باشد</w:t>
      </w:r>
      <w:r w:rsidR="007057C6">
        <w:rPr>
          <w:rFonts w:hint="cs"/>
          <w:rtl/>
        </w:rPr>
        <w:t>.</w:t>
      </w:r>
    </w:p>
    <w:p w:rsidR="00CD1D28" w:rsidRDefault="00CD1D28" w:rsidP="00CD1D28">
      <w:pPr>
        <w:jc w:val="both"/>
        <w:rPr>
          <w:rtl/>
        </w:rPr>
      </w:pPr>
      <w:r>
        <w:rPr>
          <w:rFonts w:hint="cs"/>
          <w:rtl/>
        </w:rPr>
        <w:t>عده سه نوع است:</w:t>
      </w:r>
    </w:p>
    <w:p w:rsidR="00CD1D28" w:rsidRPr="00864CE3" w:rsidRDefault="00CD1D28" w:rsidP="00CD1D28">
      <w:pPr>
        <w:pStyle w:val="ListParagraph"/>
        <w:numPr>
          <w:ilvl w:val="0"/>
          <w:numId w:val="17"/>
        </w:numPr>
        <w:jc w:val="both"/>
        <w:rPr>
          <w:rFonts w:cs="B Badr"/>
        </w:rPr>
      </w:pPr>
      <w:r w:rsidRPr="00864CE3">
        <w:rPr>
          <w:rFonts w:cs="B Badr" w:hint="cs"/>
          <w:rtl/>
        </w:rPr>
        <w:t>عده‌ی به اقراء</w:t>
      </w:r>
    </w:p>
    <w:p w:rsidR="00CD1D28" w:rsidRPr="00864CE3" w:rsidRDefault="00CD1D28" w:rsidP="00CD1D28">
      <w:pPr>
        <w:pStyle w:val="ListParagraph"/>
        <w:numPr>
          <w:ilvl w:val="0"/>
          <w:numId w:val="17"/>
        </w:numPr>
        <w:jc w:val="both"/>
        <w:rPr>
          <w:rFonts w:cs="B Badr"/>
        </w:rPr>
      </w:pPr>
      <w:r w:rsidRPr="00864CE3">
        <w:rPr>
          <w:rFonts w:cs="B Badr" w:hint="cs"/>
          <w:rtl/>
        </w:rPr>
        <w:t>عده‌ی به شهور</w:t>
      </w:r>
    </w:p>
    <w:p w:rsidR="00183C4A" w:rsidRPr="00CD1D28" w:rsidRDefault="00CD1D28" w:rsidP="00CD1D28">
      <w:pPr>
        <w:pStyle w:val="ListParagraph"/>
        <w:numPr>
          <w:ilvl w:val="0"/>
          <w:numId w:val="17"/>
        </w:numPr>
        <w:jc w:val="both"/>
        <w:rPr>
          <w:rFonts w:cs="B Badr"/>
          <w:rtl/>
        </w:rPr>
      </w:pPr>
      <w:r w:rsidRPr="00864CE3">
        <w:rPr>
          <w:rFonts w:cs="B Badr" w:hint="cs"/>
          <w:rtl/>
        </w:rPr>
        <w:t>عده‌ی به وضع حمل</w:t>
      </w:r>
    </w:p>
    <w:p w:rsidR="00CE018A" w:rsidRDefault="00183C4A" w:rsidP="00183C4A">
      <w:pPr>
        <w:jc w:val="both"/>
        <w:rPr>
          <w:rtl/>
        </w:rPr>
      </w:pPr>
      <w:r>
        <w:rPr>
          <w:rFonts w:hint="cs"/>
          <w:rtl/>
        </w:rPr>
        <w:t>مرحوم کاشف الغطاء می فرماید</w:t>
      </w:r>
      <w:r w:rsidR="00864CE3">
        <w:rPr>
          <w:rFonts w:hint="cs"/>
          <w:rtl/>
        </w:rPr>
        <w:t xml:space="preserve">: </w:t>
      </w:r>
      <w:r w:rsidR="00864CE3" w:rsidRPr="00864CE3">
        <w:rPr>
          <w:rFonts w:hint="cs"/>
          <w:color w:val="000080"/>
          <w:rtl/>
        </w:rPr>
        <w:t xml:space="preserve">«و لو ادعت الحمل و الوضع كان القول قوله في انكار الحمل لأصالة عدمه و </w:t>
      </w:r>
      <w:r w:rsidR="00864CE3" w:rsidRPr="00CD1D28">
        <w:rPr>
          <w:rFonts w:hint="cs"/>
          <w:color w:val="000080"/>
          <w:u w:val="single"/>
          <w:rtl/>
        </w:rPr>
        <w:t>لأن الاختلاف في أصل حقيقة الاعتداد و نوعه فلا تصدق به انما تصدق في انقضاء العدة مع الاتفاق على وقوع نوعها</w:t>
      </w:r>
      <w:r w:rsidR="00864CE3" w:rsidRPr="00864CE3">
        <w:rPr>
          <w:rFonts w:hint="cs"/>
          <w:color w:val="000080"/>
          <w:rtl/>
        </w:rPr>
        <w:t xml:space="preserve"> و قد يناقش في ذلك إن لم يقم إجماع على ذلك لإطلاق أخبار الرجوع إليها في أمر العدة و الحمل»</w:t>
      </w:r>
      <w:r>
        <w:rPr>
          <w:rStyle w:val="FootnoteReference"/>
          <w:color w:val="000080"/>
          <w:rtl/>
        </w:rPr>
        <w:footnoteReference w:id="3"/>
      </w:r>
    </w:p>
    <w:p w:rsidR="00CE018A" w:rsidRDefault="00CD1D28" w:rsidP="007F3056">
      <w:pPr>
        <w:jc w:val="both"/>
        <w:rPr>
          <w:rtl/>
        </w:rPr>
      </w:pPr>
      <w:r>
        <w:rPr>
          <w:rFonts w:hint="cs"/>
          <w:rtl/>
        </w:rPr>
        <w:t>می فرماید: اگر زن ادعا کند که حامله بوده و وضع حمل کرده است، در نتیجه عده سپری شده و امکان رجوع مرد وجود ندارد، قول مرد که منکر حمل است، مقدم می شود، زیرا اصل عدم حمل است و همچنین</w:t>
      </w:r>
      <w:r w:rsidR="006E2EA0">
        <w:rPr>
          <w:rFonts w:hint="cs"/>
          <w:rtl/>
        </w:rPr>
        <w:t xml:space="preserve"> به خاطر این که</w:t>
      </w:r>
      <w:r>
        <w:rPr>
          <w:rFonts w:hint="cs"/>
          <w:rtl/>
        </w:rPr>
        <w:t xml:space="preserve"> اختلاف در اصل عده و نوع آن است، پس قول زن معتبر نیست. قول زن در جایی معتبر است که در نوع عده اتفاق نظر داشته باشند.</w:t>
      </w:r>
    </w:p>
    <w:p w:rsidR="00CF5F04" w:rsidRDefault="00CF5F04" w:rsidP="007F3056">
      <w:pPr>
        <w:jc w:val="both"/>
        <w:rPr>
          <w:rtl/>
        </w:rPr>
      </w:pPr>
      <w:r w:rsidRPr="00CF5F04">
        <w:rPr>
          <w:rFonts w:hint="cs"/>
          <w:highlight w:val="yellow"/>
          <w:rtl/>
        </w:rPr>
        <w:t xml:space="preserve">این </w:t>
      </w:r>
      <w:r>
        <w:rPr>
          <w:rFonts w:hint="cs"/>
          <w:rtl/>
        </w:rPr>
        <w:t>تفصیل کاشف الغطاء وجهی ندارد.</w:t>
      </w:r>
      <w:r w:rsidR="0024232D">
        <w:rPr>
          <w:rFonts w:hint="cs"/>
          <w:rtl/>
        </w:rPr>
        <w:t xml:space="preserve"> مثلا اگر زن بگوید قرء دیده است و مرد بگوید که زن حامله است، چه وجهی</w:t>
      </w:r>
      <w:r w:rsidR="00716425">
        <w:rPr>
          <w:rFonts w:hint="cs"/>
          <w:rtl/>
        </w:rPr>
        <w:t xml:space="preserve"> برای نپذیرفتن قول زن وجود دارد، یا اگر زن بگوید مضطربة الحیض است و عده اش به سپری شدن سه ماه است اما مرد بگوید که زن مستقیم الحیض است و عده اش سه قرء می</w:t>
      </w:r>
      <w:r w:rsidR="00B43D75">
        <w:rPr>
          <w:rFonts w:hint="cs"/>
          <w:rtl/>
        </w:rPr>
        <w:t xml:space="preserve"> باشد، وقتی چنین اموری لا یعلم الا من قبلها است، چه وجهی برای نپذیرفتن قول زن وجود دارد.</w:t>
      </w:r>
    </w:p>
    <w:p w:rsidR="000F4A0B" w:rsidRDefault="000F4A0B" w:rsidP="000F4A0B">
      <w:pPr>
        <w:pStyle w:val="Heading2"/>
        <w:rPr>
          <w:rtl/>
        </w:rPr>
      </w:pPr>
      <w:bookmarkStart w:id="9" w:name="_Toc28047446"/>
      <w:bookmarkStart w:id="10" w:name="_Toc28054732"/>
      <w:r>
        <w:rPr>
          <w:rFonts w:hint="cs"/>
          <w:rtl/>
        </w:rPr>
        <w:t>احتمال چهارم</w:t>
      </w:r>
      <w:bookmarkEnd w:id="9"/>
      <w:bookmarkEnd w:id="10"/>
    </w:p>
    <w:p w:rsidR="000F4A0B" w:rsidRDefault="000F4A0B" w:rsidP="000F4A0B">
      <w:pPr>
        <w:tabs>
          <w:tab w:val="left" w:pos="6552"/>
        </w:tabs>
        <w:jc w:val="both"/>
        <w:rPr>
          <w:rtl/>
        </w:rPr>
      </w:pPr>
      <w:r>
        <w:rPr>
          <w:rFonts w:hint="cs"/>
          <w:rtl/>
        </w:rPr>
        <w:t>این احتمال از کلمات صاحب ریاض</w:t>
      </w:r>
      <w:r w:rsidR="00875F44">
        <w:rPr>
          <w:rStyle w:val="FootnoteReference"/>
          <w:rtl/>
        </w:rPr>
        <w:footnoteReference w:id="4"/>
      </w:r>
      <w:r>
        <w:rPr>
          <w:rFonts w:hint="cs"/>
          <w:rtl/>
        </w:rPr>
        <w:t xml:space="preserve"> استفاده می شود.</w:t>
      </w:r>
    </w:p>
    <w:p w:rsidR="00CE018A" w:rsidRDefault="000F4A0B" w:rsidP="007F3056">
      <w:pPr>
        <w:jc w:val="both"/>
        <w:rPr>
          <w:rtl/>
        </w:rPr>
      </w:pPr>
      <w:r>
        <w:rPr>
          <w:rFonts w:hint="cs"/>
          <w:rtl/>
        </w:rPr>
        <w:t xml:space="preserve">صاحب ریاض می فرماید: مشهور بین ادعای زن در مورد «انقضاء عده به اقراء یا وضع حمل» و «انقضاء عده به اشهر» تفصیل </w:t>
      </w:r>
      <w:r w:rsidR="00ED6B67">
        <w:rPr>
          <w:rFonts w:hint="cs"/>
          <w:rtl/>
        </w:rPr>
        <w:t>داده اند به این صورت که اگر عده‌ی زن به اقراء یا وضع حمل باشد، قول زن حجت است اما اگر عده اش به اشهر باشد، قولش حجت نیست.</w:t>
      </w:r>
    </w:p>
    <w:p w:rsidR="00ED6B67" w:rsidRDefault="00ED6B67" w:rsidP="007F3056">
      <w:pPr>
        <w:jc w:val="both"/>
        <w:rPr>
          <w:rtl/>
        </w:rPr>
      </w:pPr>
      <w:r>
        <w:rPr>
          <w:rFonts w:hint="cs"/>
          <w:rtl/>
        </w:rPr>
        <w:t>البته صاحب ریاض به روایت اشاره نمی کند اما می توان این احتمال را در مورد روایت در نظر گرفت.</w:t>
      </w:r>
    </w:p>
    <w:p w:rsidR="004F50B7" w:rsidRDefault="004F50B7" w:rsidP="004F50B7">
      <w:pPr>
        <w:jc w:val="both"/>
        <w:rPr>
          <w:rtl/>
        </w:rPr>
      </w:pPr>
      <w:r>
        <w:rPr>
          <w:rFonts w:hint="cs"/>
          <w:rtl/>
        </w:rPr>
        <w:t>این تفصیل صاحب ریاض در کلام شیخ طوسی در مبسوط هم آمده است اما شیخ طوسی هم فارغ از روایت این تفصیل را بیان کرده است.</w:t>
      </w:r>
    </w:p>
    <w:p w:rsidR="00277B9F" w:rsidRDefault="00EB0D68" w:rsidP="00277B9F">
      <w:pPr>
        <w:jc w:val="both"/>
        <w:rPr>
          <w:rtl/>
        </w:rPr>
      </w:pPr>
      <w:r>
        <w:rPr>
          <w:rFonts w:hint="cs"/>
          <w:rtl/>
        </w:rPr>
        <w:t>با توجه به مقداری تتبع</w:t>
      </w:r>
      <w:r w:rsidR="009067EC">
        <w:rPr>
          <w:rFonts w:hint="cs"/>
          <w:rtl/>
        </w:rPr>
        <w:t>،</w:t>
      </w:r>
      <w:r>
        <w:rPr>
          <w:rFonts w:hint="cs"/>
          <w:rtl/>
        </w:rPr>
        <w:t xml:space="preserve"> فقیه دیگری را نیافتیم</w:t>
      </w:r>
      <w:r w:rsidR="00F73D6D">
        <w:rPr>
          <w:rFonts w:hint="cs"/>
          <w:rtl/>
        </w:rPr>
        <w:t xml:space="preserve"> که این تفصیل را بیان کرده باشد، بلکه</w:t>
      </w:r>
      <w:r>
        <w:rPr>
          <w:rFonts w:hint="cs"/>
          <w:rtl/>
        </w:rPr>
        <w:t xml:space="preserve"> در عده‌ی به وضع حمل هم اختلاف وجود دارد.</w:t>
      </w:r>
      <w:r w:rsidR="00277B9F">
        <w:rPr>
          <w:rFonts w:hint="cs"/>
          <w:rtl/>
        </w:rPr>
        <w:t xml:space="preserve"> در نتیجه مشهور به این تفصیل که صاحب ریاض فرمود،</w:t>
      </w:r>
      <w:r w:rsidR="00277B9F" w:rsidRPr="00277B9F">
        <w:rPr>
          <w:rFonts w:hint="cs"/>
          <w:rtl/>
        </w:rPr>
        <w:t xml:space="preserve"> </w:t>
      </w:r>
      <w:r w:rsidR="00277B9F">
        <w:rPr>
          <w:rFonts w:hint="cs"/>
          <w:rtl/>
        </w:rPr>
        <w:t>قائل نیستند.</w:t>
      </w:r>
    </w:p>
    <w:p w:rsidR="00CE018A" w:rsidRDefault="006E36E6" w:rsidP="006E36E6">
      <w:pPr>
        <w:pStyle w:val="Heading2"/>
        <w:rPr>
          <w:rtl/>
        </w:rPr>
      </w:pPr>
      <w:bookmarkStart w:id="11" w:name="_Toc28047447"/>
      <w:bookmarkStart w:id="12" w:name="_Toc28054733"/>
      <w:r>
        <w:rPr>
          <w:rFonts w:hint="cs"/>
          <w:rtl/>
        </w:rPr>
        <w:t>احتمال پنجم</w:t>
      </w:r>
      <w:bookmarkEnd w:id="11"/>
      <w:bookmarkEnd w:id="12"/>
    </w:p>
    <w:p w:rsidR="006E36E6" w:rsidRDefault="006F59E5" w:rsidP="009067EC">
      <w:pPr>
        <w:jc w:val="both"/>
        <w:rPr>
          <w:rtl/>
        </w:rPr>
      </w:pPr>
      <w:r>
        <w:rPr>
          <w:rFonts w:hint="cs"/>
          <w:rtl/>
        </w:rPr>
        <w:t>این احتمال از شرایع به دست می آید به این صورت که روایت به ادعای زن در مورد سپری شدن عده‌ی به اقراء</w:t>
      </w:r>
      <w:r w:rsidR="009067EC" w:rsidRPr="009067EC">
        <w:rPr>
          <w:rFonts w:hint="cs"/>
          <w:rtl/>
        </w:rPr>
        <w:t xml:space="preserve"> </w:t>
      </w:r>
      <w:r w:rsidR="009067EC">
        <w:rPr>
          <w:rFonts w:hint="cs"/>
          <w:rtl/>
        </w:rPr>
        <w:t>مربوط</w:t>
      </w:r>
      <w:r>
        <w:rPr>
          <w:rFonts w:hint="cs"/>
          <w:rtl/>
        </w:rPr>
        <w:t xml:space="preserve"> می باشد که قولش حجت است اما اگر ادعای زن در مورد سپری شدن عده‌ی به وضع حمل یا عده‌ی به اشهر باشد، قولش حجت نیست.</w:t>
      </w:r>
      <w:r w:rsidR="004E3BD5">
        <w:rPr>
          <w:rFonts w:hint="cs"/>
          <w:rtl/>
        </w:rPr>
        <w:t xml:space="preserve"> مرحوم محقق هم تصریح نکرده که مستندش روایت زراره است اما می توان چنین احتمالی را در مورد روایت مطرح کرد.</w:t>
      </w:r>
    </w:p>
    <w:p w:rsidR="003777E3" w:rsidRPr="00926BC7" w:rsidRDefault="00926BC7" w:rsidP="00926BC7">
      <w:pPr>
        <w:jc w:val="both"/>
        <w:rPr>
          <w:color w:val="000080"/>
        </w:rPr>
      </w:pPr>
      <w:r>
        <w:rPr>
          <w:rFonts w:hint="cs"/>
          <w:color w:val="000080"/>
          <w:rtl/>
        </w:rPr>
        <w:t>«</w:t>
      </w:r>
      <w:r w:rsidR="003777E3" w:rsidRPr="00926BC7">
        <w:rPr>
          <w:rFonts w:hint="cs"/>
          <w:color w:val="000080"/>
          <w:rtl/>
        </w:rPr>
        <w:t>و إذا ادعت انقضاء العدة بالحيض في زمان محتمل فأنكر فالقول قولها مع يمينها و لو ادعت انقضاءها بالأشهر لم يقبل و كان القول قول الزوج لأن الاختلاف في زمان إيقاع الطلاق و كذا لو ادعى الزوج الانقضاء ف‍القول قولها لأن الأصل بقاء الزوجية أولا.</w:t>
      </w:r>
      <w:r w:rsidRPr="00926BC7">
        <w:rPr>
          <w:rFonts w:ascii="Noor_Lotus" w:eastAsia="Times New Roman" w:hAnsi="Noor_Lotus" w:cs="Noor_Lotus" w:hint="cs"/>
          <w:color w:val="000000"/>
          <w:sz w:val="27"/>
          <w:szCs w:val="27"/>
          <w:rtl/>
        </w:rPr>
        <w:t xml:space="preserve"> </w:t>
      </w:r>
      <w:r w:rsidRPr="00926BC7">
        <w:rPr>
          <w:rFonts w:hint="cs"/>
          <w:color w:val="000080"/>
          <w:rtl/>
        </w:rPr>
        <w:t xml:space="preserve">و لو كانت حاملا فادعت الوضع </w:t>
      </w:r>
      <w:r>
        <w:rPr>
          <w:rFonts w:hint="cs"/>
          <w:color w:val="000080"/>
          <w:rtl/>
        </w:rPr>
        <w:t xml:space="preserve">قبل قولها و لم تكلف إحضار الولد </w:t>
      </w:r>
      <w:r w:rsidRPr="00926BC7">
        <w:rPr>
          <w:rFonts w:hint="cs"/>
          <w:color w:val="000080"/>
          <w:rtl/>
        </w:rPr>
        <w:t xml:space="preserve">و لو ادعت الحمل فأنكر الزوج و أحضرت ولدا فأنكر ولادتها له فالقول قوله </w:t>
      </w:r>
      <w:r w:rsidRPr="00A76172">
        <w:rPr>
          <w:rFonts w:hint="cs"/>
          <w:color w:val="000080"/>
          <w:u w:val="single"/>
          <w:rtl/>
        </w:rPr>
        <w:t>لإمكان إقامة البينة بالولادة</w:t>
      </w:r>
      <w:r w:rsidRPr="00926BC7">
        <w:rPr>
          <w:rFonts w:hint="cs"/>
          <w:color w:val="000080"/>
          <w:rtl/>
        </w:rPr>
        <w:t>.</w:t>
      </w:r>
      <w:r>
        <w:rPr>
          <w:rFonts w:hint="cs"/>
          <w:color w:val="000080"/>
          <w:rtl/>
        </w:rPr>
        <w:t>»</w:t>
      </w:r>
      <w:r>
        <w:rPr>
          <w:rStyle w:val="FootnoteReference"/>
          <w:color w:val="000080"/>
          <w:rtl/>
        </w:rPr>
        <w:footnoteReference w:id="5"/>
      </w:r>
    </w:p>
    <w:p w:rsidR="00875F44" w:rsidRDefault="00FB667B" w:rsidP="007F3056">
      <w:pPr>
        <w:jc w:val="both"/>
        <w:rPr>
          <w:rtl/>
        </w:rPr>
      </w:pPr>
      <w:r>
        <w:rPr>
          <w:rFonts w:hint="cs"/>
          <w:rtl/>
        </w:rPr>
        <w:t>شیخ طوسی در مبسوط هم در مورد ولادت، قول زن را حجت ندانسته و اقامه‌ی بینه را لازم دانسته است.</w:t>
      </w:r>
    </w:p>
    <w:p w:rsidR="00A76172" w:rsidRPr="00A76172" w:rsidRDefault="00A76172" w:rsidP="00A76172">
      <w:pPr>
        <w:jc w:val="both"/>
        <w:rPr>
          <w:color w:val="000080"/>
        </w:rPr>
      </w:pPr>
      <w:r>
        <w:rPr>
          <w:rFonts w:hint="cs"/>
          <w:color w:val="000080"/>
          <w:rtl/>
        </w:rPr>
        <w:t>«</w:t>
      </w:r>
      <w:r w:rsidRPr="00A76172">
        <w:rPr>
          <w:rFonts w:hint="cs"/>
          <w:color w:val="000080"/>
          <w:rtl/>
        </w:rPr>
        <w:t xml:space="preserve">و أما القسم الرابع، و هو إذا قال ما ولدت هذا الولد بل استعرته أو التقطته </w:t>
      </w:r>
      <w:r w:rsidRPr="00FB667B">
        <w:rPr>
          <w:rFonts w:hint="cs"/>
          <w:color w:val="000080"/>
          <w:u w:val="single"/>
          <w:rtl/>
        </w:rPr>
        <w:t>فيحتاج أن تقيم المرأة البينة على ولادتها له</w:t>
      </w:r>
      <w:r w:rsidRPr="00A76172">
        <w:rPr>
          <w:rFonts w:hint="cs"/>
          <w:color w:val="000080"/>
          <w:rtl/>
        </w:rPr>
        <w:t>، لأن الولادة تكون ظاهرة يحضره جماعة فيتصور إقامة البينة عليها و لا يقبل بمجرد الدعوى.</w:t>
      </w:r>
    </w:p>
    <w:p w:rsidR="006E36E6" w:rsidRPr="00DB0DB9" w:rsidRDefault="00A76172" w:rsidP="00DB0DB9">
      <w:pPr>
        <w:jc w:val="both"/>
        <w:rPr>
          <w:color w:val="000080"/>
          <w:rtl/>
        </w:rPr>
      </w:pPr>
      <w:r w:rsidRPr="00A76172">
        <w:rPr>
          <w:rFonts w:hint="cs"/>
          <w:color w:val="000080"/>
          <w:rtl/>
        </w:rPr>
        <w:t>فإذا أقامت بينة قبل منها رجلان، و رجل و امرأتان، و أربع نسوة، لأن هذا أمر ليس يحضره الرجال في الغالب، فيقبل فيه شهادة النساء على الانفراد</w:t>
      </w:r>
      <w:r>
        <w:rPr>
          <w:rFonts w:hint="cs"/>
          <w:color w:val="000080"/>
          <w:rtl/>
        </w:rPr>
        <w:t>»</w:t>
      </w:r>
      <w:r>
        <w:rPr>
          <w:rStyle w:val="FootnoteReference"/>
          <w:color w:val="000080"/>
          <w:rtl/>
        </w:rPr>
        <w:footnoteReference w:id="6"/>
      </w:r>
    </w:p>
    <w:p w:rsidR="00306BA7" w:rsidRDefault="0046625F" w:rsidP="007F3056">
      <w:pPr>
        <w:jc w:val="both"/>
        <w:rPr>
          <w:rtl/>
        </w:rPr>
      </w:pPr>
      <w:r>
        <w:rPr>
          <w:rFonts w:hint="cs"/>
          <w:rtl/>
        </w:rPr>
        <w:t>مرحوم شیخ طوسی در موارد متعددی شهادت بر ولادت را ممکن دانسته است، بنابراین قول زن در مورد ولادت حجت نیست</w:t>
      </w:r>
      <w:r w:rsidR="00306BA7">
        <w:rPr>
          <w:rFonts w:hint="cs"/>
          <w:rtl/>
        </w:rPr>
        <w:t>، زیرا می تواند بینه اقامه کند.</w:t>
      </w:r>
    </w:p>
    <w:p w:rsidR="006E36E6" w:rsidRDefault="0046625F" w:rsidP="007F3056">
      <w:pPr>
        <w:jc w:val="both"/>
        <w:rPr>
          <w:rtl/>
        </w:rPr>
      </w:pPr>
      <w:r>
        <w:rPr>
          <w:rFonts w:hint="cs"/>
          <w:rtl/>
        </w:rPr>
        <w:t>بعضی مواردی که شیخ طوسی به این مساله اشاره کرده است عبارتند از:</w:t>
      </w:r>
    </w:p>
    <w:p w:rsidR="0046625F" w:rsidRPr="0046625F" w:rsidRDefault="0046625F" w:rsidP="0046625F">
      <w:pPr>
        <w:jc w:val="both"/>
        <w:rPr>
          <w:color w:val="000080"/>
        </w:rPr>
      </w:pPr>
      <w:r>
        <w:rPr>
          <w:rFonts w:hint="cs"/>
          <w:color w:val="000080"/>
          <w:rtl/>
        </w:rPr>
        <w:t>«</w:t>
      </w:r>
      <w:r w:rsidRPr="0046625F">
        <w:rPr>
          <w:rFonts w:hint="cs"/>
          <w:color w:val="000080"/>
          <w:rtl/>
        </w:rPr>
        <w:t>و الأقوى عندي أنه لا يقبل قولها، و لا يلحقها النسب، سواء كان لها زوج أو لم يكن، لأنه يمكنها إقامة البينة على الولادة</w:t>
      </w:r>
      <w:r>
        <w:rPr>
          <w:rFonts w:hint="cs"/>
          <w:color w:val="000080"/>
          <w:rtl/>
        </w:rPr>
        <w:t>»</w:t>
      </w:r>
      <w:r>
        <w:rPr>
          <w:rStyle w:val="FootnoteReference"/>
          <w:color w:val="000080"/>
          <w:rtl/>
        </w:rPr>
        <w:footnoteReference w:id="7"/>
      </w:r>
    </w:p>
    <w:p w:rsidR="0046625F" w:rsidRPr="0046625F" w:rsidRDefault="0046625F" w:rsidP="0046625F">
      <w:pPr>
        <w:pStyle w:val="NormalWeb"/>
        <w:bidi/>
        <w:rPr>
          <w:rFonts w:ascii="Noor_Lotus" w:hAnsi="Noor_Lotus" w:cs="B Badr"/>
          <w:color w:val="000080"/>
          <w:sz w:val="28"/>
          <w:szCs w:val="28"/>
        </w:rPr>
      </w:pPr>
      <w:r w:rsidRPr="0046625F">
        <w:rPr>
          <w:rFonts w:ascii="Noor_Lotus" w:hAnsi="Noor_Lotus" w:cs="B Badr" w:hint="cs"/>
          <w:color w:val="000080"/>
          <w:sz w:val="28"/>
          <w:szCs w:val="28"/>
          <w:rtl/>
        </w:rPr>
        <w:t>«و إن أنكر ذلك فعليها البينة على الولادة»</w:t>
      </w:r>
      <w:r>
        <w:rPr>
          <w:rStyle w:val="FootnoteReference"/>
          <w:rFonts w:ascii="Noor_Lotus" w:hAnsi="Noor_Lotus" w:cs="B Badr"/>
          <w:color w:val="000080"/>
          <w:sz w:val="28"/>
          <w:szCs w:val="28"/>
          <w:rtl/>
        </w:rPr>
        <w:footnoteReference w:id="8"/>
      </w:r>
    </w:p>
    <w:p w:rsidR="0046625F" w:rsidRDefault="00306BA7" w:rsidP="00306BA7">
      <w:pPr>
        <w:jc w:val="both"/>
        <w:rPr>
          <w:rtl/>
        </w:rPr>
      </w:pPr>
      <w:r>
        <w:rPr>
          <w:rFonts w:hint="cs"/>
          <w:rtl/>
        </w:rPr>
        <w:t xml:space="preserve">ادعای وضع حمل دو نوع است: </w:t>
      </w:r>
      <w:r w:rsidR="00D530A4">
        <w:rPr>
          <w:rFonts w:hint="cs"/>
          <w:rtl/>
        </w:rPr>
        <w:t>یکی وضع حمل به واسطه‌ی ولادت و دیگری وضع حمل به واسطه‌ی غیر ولادت می باشد.</w:t>
      </w:r>
    </w:p>
    <w:p w:rsidR="00753B42" w:rsidRDefault="00740D16" w:rsidP="00740D16">
      <w:pPr>
        <w:jc w:val="both"/>
        <w:rPr>
          <w:rtl/>
        </w:rPr>
      </w:pPr>
      <w:r>
        <w:rPr>
          <w:rFonts w:hint="cs"/>
          <w:rtl/>
        </w:rPr>
        <w:t>تفصیل باید به این صورت باشد که اگر زن ادعای وضع حمل به ولادت کند، قولش حجت نیست اما اگر ادعای وضع حمل به غیر ولادت یا ادعای انقضاء عده به اقراء کند، قولش حجت است.</w:t>
      </w:r>
      <w:r w:rsidR="008D32C5">
        <w:rPr>
          <w:rFonts w:hint="cs"/>
          <w:rtl/>
        </w:rPr>
        <w:t xml:space="preserve"> از کلمات محقق در شرایع چنین تفصیلی استفاده می شود.</w:t>
      </w:r>
    </w:p>
    <w:p w:rsidR="00424126" w:rsidRPr="002A2D96" w:rsidRDefault="00F74140" w:rsidP="002A2D96">
      <w:pPr>
        <w:jc w:val="both"/>
        <w:rPr>
          <w:rtl/>
        </w:rPr>
      </w:pPr>
      <w:r>
        <w:rPr>
          <w:rFonts w:hint="cs"/>
          <w:rtl/>
        </w:rPr>
        <w:t>در بحث طلاق معلق هم شیخ طوسی بین حیض و ولادت فرق گذاشته است به این صورت که در ولادت قول زن حجت نیست و باید بینه اقامه کند اما در حی</w:t>
      </w:r>
      <w:r w:rsidR="002A2D96">
        <w:rPr>
          <w:rFonts w:hint="cs"/>
          <w:rtl/>
        </w:rPr>
        <w:t xml:space="preserve">ض قولش مقبول است: </w:t>
      </w:r>
      <w:r w:rsidR="00424126" w:rsidRPr="00424126">
        <w:rPr>
          <w:rFonts w:hint="cs"/>
          <w:color w:val="000080"/>
          <w:rtl/>
        </w:rPr>
        <w:t>«إذا قال لها إذا حضت فأنت طالق، ثم قالت قد حضت</w:t>
      </w:r>
      <w:r w:rsidR="00424126" w:rsidRPr="00424126">
        <w:rPr>
          <w:rFonts w:hint="cs"/>
          <w:color w:val="000080"/>
        </w:rPr>
        <w:t>‌</w:t>
      </w:r>
      <w:r w:rsidR="00424126" w:rsidRPr="00424126">
        <w:rPr>
          <w:rFonts w:hint="cs"/>
          <w:color w:val="000080"/>
          <w:rtl/>
        </w:rPr>
        <w:t xml:space="preserve">، فعندنا لا يقع أصلا لما‌ تقدم، و عندهم إن صدقها طلقت، و إن كذبها </w:t>
      </w:r>
      <w:r w:rsidR="00424126" w:rsidRPr="00424126">
        <w:rPr>
          <w:rFonts w:hint="cs"/>
          <w:color w:val="000080"/>
          <w:u w:val="single"/>
          <w:rtl/>
        </w:rPr>
        <w:t>فالقول قولها مع يمينها لأن الحيض لا يعلم إلا من جهتها</w:t>
      </w:r>
      <w:r w:rsidR="00424126" w:rsidRPr="00424126">
        <w:rPr>
          <w:rFonts w:hint="cs"/>
          <w:color w:val="000080"/>
          <w:rtl/>
        </w:rPr>
        <w:t>.</w:t>
      </w:r>
    </w:p>
    <w:p w:rsidR="00424126" w:rsidRPr="00424126" w:rsidRDefault="00424126" w:rsidP="00424126">
      <w:pPr>
        <w:jc w:val="both"/>
        <w:rPr>
          <w:color w:val="000080"/>
          <w:rtl/>
        </w:rPr>
      </w:pPr>
      <w:r w:rsidRPr="00424126">
        <w:rPr>
          <w:rFonts w:hint="cs"/>
          <w:color w:val="000080"/>
          <w:rtl/>
        </w:rPr>
        <w:t xml:space="preserve">و لو قال لها إذا ولدت فأنت طالق، و إذا دخلت الدار فأنت طالق، فقالت قد ولدت و أنكر الزوج، كان القول قوله، </w:t>
      </w:r>
      <w:r w:rsidRPr="00424126">
        <w:rPr>
          <w:rFonts w:hint="cs"/>
          <w:color w:val="000080"/>
          <w:u w:val="single"/>
          <w:rtl/>
        </w:rPr>
        <w:t>لأن وجود الولادة يتوصل إلى ثبوته من غيرها لأنه يمكن إقامة البينة عليه</w:t>
      </w:r>
      <w:r w:rsidRPr="00424126">
        <w:rPr>
          <w:rFonts w:hint="cs"/>
          <w:color w:val="000080"/>
          <w:rtl/>
        </w:rPr>
        <w:t>، و كذلك دخول الدار.</w:t>
      </w:r>
    </w:p>
    <w:p w:rsidR="00424126" w:rsidRPr="00424126" w:rsidRDefault="00424126" w:rsidP="00424126">
      <w:pPr>
        <w:jc w:val="both"/>
        <w:rPr>
          <w:color w:val="000080"/>
          <w:rtl/>
        </w:rPr>
      </w:pPr>
      <w:r w:rsidRPr="00424126">
        <w:rPr>
          <w:rFonts w:hint="cs"/>
          <w:color w:val="000080"/>
          <w:rtl/>
        </w:rPr>
        <w:t>و كذلك إن قال: إن عزمت على الحج أو نويت سفرا فأنت طالق، فقالت: قد نويت سفرا فأنكر كان القول قولها، لأن العزم و النية لا يتوصل إليهما إلا من جهتها كالحيض و عندنا هذه و الاولى لا يقع أصلا لما تقدم.»</w:t>
      </w:r>
      <w:r>
        <w:rPr>
          <w:rStyle w:val="FootnoteReference"/>
          <w:color w:val="000080"/>
          <w:rtl/>
        </w:rPr>
        <w:footnoteReference w:id="9"/>
      </w:r>
    </w:p>
    <w:p w:rsidR="00753B42" w:rsidRPr="006162A2" w:rsidRDefault="00753B42" w:rsidP="007F3056">
      <w:pPr>
        <w:jc w:val="both"/>
        <w:rPr>
          <w:rtl/>
        </w:rPr>
      </w:pPr>
    </w:p>
    <w:sectPr w:rsidR="00753B42"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48" w:rsidRDefault="003E1D48" w:rsidP="008B750B">
      <w:pPr>
        <w:spacing w:line="240" w:lineRule="auto"/>
      </w:pPr>
      <w:r>
        <w:separator/>
      </w:r>
    </w:p>
  </w:endnote>
  <w:endnote w:type="continuationSeparator" w:id="0">
    <w:p w:rsidR="003E1D48" w:rsidRDefault="003E1D4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panose1 w:val="00000700000000000000"/>
    <w:charset w:val="B2"/>
    <w:family w:val="auto"/>
    <w:pitch w:val="variable"/>
    <w:sig w:usb0="00002001" w:usb1="80000000" w:usb2="00000008"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Noor_Lotus">
    <w:altName w:val="Segoe UI Semilight"/>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424126" w:rsidRPr="006D44C1" w:rsidTr="0020241A">
      <w:tc>
        <w:tcPr>
          <w:tcW w:w="3382" w:type="dxa"/>
          <w:tcBorders>
            <w:top w:val="nil"/>
            <w:left w:val="nil"/>
            <w:bottom w:val="nil"/>
            <w:right w:val="nil"/>
          </w:tcBorders>
        </w:tcPr>
        <w:p w:rsidR="00424126" w:rsidRDefault="00424126" w:rsidP="006D44C1">
          <w:pPr>
            <w:pStyle w:val="Footer"/>
            <w:rPr>
              <w:rtl/>
            </w:rPr>
          </w:pPr>
        </w:p>
      </w:tc>
      <w:tc>
        <w:tcPr>
          <w:tcW w:w="2252" w:type="dxa"/>
          <w:tcBorders>
            <w:top w:val="nil"/>
            <w:left w:val="nil"/>
            <w:bottom w:val="nil"/>
            <w:right w:val="nil"/>
          </w:tcBorders>
          <w:vAlign w:val="center"/>
        </w:tcPr>
        <w:p w:rsidR="00424126" w:rsidRDefault="00424126" w:rsidP="006D44C1">
          <w:pPr>
            <w:pStyle w:val="Footer"/>
            <w:jc w:val="right"/>
            <w:rPr>
              <w:rtl/>
            </w:rPr>
          </w:pPr>
          <w:r>
            <w:rPr>
              <w:rFonts w:hint="cs"/>
              <w:rtl/>
            </w:rPr>
            <w:t xml:space="preserve">صفحه </w:t>
          </w:r>
          <w:r>
            <w:fldChar w:fldCharType="begin"/>
          </w:r>
          <w:r>
            <w:instrText>PAGE   \* MERGEFORMAT</w:instrText>
          </w:r>
          <w:r>
            <w:fldChar w:fldCharType="separate"/>
          </w:r>
          <w:r w:rsidR="004A189D" w:rsidRPr="004A189D">
            <w:rPr>
              <w:noProof/>
              <w:rtl/>
              <w:lang w:val="fa-IR"/>
            </w:rPr>
            <w:t>4</w:t>
          </w:r>
          <w:r>
            <w:rPr>
              <w:noProof/>
            </w:rPr>
            <w:fldChar w:fldCharType="end"/>
          </w:r>
        </w:p>
      </w:tc>
      <w:tc>
        <w:tcPr>
          <w:tcW w:w="4786" w:type="dxa"/>
          <w:tcBorders>
            <w:top w:val="nil"/>
            <w:left w:val="nil"/>
            <w:bottom w:val="nil"/>
            <w:right w:val="nil"/>
          </w:tcBorders>
          <w:vAlign w:val="center"/>
        </w:tcPr>
        <w:p w:rsidR="00424126" w:rsidRPr="006D44C1" w:rsidRDefault="00424126" w:rsidP="001B6799">
          <w:pPr>
            <w:pStyle w:val="Footer"/>
            <w:bidi w:val="0"/>
            <w:rPr>
              <w:color w:val="808080" w:themeColor="background1" w:themeShade="80"/>
              <w:rtl/>
            </w:rPr>
          </w:pPr>
          <w:bookmarkStart w:id="20" w:name="BokAdres"/>
          <w:bookmarkEnd w:id="20"/>
          <w:r>
            <w:rPr>
              <w:color w:val="808080" w:themeColor="background1" w:themeShade="80"/>
            </w:rPr>
            <w:t>F1js1_13981002-043_mk3_mfeb.ir</w:t>
          </w:r>
        </w:p>
      </w:tc>
    </w:tr>
  </w:tbl>
  <w:p w:rsidR="00424126" w:rsidRDefault="0042412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48" w:rsidRDefault="003E1D48" w:rsidP="008B750B">
      <w:pPr>
        <w:spacing w:line="240" w:lineRule="auto"/>
      </w:pPr>
      <w:r>
        <w:separator/>
      </w:r>
    </w:p>
  </w:footnote>
  <w:footnote w:type="continuationSeparator" w:id="0">
    <w:p w:rsidR="003E1D48" w:rsidRDefault="003E1D48" w:rsidP="008B750B">
      <w:pPr>
        <w:spacing w:line="240" w:lineRule="auto"/>
      </w:pPr>
      <w:r>
        <w:continuationSeparator/>
      </w:r>
    </w:p>
  </w:footnote>
  <w:footnote w:id="1">
    <w:p w:rsidR="00424126" w:rsidRPr="00B84A1A" w:rsidRDefault="00424126" w:rsidP="007F3056">
      <w:pPr>
        <w:pStyle w:val="FootnoteText"/>
      </w:pPr>
      <w:r w:rsidRPr="00B84A1A">
        <w:footnoteRef/>
      </w:r>
      <w:r w:rsidRPr="00B84A1A">
        <w:rPr>
          <w:rtl/>
        </w:rPr>
        <w:t xml:space="preserve"> </w:t>
      </w:r>
      <w:hyperlink r:id="rId1" w:history="1">
        <w:r w:rsidRPr="00B84A1A">
          <w:rPr>
            <w:rStyle w:val="Hyperlink"/>
            <w:rFonts w:hint="cs"/>
            <w:rtl/>
          </w:rPr>
          <w:t>الکافی،</w:t>
        </w:r>
        <w:r w:rsidRPr="00B84A1A">
          <w:rPr>
            <w:rStyle w:val="Hyperlink"/>
            <w:rtl/>
          </w:rPr>
          <w:t xml:space="preserve"> </w:t>
        </w:r>
        <w:r w:rsidRPr="00B84A1A">
          <w:rPr>
            <w:rStyle w:val="Hyperlink"/>
            <w:rFonts w:hint="cs"/>
            <w:rtl/>
          </w:rPr>
          <w:t>محمد</w:t>
        </w:r>
        <w:r w:rsidRPr="00B84A1A">
          <w:rPr>
            <w:rStyle w:val="Hyperlink"/>
            <w:rtl/>
          </w:rPr>
          <w:t xml:space="preserve"> </w:t>
        </w:r>
        <w:r w:rsidRPr="00B84A1A">
          <w:rPr>
            <w:rStyle w:val="Hyperlink"/>
            <w:rFonts w:hint="cs"/>
            <w:rtl/>
          </w:rPr>
          <w:t>بن</w:t>
        </w:r>
        <w:r w:rsidRPr="00B84A1A">
          <w:rPr>
            <w:rStyle w:val="Hyperlink"/>
            <w:rtl/>
          </w:rPr>
          <w:t xml:space="preserve"> </w:t>
        </w:r>
        <w:r w:rsidRPr="00B84A1A">
          <w:rPr>
            <w:rStyle w:val="Hyperlink"/>
            <w:rFonts w:hint="cs"/>
            <w:rtl/>
          </w:rPr>
          <w:t>یعقوب</w:t>
        </w:r>
        <w:r w:rsidRPr="00B84A1A">
          <w:rPr>
            <w:rStyle w:val="Hyperlink"/>
            <w:rtl/>
          </w:rPr>
          <w:t xml:space="preserve"> </w:t>
        </w:r>
        <w:r w:rsidRPr="00B84A1A">
          <w:rPr>
            <w:rStyle w:val="Hyperlink"/>
            <w:rFonts w:hint="cs"/>
            <w:rtl/>
          </w:rPr>
          <w:t>کلینی،</w:t>
        </w:r>
        <w:r w:rsidRPr="00B84A1A">
          <w:rPr>
            <w:rStyle w:val="Hyperlink"/>
            <w:rtl/>
          </w:rPr>
          <w:t xml:space="preserve"> </w:t>
        </w:r>
        <w:r w:rsidRPr="00B84A1A">
          <w:rPr>
            <w:rStyle w:val="Hyperlink"/>
            <w:rFonts w:hint="cs"/>
            <w:rtl/>
          </w:rPr>
          <w:t>ج</w:t>
        </w:r>
        <w:r w:rsidRPr="00B84A1A">
          <w:rPr>
            <w:rStyle w:val="Hyperlink"/>
            <w:rtl/>
          </w:rPr>
          <w:t>6</w:t>
        </w:r>
        <w:r w:rsidRPr="00B84A1A">
          <w:rPr>
            <w:rStyle w:val="Hyperlink"/>
            <w:rFonts w:hint="cs"/>
            <w:rtl/>
          </w:rPr>
          <w:t>،</w:t>
        </w:r>
        <w:r w:rsidRPr="00B84A1A">
          <w:rPr>
            <w:rStyle w:val="Hyperlink"/>
            <w:rtl/>
          </w:rPr>
          <w:t xml:space="preserve"> </w:t>
        </w:r>
        <w:r w:rsidRPr="00B84A1A">
          <w:rPr>
            <w:rStyle w:val="Hyperlink"/>
            <w:rFonts w:hint="cs"/>
            <w:rtl/>
          </w:rPr>
          <w:t>ص</w:t>
        </w:r>
        <w:r w:rsidRPr="00B84A1A">
          <w:rPr>
            <w:rStyle w:val="Hyperlink"/>
            <w:rtl/>
          </w:rPr>
          <w:t>101.</w:t>
        </w:r>
      </w:hyperlink>
    </w:p>
  </w:footnote>
  <w:footnote w:id="2">
    <w:p w:rsidR="00424126" w:rsidRPr="000848F4" w:rsidRDefault="00424126" w:rsidP="007F3056">
      <w:pPr>
        <w:pStyle w:val="FootnoteText"/>
      </w:pPr>
      <w:r w:rsidRPr="000848F4">
        <w:footnoteRef/>
      </w:r>
      <w:r w:rsidRPr="000848F4">
        <w:rPr>
          <w:rtl/>
        </w:rPr>
        <w:t xml:space="preserve"> </w:t>
      </w:r>
      <w:hyperlink r:id="rId2" w:history="1">
        <w:r w:rsidRPr="000848F4">
          <w:rPr>
            <w:rStyle w:val="Hyperlink"/>
            <w:rFonts w:hint="cs"/>
            <w:rtl/>
          </w:rPr>
          <w:t>تهذیب</w:t>
        </w:r>
        <w:r w:rsidRPr="000848F4">
          <w:rPr>
            <w:rStyle w:val="Hyperlink"/>
            <w:rtl/>
          </w:rPr>
          <w:t xml:space="preserve"> </w:t>
        </w:r>
        <w:r w:rsidRPr="000848F4">
          <w:rPr>
            <w:rStyle w:val="Hyperlink"/>
            <w:rFonts w:hint="cs"/>
            <w:rtl/>
          </w:rPr>
          <w:t>الاحکام،</w:t>
        </w:r>
        <w:r w:rsidRPr="000848F4">
          <w:rPr>
            <w:rStyle w:val="Hyperlink"/>
            <w:rtl/>
          </w:rPr>
          <w:t xml:space="preserve"> </w:t>
        </w:r>
        <w:r w:rsidRPr="000848F4">
          <w:rPr>
            <w:rStyle w:val="Hyperlink"/>
            <w:rFonts w:hint="cs"/>
            <w:rtl/>
          </w:rPr>
          <w:t>شیخ</w:t>
        </w:r>
        <w:r w:rsidRPr="000848F4">
          <w:rPr>
            <w:rStyle w:val="Hyperlink"/>
            <w:rtl/>
          </w:rPr>
          <w:t xml:space="preserve"> </w:t>
        </w:r>
        <w:r w:rsidRPr="000848F4">
          <w:rPr>
            <w:rStyle w:val="Hyperlink"/>
            <w:rFonts w:hint="cs"/>
            <w:rtl/>
          </w:rPr>
          <w:t>طوسی،</w:t>
        </w:r>
        <w:r w:rsidRPr="000848F4">
          <w:rPr>
            <w:rStyle w:val="Hyperlink"/>
            <w:rtl/>
          </w:rPr>
          <w:t xml:space="preserve"> </w:t>
        </w:r>
        <w:r w:rsidRPr="000848F4">
          <w:rPr>
            <w:rStyle w:val="Hyperlink"/>
            <w:rFonts w:hint="cs"/>
            <w:rtl/>
          </w:rPr>
          <w:t>ج</w:t>
        </w:r>
        <w:r w:rsidRPr="000848F4">
          <w:rPr>
            <w:rStyle w:val="Hyperlink"/>
            <w:rtl/>
          </w:rPr>
          <w:t>1</w:t>
        </w:r>
        <w:r w:rsidRPr="000848F4">
          <w:rPr>
            <w:rStyle w:val="Hyperlink"/>
            <w:rFonts w:hint="cs"/>
            <w:rtl/>
          </w:rPr>
          <w:t>،</w:t>
        </w:r>
        <w:r w:rsidRPr="000848F4">
          <w:rPr>
            <w:rStyle w:val="Hyperlink"/>
            <w:rtl/>
          </w:rPr>
          <w:t xml:space="preserve"> </w:t>
        </w:r>
        <w:r w:rsidRPr="000848F4">
          <w:rPr>
            <w:rStyle w:val="Hyperlink"/>
            <w:rFonts w:hint="cs"/>
            <w:rtl/>
          </w:rPr>
          <w:t>ص</w:t>
        </w:r>
        <w:r w:rsidRPr="000848F4">
          <w:rPr>
            <w:rStyle w:val="Hyperlink"/>
            <w:rtl/>
          </w:rPr>
          <w:t>398.</w:t>
        </w:r>
      </w:hyperlink>
    </w:p>
  </w:footnote>
  <w:footnote w:id="3">
    <w:p w:rsidR="00424126" w:rsidRPr="00183C4A" w:rsidRDefault="00424126" w:rsidP="00183C4A">
      <w:pPr>
        <w:pStyle w:val="FootnoteText"/>
      </w:pPr>
      <w:r w:rsidRPr="00183C4A">
        <w:footnoteRef/>
      </w:r>
      <w:r w:rsidRPr="00183C4A">
        <w:rPr>
          <w:rtl/>
        </w:rPr>
        <w:t xml:space="preserve"> </w:t>
      </w:r>
      <w:hyperlink r:id="rId3" w:history="1">
        <w:r w:rsidRPr="00183C4A">
          <w:rPr>
            <w:rStyle w:val="Hyperlink"/>
            <w:rFonts w:hint="cs"/>
            <w:rtl/>
          </w:rPr>
          <w:t>أنوار</w:t>
        </w:r>
        <w:r w:rsidRPr="00183C4A">
          <w:rPr>
            <w:rStyle w:val="Hyperlink"/>
            <w:rtl/>
          </w:rPr>
          <w:t xml:space="preserve"> </w:t>
        </w:r>
        <w:r w:rsidRPr="00183C4A">
          <w:rPr>
            <w:rStyle w:val="Hyperlink"/>
            <w:rFonts w:hint="cs"/>
            <w:rtl/>
          </w:rPr>
          <w:t>الفقاهة</w:t>
        </w:r>
        <w:r w:rsidRPr="00183C4A">
          <w:rPr>
            <w:rStyle w:val="Hyperlink"/>
            <w:rtl/>
          </w:rPr>
          <w:t xml:space="preserve"> (</w:t>
        </w:r>
        <w:r w:rsidRPr="00183C4A">
          <w:rPr>
            <w:rStyle w:val="Hyperlink"/>
            <w:rFonts w:hint="cs"/>
            <w:rtl/>
          </w:rPr>
          <w:t>كتاب</w:t>
        </w:r>
        <w:r w:rsidRPr="00183C4A">
          <w:rPr>
            <w:rStyle w:val="Hyperlink"/>
            <w:rtl/>
          </w:rPr>
          <w:t xml:space="preserve"> </w:t>
        </w:r>
        <w:r w:rsidRPr="00183C4A">
          <w:rPr>
            <w:rStyle w:val="Hyperlink"/>
            <w:rFonts w:hint="cs"/>
            <w:rtl/>
          </w:rPr>
          <w:t>الطلاق</w:t>
        </w:r>
        <w:r w:rsidRPr="00183C4A">
          <w:rPr>
            <w:rStyle w:val="Hyperlink"/>
            <w:rtl/>
          </w:rPr>
          <w:t xml:space="preserve">) </w:t>
        </w:r>
        <w:r w:rsidRPr="00183C4A">
          <w:rPr>
            <w:rStyle w:val="Hyperlink"/>
            <w:rFonts w:hint="cs"/>
            <w:rtl/>
          </w:rPr>
          <w:t>،</w:t>
        </w:r>
        <w:r w:rsidRPr="00183C4A">
          <w:rPr>
            <w:rStyle w:val="Hyperlink"/>
            <w:rtl/>
          </w:rPr>
          <w:t xml:space="preserve"> </w:t>
        </w:r>
        <w:r w:rsidRPr="00183C4A">
          <w:rPr>
            <w:rStyle w:val="Hyperlink"/>
            <w:rFonts w:hint="cs"/>
            <w:rtl/>
          </w:rPr>
          <w:t>الشيخ</w:t>
        </w:r>
        <w:r w:rsidRPr="00183C4A">
          <w:rPr>
            <w:rStyle w:val="Hyperlink"/>
            <w:rtl/>
          </w:rPr>
          <w:t xml:space="preserve"> </w:t>
        </w:r>
        <w:r w:rsidRPr="00183C4A">
          <w:rPr>
            <w:rStyle w:val="Hyperlink"/>
            <w:rFonts w:hint="cs"/>
            <w:rtl/>
          </w:rPr>
          <w:t>حسن</w:t>
        </w:r>
        <w:r w:rsidRPr="00183C4A">
          <w:rPr>
            <w:rStyle w:val="Hyperlink"/>
            <w:rtl/>
          </w:rPr>
          <w:t xml:space="preserve"> </w:t>
        </w:r>
        <w:r w:rsidRPr="00183C4A">
          <w:rPr>
            <w:rStyle w:val="Hyperlink"/>
            <w:rFonts w:hint="cs"/>
            <w:rtl/>
          </w:rPr>
          <w:t>كاشف</w:t>
        </w:r>
        <w:r w:rsidRPr="00183C4A">
          <w:rPr>
            <w:rStyle w:val="Hyperlink"/>
            <w:rtl/>
          </w:rPr>
          <w:t xml:space="preserve"> </w:t>
        </w:r>
        <w:r w:rsidRPr="00183C4A">
          <w:rPr>
            <w:rStyle w:val="Hyperlink"/>
            <w:rFonts w:hint="cs"/>
            <w:rtl/>
          </w:rPr>
          <w:t>الغطاء،</w:t>
        </w:r>
        <w:r w:rsidRPr="00183C4A">
          <w:rPr>
            <w:rStyle w:val="Hyperlink"/>
            <w:rtl/>
          </w:rPr>
          <w:t xml:space="preserve"> </w:t>
        </w:r>
        <w:r w:rsidRPr="00183C4A">
          <w:rPr>
            <w:rStyle w:val="Hyperlink"/>
            <w:rFonts w:hint="cs"/>
            <w:rtl/>
          </w:rPr>
          <w:t>ج</w:t>
        </w:r>
        <w:r w:rsidRPr="00183C4A">
          <w:rPr>
            <w:rStyle w:val="Hyperlink"/>
            <w:rtl/>
          </w:rPr>
          <w:t>1</w:t>
        </w:r>
        <w:r w:rsidRPr="00183C4A">
          <w:rPr>
            <w:rStyle w:val="Hyperlink"/>
            <w:rFonts w:hint="cs"/>
            <w:rtl/>
          </w:rPr>
          <w:t>،</w:t>
        </w:r>
        <w:r w:rsidRPr="00183C4A">
          <w:rPr>
            <w:rStyle w:val="Hyperlink"/>
            <w:rtl/>
          </w:rPr>
          <w:t xml:space="preserve"> </w:t>
        </w:r>
        <w:r w:rsidRPr="00183C4A">
          <w:rPr>
            <w:rStyle w:val="Hyperlink"/>
            <w:rFonts w:hint="cs"/>
            <w:rtl/>
          </w:rPr>
          <w:t>ص</w:t>
        </w:r>
        <w:r w:rsidRPr="00183C4A">
          <w:rPr>
            <w:rStyle w:val="Hyperlink"/>
            <w:rtl/>
          </w:rPr>
          <w:t>32.</w:t>
        </w:r>
      </w:hyperlink>
    </w:p>
  </w:footnote>
  <w:footnote w:id="4">
    <w:p w:rsidR="00424126" w:rsidRDefault="00424126" w:rsidP="00875F44">
      <w:pPr>
        <w:pStyle w:val="FootnoteText"/>
      </w:pPr>
      <w:r>
        <w:rPr>
          <w:rStyle w:val="FootnoteReference"/>
        </w:rPr>
        <w:footnoteRef/>
      </w:r>
      <w:r>
        <w:rPr>
          <w:rtl/>
        </w:rPr>
        <w:t xml:space="preserve"> </w:t>
      </w:r>
      <w:r w:rsidRPr="00875F44">
        <w:rPr>
          <w:rFonts w:hint="cs"/>
          <w:rtl/>
        </w:rPr>
        <w:t>رياض المسائل (ط - القديمة)، ج‌2، ص: 182</w:t>
      </w:r>
    </w:p>
  </w:footnote>
  <w:footnote w:id="5">
    <w:p w:rsidR="00424126" w:rsidRPr="00926BC7" w:rsidRDefault="00424126" w:rsidP="00926BC7">
      <w:pPr>
        <w:pStyle w:val="FootnoteText"/>
      </w:pPr>
      <w:r w:rsidRPr="00926BC7">
        <w:footnoteRef/>
      </w:r>
      <w:r w:rsidRPr="00926BC7">
        <w:rPr>
          <w:rtl/>
        </w:rPr>
        <w:t xml:space="preserve"> </w:t>
      </w:r>
      <w:hyperlink r:id="rId4" w:history="1">
        <w:r w:rsidRPr="00926BC7">
          <w:rPr>
            <w:rStyle w:val="Hyperlink"/>
            <w:rFonts w:hint="cs"/>
            <w:rtl/>
          </w:rPr>
          <w:t>شرائع</w:t>
        </w:r>
        <w:r w:rsidRPr="00926BC7">
          <w:rPr>
            <w:rStyle w:val="Hyperlink"/>
            <w:rtl/>
          </w:rPr>
          <w:t xml:space="preserve"> </w:t>
        </w:r>
        <w:r w:rsidRPr="00926BC7">
          <w:rPr>
            <w:rStyle w:val="Hyperlink"/>
            <w:rFonts w:hint="cs"/>
            <w:rtl/>
          </w:rPr>
          <w:t>الإسلام،</w:t>
        </w:r>
        <w:r w:rsidRPr="00926BC7">
          <w:rPr>
            <w:rStyle w:val="Hyperlink"/>
            <w:rtl/>
          </w:rPr>
          <w:t xml:space="preserve"> </w:t>
        </w:r>
        <w:r w:rsidRPr="00926BC7">
          <w:rPr>
            <w:rStyle w:val="Hyperlink"/>
            <w:rFonts w:hint="cs"/>
            <w:rtl/>
          </w:rPr>
          <w:t>جعفر</w:t>
        </w:r>
        <w:r w:rsidRPr="00926BC7">
          <w:rPr>
            <w:rStyle w:val="Hyperlink"/>
            <w:rtl/>
          </w:rPr>
          <w:t xml:space="preserve"> </w:t>
        </w:r>
        <w:r w:rsidRPr="00926BC7">
          <w:rPr>
            <w:rStyle w:val="Hyperlink"/>
            <w:rFonts w:hint="cs"/>
            <w:rtl/>
          </w:rPr>
          <w:t>بن</w:t>
        </w:r>
        <w:r w:rsidRPr="00926BC7">
          <w:rPr>
            <w:rStyle w:val="Hyperlink"/>
            <w:rtl/>
          </w:rPr>
          <w:t xml:space="preserve"> </w:t>
        </w:r>
        <w:r w:rsidRPr="00926BC7">
          <w:rPr>
            <w:rStyle w:val="Hyperlink"/>
            <w:rFonts w:hint="cs"/>
            <w:rtl/>
          </w:rPr>
          <w:t>الحسن</w:t>
        </w:r>
        <w:r w:rsidRPr="00926BC7">
          <w:rPr>
            <w:rStyle w:val="Hyperlink"/>
            <w:rtl/>
          </w:rPr>
          <w:t xml:space="preserve"> </w:t>
        </w:r>
        <w:r w:rsidRPr="00926BC7">
          <w:rPr>
            <w:rStyle w:val="Hyperlink"/>
            <w:rFonts w:hint="cs"/>
            <w:rtl/>
          </w:rPr>
          <w:t>بن</w:t>
        </w:r>
        <w:r w:rsidRPr="00926BC7">
          <w:rPr>
            <w:rStyle w:val="Hyperlink"/>
            <w:rtl/>
          </w:rPr>
          <w:t xml:space="preserve"> </w:t>
        </w:r>
        <w:r w:rsidRPr="00926BC7">
          <w:rPr>
            <w:rStyle w:val="Hyperlink"/>
            <w:rFonts w:hint="cs"/>
            <w:rtl/>
          </w:rPr>
          <w:t>یحیی</w:t>
        </w:r>
        <w:r w:rsidRPr="00926BC7">
          <w:rPr>
            <w:rStyle w:val="Hyperlink"/>
            <w:rtl/>
          </w:rPr>
          <w:t xml:space="preserve"> (</w:t>
        </w:r>
        <w:r w:rsidRPr="00926BC7">
          <w:rPr>
            <w:rStyle w:val="Hyperlink"/>
            <w:rFonts w:hint="cs"/>
            <w:rtl/>
          </w:rPr>
          <w:t>المحقق</w:t>
        </w:r>
        <w:r w:rsidRPr="00926BC7">
          <w:rPr>
            <w:rStyle w:val="Hyperlink"/>
            <w:rtl/>
          </w:rPr>
          <w:t xml:space="preserve"> </w:t>
        </w:r>
        <w:r w:rsidRPr="00926BC7">
          <w:rPr>
            <w:rStyle w:val="Hyperlink"/>
            <w:rFonts w:hint="cs"/>
            <w:rtl/>
          </w:rPr>
          <w:t>الحلّی</w:t>
        </w:r>
        <w:r w:rsidRPr="00926BC7">
          <w:rPr>
            <w:rStyle w:val="Hyperlink"/>
            <w:rtl/>
          </w:rPr>
          <w:t>)</w:t>
        </w:r>
        <w:r w:rsidRPr="00926BC7">
          <w:rPr>
            <w:rStyle w:val="Hyperlink"/>
            <w:rFonts w:hint="cs"/>
            <w:rtl/>
          </w:rPr>
          <w:t>،</w:t>
        </w:r>
        <w:r w:rsidRPr="00926BC7">
          <w:rPr>
            <w:rStyle w:val="Hyperlink"/>
            <w:rtl/>
          </w:rPr>
          <w:t xml:space="preserve"> </w:t>
        </w:r>
        <w:r w:rsidRPr="00926BC7">
          <w:rPr>
            <w:rStyle w:val="Hyperlink"/>
            <w:rFonts w:hint="cs"/>
            <w:rtl/>
          </w:rPr>
          <w:t>ج</w:t>
        </w:r>
        <w:r w:rsidRPr="00926BC7">
          <w:rPr>
            <w:rStyle w:val="Hyperlink"/>
            <w:rtl/>
          </w:rPr>
          <w:t>3</w:t>
        </w:r>
        <w:r w:rsidRPr="00926BC7">
          <w:rPr>
            <w:rStyle w:val="Hyperlink"/>
            <w:rFonts w:hint="cs"/>
            <w:rtl/>
          </w:rPr>
          <w:t>،</w:t>
        </w:r>
        <w:r w:rsidRPr="00926BC7">
          <w:rPr>
            <w:rStyle w:val="Hyperlink"/>
            <w:rtl/>
          </w:rPr>
          <w:t xml:space="preserve"> </w:t>
        </w:r>
        <w:r w:rsidRPr="00926BC7">
          <w:rPr>
            <w:rStyle w:val="Hyperlink"/>
            <w:rFonts w:hint="cs"/>
            <w:rtl/>
          </w:rPr>
          <w:t>ص</w:t>
        </w:r>
        <w:r w:rsidRPr="00926BC7">
          <w:rPr>
            <w:rStyle w:val="Hyperlink"/>
            <w:rtl/>
          </w:rPr>
          <w:t>20.</w:t>
        </w:r>
      </w:hyperlink>
    </w:p>
  </w:footnote>
  <w:footnote w:id="6">
    <w:p w:rsidR="00424126" w:rsidRPr="00A76172" w:rsidRDefault="00424126" w:rsidP="00A76172">
      <w:pPr>
        <w:pStyle w:val="FootnoteText"/>
      </w:pPr>
      <w:r w:rsidRPr="00A76172">
        <w:footnoteRef/>
      </w:r>
      <w:r w:rsidRPr="00A76172">
        <w:rPr>
          <w:rtl/>
        </w:rPr>
        <w:t xml:space="preserve"> </w:t>
      </w:r>
      <w:hyperlink r:id="rId5" w:history="1">
        <w:r w:rsidRPr="00A76172">
          <w:rPr>
            <w:rStyle w:val="Hyperlink"/>
            <w:rFonts w:hint="cs"/>
            <w:rtl/>
          </w:rPr>
          <w:t>المبسوط</w:t>
        </w:r>
        <w:r w:rsidRPr="00A76172">
          <w:rPr>
            <w:rStyle w:val="Hyperlink"/>
            <w:rtl/>
          </w:rPr>
          <w:t xml:space="preserve"> </w:t>
        </w:r>
        <w:r w:rsidRPr="00A76172">
          <w:rPr>
            <w:rStyle w:val="Hyperlink"/>
            <w:rFonts w:hint="cs"/>
            <w:rtl/>
          </w:rPr>
          <w:t>فی</w:t>
        </w:r>
        <w:r w:rsidRPr="00A76172">
          <w:rPr>
            <w:rStyle w:val="Hyperlink"/>
            <w:rtl/>
          </w:rPr>
          <w:t xml:space="preserve"> </w:t>
        </w:r>
        <w:r w:rsidRPr="00A76172">
          <w:rPr>
            <w:rStyle w:val="Hyperlink"/>
            <w:rFonts w:hint="cs"/>
            <w:rtl/>
          </w:rPr>
          <w:t>فقه</w:t>
        </w:r>
        <w:r w:rsidRPr="00A76172">
          <w:rPr>
            <w:rStyle w:val="Hyperlink"/>
            <w:rtl/>
          </w:rPr>
          <w:t xml:space="preserve"> </w:t>
        </w:r>
        <w:r w:rsidRPr="00A76172">
          <w:rPr>
            <w:rStyle w:val="Hyperlink"/>
            <w:rFonts w:hint="cs"/>
            <w:rtl/>
          </w:rPr>
          <w:t>الإمامیة،</w:t>
        </w:r>
        <w:r w:rsidRPr="00A76172">
          <w:rPr>
            <w:rStyle w:val="Hyperlink"/>
            <w:rtl/>
          </w:rPr>
          <w:t xml:space="preserve"> </w:t>
        </w:r>
        <w:r w:rsidRPr="00A76172">
          <w:rPr>
            <w:rStyle w:val="Hyperlink"/>
            <w:rFonts w:hint="cs"/>
            <w:rtl/>
          </w:rPr>
          <w:t>شیخ</w:t>
        </w:r>
        <w:r w:rsidRPr="00A76172">
          <w:rPr>
            <w:rStyle w:val="Hyperlink"/>
            <w:rtl/>
          </w:rPr>
          <w:t xml:space="preserve"> </w:t>
        </w:r>
        <w:r w:rsidRPr="00A76172">
          <w:rPr>
            <w:rStyle w:val="Hyperlink"/>
            <w:rFonts w:hint="cs"/>
            <w:rtl/>
          </w:rPr>
          <w:t>طوسی،</w:t>
        </w:r>
        <w:r w:rsidRPr="00A76172">
          <w:rPr>
            <w:rStyle w:val="Hyperlink"/>
            <w:rtl/>
          </w:rPr>
          <w:t xml:space="preserve"> </w:t>
        </w:r>
        <w:r w:rsidRPr="00A76172">
          <w:rPr>
            <w:rStyle w:val="Hyperlink"/>
            <w:rFonts w:hint="cs"/>
            <w:rtl/>
          </w:rPr>
          <w:t>ج</w:t>
        </w:r>
        <w:r w:rsidRPr="00A76172">
          <w:rPr>
            <w:rStyle w:val="Hyperlink"/>
            <w:rtl/>
          </w:rPr>
          <w:t>5</w:t>
        </w:r>
        <w:r w:rsidRPr="00A76172">
          <w:rPr>
            <w:rStyle w:val="Hyperlink"/>
            <w:rFonts w:hint="cs"/>
            <w:rtl/>
          </w:rPr>
          <w:t>،</w:t>
        </w:r>
        <w:r w:rsidRPr="00A76172">
          <w:rPr>
            <w:rStyle w:val="Hyperlink"/>
            <w:rtl/>
          </w:rPr>
          <w:t xml:space="preserve"> </w:t>
        </w:r>
        <w:r w:rsidRPr="00A76172">
          <w:rPr>
            <w:rStyle w:val="Hyperlink"/>
            <w:rFonts w:hint="cs"/>
            <w:rtl/>
          </w:rPr>
          <w:t>ص</w:t>
        </w:r>
        <w:r w:rsidRPr="00A76172">
          <w:rPr>
            <w:rStyle w:val="Hyperlink"/>
            <w:rtl/>
          </w:rPr>
          <w:t>205.</w:t>
        </w:r>
      </w:hyperlink>
    </w:p>
  </w:footnote>
  <w:footnote w:id="7">
    <w:p w:rsidR="00424126" w:rsidRPr="0046625F" w:rsidRDefault="00424126" w:rsidP="0046625F">
      <w:pPr>
        <w:pStyle w:val="FootnoteText"/>
      </w:pPr>
      <w:r w:rsidRPr="0046625F">
        <w:footnoteRef/>
      </w:r>
      <w:r w:rsidRPr="0046625F">
        <w:rPr>
          <w:rtl/>
        </w:rPr>
        <w:t xml:space="preserve"> </w:t>
      </w:r>
      <w:hyperlink r:id="rId6" w:history="1">
        <w:r w:rsidRPr="0046625F">
          <w:rPr>
            <w:rStyle w:val="Hyperlink"/>
            <w:rFonts w:hint="cs"/>
            <w:rtl/>
          </w:rPr>
          <w:t>المبسوط</w:t>
        </w:r>
        <w:r w:rsidRPr="0046625F">
          <w:rPr>
            <w:rStyle w:val="Hyperlink"/>
            <w:rtl/>
          </w:rPr>
          <w:t xml:space="preserve"> </w:t>
        </w:r>
        <w:r w:rsidRPr="0046625F">
          <w:rPr>
            <w:rStyle w:val="Hyperlink"/>
            <w:rFonts w:hint="cs"/>
            <w:rtl/>
          </w:rPr>
          <w:t>فی</w:t>
        </w:r>
        <w:r w:rsidRPr="0046625F">
          <w:rPr>
            <w:rStyle w:val="Hyperlink"/>
            <w:rtl/>
          </w:rPr>
          <w:t xml:space="preserve"> </w:t>
        </w:r>
        <w:r w:rsidRPr="0046625F">
          <w:rPr>
            <w:rStyle w:val="Hyperlink"/>
            <w:rFonts w:hint="cs"/>
            <w:rtl/>
          </w:rPr>
          <w:t>فقه</w:t>
        </w:r>
        <w:r w:rsidRPr="0046625F">
          <w:rPr>
            <w:rStyle w:val="Hyperlink"/>
            <w:rtl/>
          </w:rPr>
          <w:t xml:space="preserve"> </w:t>
        </w:r>
        <w:r w:rsidRPr="0046625F">
          <w:rPr>
            <w:rStyle w:val="Hyperlink"/>
            <w:rFonts w:hint="cs"/>
            <w:rtl/>
          </w:rPr>
          <w:t>الإمامیة،</w:t>
        </w:r>
        <w:r w:rsidRPr="0046625F">
          <w:rPr>
            <w:rStyle w:val="Hyperlink"/>
            <w:rtl/>
          </w:rPr>
          <w:t xml:space="preserve"> </w:t>
        </w:r>
        <w:r w:rsidRPr="0046625F">
          <w:rPr>
            <w:rStyle w:val="Hyperlink"/>
            <w:rFonts w:hint="cs"/>
            <w:rtl/>
          </w:rPr>
          <w:t>شیخ</w:t>
        </w:r>
        <w:r w:rsidRPr="0046625F">
          <w:rPr>
            <w:rStyle w:val="Hyperlink"/>
            <w:rtl/>
          </w:rPr>
          <w:t xml:space="preserve"> </w:t>
        </w:r>
        <w:r w:rsidRPr="0046625F">
          <w:rPr>
            <w:rStyle w:val="Hyperlink"/>
            <w:rFonts w:hint="cs"/>
            <w:rtl/>
          </w:rPr>
          <w:t>طوسی،</w:t>
        </w:r>
        <w:r w:rsidRPr="0046625F">
          <w:rPr>
            <w:rStyle w:val="Hyperlink"/>
            <w:rtl/>
          </w:rPr>
          <w:t xml:space="preserve"> </w:t>
        </w:r>
        <w:r w:rsidRPr="0046625F">
          <w:rPr>
            <w:rStyle w:val="Hyperlink"/>
            <w:rFonts w:hint="cs"/>
            <w:rtl/>
          </w:rPr>
          <w:t>ج</w:t>
        </w:r>
        <w:r w:rsidRPr="0046625F">
          <w:rPr>
            <w:rStyle w:val="Hyperlink"/>
            <w:rtl/>
          </w:rPr>
          <w:t>5</w:t>
        </w:r>
        <w:r w:rsidRPr="0046625F">
          <w:rPr>
            <w:rStyle w:val="Hyperlink"/>
            <w:rFonts w:hint="cs"/>
            <w:rtl/>
          </w:rPr>
          <w:t>،</w:t>
        </w:r>
        <w:r w:rsidRPr="0046625F">
          <w:rPr>
            <w:rStyle w:val="Hyperlink"/>
            <w:rtl/>
          </w:rPr>
          <w:t xml:space="preserve"> </w:t>
        </w:r>
        <w:r w:rsidRPr="0046625F">
          <w:rPr>
            <w:rStyle w:val="Hyperlink"/>
            <w:rFonts w:hint="cs"/>
            <w:rtl/>
          </w:rPr>
          <w:t>ص</w:t>
        </w:r>
        <w:r w:rsidRPr="0046625F">
          <w:rPr>
            <w:rStyle w:val="Hyperlink"/>
            <w:rtl/>
          </w:rPr>
          <w:t>207.</w:t>
        </w:r>
      </w:hyperlink>
    </w:p>
  </w:footnote>
  <w:footnote w:id="8">
    <w:p w:rsidR="00424126" w:rsidRPr="0046625F" w:rsidRDefault="00424126" w:rsidP="0046625F">
      <w:pPr>
        <w:pStyle w:val="FootnoteText"/>
      </w:pPr>
      <w:r w:rsidRPr="0046625F">
        <w:footnoteRef/>
      </w:r>
      <w:r w:rsidRPr="0046625F">
        <w:rPr>
          <w:rtl/>
        </w:rPr>
        <w:t xml:space="preserve"> </w:t>
      </w:r>
      <w:hyperlink r:id="rId7" w:history="1">
        <w:r w:rsidRPr="0046625F">
          <w:rPr>
            <w:rStyle w:val="Hyperlink"/>
            <w:rFonts w:hint="cs"/>
            <w:rtl/>
          </w:rPr>
          <w:t>المبسوط</w:t>
        </w:r>
        <w:r w:rsidRPr="0046625F">
          <w:rPr>
            <w:rStyle w:val="Hyperlink"/>
            <w:rtl/>
          </w:rPr>
          <w:t xml:space="preserve"> </w:t>
        </w:r>
        <w:r w:rsidRPr="0046625F">
          <w:rPr>
            <w:rStyle w:val="Hyperlink"/>
            <w:rFonts w:hint="cs"/>
            <w:rtl/>
          </w:rPr>
          <w:t>فی</w:t>
        </w:r>
        <w:r w:rsidRPr="0046625F">
          <w:rPr>
            <w:rStyle w:val="Hyperlink"/>
            <w:rtl/>
          </w:rPr>
          <w:t xml:space="preserve"> </w:t>
        </w:r>
        <w:r w:rsidRPr="0046625F">
          <w:rPr>
            <w:rStyle w:val="Hyperlink"/>
            <w:rFonts w:hint="cs"/>
            <w:rtl/>
          </w:rPr>
          <w:t>فقه</w:t>
        </w:r>
        <w:r w:rsidRPr="0046625F">
          <w:rPr>
            <w:rStyle w:val="Hyperlink"/>
            <w:rtl/>
          </w:rPr>
          <w:t xml:space="preserve"> </w:t>
        </w:r>
        <w:r w:rsidRPr="0046625F">
          <w:rPr>
            <w:rStyle w:val="Hyperlink"/>
            <w:rFonts w:hint="cs"/>
            <w:rtl/>
          </w:rPr>
          <w:t>الإمامیة،</w:t>
        </w:r>
        <w:r w:rsidRPr="0046625F">
          <w:rPr>
            <w:rStyle w:val="Hyperlink"/>
            <w:rtl/>
          </w:rPr>
          <w:t xml:space="preserve"> </w:t>
        </w:r>
        <w:r w:rsidRPr="0046625F">
          <w:rPr>
            <w:rStyle w:val="Hyperlink"/>
            <w:rFonts w:hint="cs"/>
            <w:rtl/>
          </w:rPr>
          <w:t>شیخ</w:t>
        </w:r>
        <w:r w:rsidRPr="0046625F">
          <w:rPr>
            <w:rStyle w:val="Hyperlink"/>
            <w:rtl/>
          </w:rPr>
          <w:t xml:space="preserve"> </w:t>
        </w:r>
        <w:r w:rsidRPr="0046625F">
          <w:rPr>
            <w:rStyle w:val="Hyperlink"/>
            <w:rFonts w:hint="cs"/>
            <w:rtl/>
          </w:rPr>
          <w:t>طوسی،</w:t>
        </w:r>
        <w:r w:rsidRPr="0046625F">
          <w:rPr>
            <w:rStyle w:val="Hyperlink"/>
            <w:rtl/>
          </w:rPr>
          <w:t xml:space="preserve"> </w:t>
        </w:r>
        <w:r w:rsidRPr="0046625F">
          <w:rPr>
            <w:rStyle w:val="Hyperlink"/>
            <w:rFonts w:hint="cs"/>
            <w:rtl/>
          </w:rPr>
          <w:t>ج</w:t>
        </w:r>
        <w:r w:rsidRPr="0046625F">
          <w:rPr>
            <w:rStyle w:val="Hyperlink"/>
            <w:rtl/>
          </w:rPr>
          <w:t>5</w:t>
        </w:r>
        <w:r w:rsidRPr="0046625F">
          <w:rPr>
            <w:rStyle w:val="Hyperlink"/>
            <w:rFonts w:hint="cs"/>
            <w:rtl/>
          </w:rPr>
          <w:t>،</w:t>
        </w:r>
        <w:r w:rsidRPr="0046625F">
          <w:rPr>
            <w:rStyle w:val="Hyperlink"/>
            <w:rtl/>
          </w:rPr>
          <w:t xml:space="preserve"> </w:t>
        </w:r>
        <w:r w:rsidRPr="0046625F">
          <w:rPr>
            <w:rStyle w:val="Hyperlink"/>
            <w:rFonts w:hint="cs"/>
            <w:rtl/>
          </w:rPr>
          <w:t>ص</w:t>
        </w:r>
        <w:r w:rsidRPr="0046625F">
          <w:rPr>
            <w:rStyle w:val="Hyperlink"/>
            <w:rtl/>
          </w:rPr>
          <w:t>243.</w:t>
        </w:r>
      </w:hyperlink>
    </w:p>
  </w:footnote>
  <w:footnote w:id="9">
    <w:p w:rsidR="00424126" w:rsidRPr="00424126" w:rsidRDefault="00424126" w:rsidP="00424126">
      <w:pPr>
        <w:pStyle w:val="FootnoteText"/>
      </w:pPr>
      <w:r w:rsidRPr="00424126">
        <w:footnoteRef/>
      </w:r>
      <w:r w:rsidRPr="00424126">
        <w:rPr>
          <w:rtl/>
        </w:rPr>
        <w:t xml:space="preserve"> </w:t>
      </w:r>
      <w:hyperlink r:id="rId8" w:history="1">
        <w:r w:rsidRPr="00424126">
          <w:rPr>
            <w:rStyle w:val="Hyperlink"/>
            <w:rFonts w:hint="cs"/>
            <w:rtl/>
          </w:rPr>
          <w:t>المبسوط</w:t>
        </w:r>
        <w:r w:rsidRPr="00424126">
          <w:rPr>
            <w:rStyle w:val="Hyperlink"/>
            <w:rtl/>
          </w:rPr>
          <w:t xml:space="preserve"> </w:t>
        </w:r>
        <w:r w:rsidRPr="00424126">
          <w:rPr>
            <w:rStyle w:val="Hyperlink"/>
            <w:rFonts w:hint="cs"/>
            <w:rtl/>
          </w:rPr>
          <w:t>فی</w:t>
        </w:r>
        <w:r w:rsidRPr="00424126">
          <w:rPr>
            <w:rStyle w:val="Hyperlink"/>
            <w:rtl/>
          </w:rPr>
          <w:t xml:space="preserve"> </w:t>
        </w:r>
        <w:r w:rsidRPr="00424126">
          <w:rPr>
            <w:rStyle w:val="Hyperlink"/>
            <w:rFonts w:hint="cs"/>
            <w:rtl/>
          </w:rPr>
          <w:t>فقه</w:t>
        </w:r>
        <w:r w:rsidRPr="00424126">
          <w:rPr>
            <w:rStyle w:val="Hyperlink"/>
            <w:rtl/>
          </w:rPr>
          <w:t xml:space="preserve"> </w:t>
        </w:r>
        <w:r w:rsidRPr="00424126">
          <w:rPr>
            <w:rStyle w:val="Hyperlink"/>
            <w:rFonts w:hint="cs"/>
            <w:rtl/>
          </w:rPr>
          <w:t>الإمامیة،</w:t>
        </w:r>
        <w:r w:rsidRPr="00424126">
          <w:rPr>
            <w:rStyle w:val="Hyperlink"/>
            <w:rtl/>
          </w:rPr>
          <w:t xml:space="preserve"> </w:t>
        </w:r>
        <w:r w:rsidRPr="00424126">
          <w:rPr>
            <w:rStyle w:val="Hyperlink"/>
            <w:rFonts w:hint="cs"/>
            <w:rtl/>
          </w:rPr>
          <w:t>شیخ</w:t>
        </w:r>
        <w:r w:rsidRPr="00424126">
          <w:rPr>
            <w:rStyle w:val="Hyperlink"/>
            <w:rtl/>
          </w:rPr>
          <w:t xml:space="preserve"> </w:t>
        </w:r>
        <w:r w:rsidRPr="00424126">
          <w:rPr>
            <w:rStyle w:val="Hyperlink"/>
            <w:rFonts w:hint="cs"/>
            <w:rtl/>
          </w:rPr>
          <w:t>طوسی،</w:t>
        </w:r>
        <w:r w:rsidRPr="00424126">
          <w:rPr>
            <w:rStyle w:val="Hyperlink"/>
            <w:rtl/>
          </w:rPr>
          <w:t xml:space="preserve"> </w:t>
        </w:r>
        <w:r w:rsidRPr="00424126">
          <w:rPr>
            <w:rStyle w:val="Hyperlink"/>
            <w:rFonts w:hint="cs"/>
            <w:rtl/>
          </w:rPr>
          <w:t>ج</w:t>
        </w:r>
        <w:r w:rsidRPr="00424126">
          <w:rPr>
            <w:rStyle w:val="Hyperlink"/>
            <w:rtl/>
          </w:rPr>
          <w:t>5</w:t>
        </w:r>
        <w:r w:rsidRPr="00424126">
          <w:rPr>
            <w:rStyle w:val="Hyperlink"/>
            <w:rFonts w:hint="cs"/>
            <w:rtl/>
          </w:rPr>
          <w:t>،</w:t>
        </w:r>
        <w:r w:rsidRPr="00424126">
          <w:rPr>
            <w:rStyle w:val="Hyperlink"/>
            <w:rtl/>
          </w:rPr>
          <w:t xml:space="preserve"> </w:t>
        </w:r>
        <w:r w:rsidRPr="00424126">
          <w:rPr>
            <w:rStyle w:val="Hyperlink"/>
            <w:rFonts w:hint="cs"/>
            <w:rtl/>
          </w:rPr>
          <w:t>ص</w:t>
        </w:r>
        <w:r w:rsidRPr="00424126">
          <w:rPr>
            <w:rStyle w:val="Hyperlink"/>
            <w:rtl/>
          </w:rPr>
          <w:t>21.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26" w:rsidRPr="001D2E9A" w:rsidRDefault="00424126"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043</w:t>
    </w:r>
    <w:r>
      <w:rPr>
        <w:rFonts w:hint="cs"/>
        <w:b/>
        <w:bCs/>
        <w:sz w:val="20"/>
        <w:szCs w:val="24"/>
        <w:rtl/>
      </w:rPr>
      <w:tab/>
    </w:r>
    <w:r w:rsidRPr="00C32A7E">
      <w:rPr>
        <w:rFonts w:hint="cs"/>
        <w:b/>
        <w:bCs/>
        <w:color w:val="632423" w:themeColor="accent2" w:themeShade="80"/>
        <w:sz w:val="20"/>
        <w:szCs w:val="24"/>
        <w:rtl/>
      </w:rPr>
      <w:t xml:space="preserve">درس خارج </w:t>
    </w:r>
    <w:bookmarkStart w:id="14" w:name="Bokdars"/>
    <w:bookmarkEnd w:id="14"/>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5" w:name="Bokostad"/>
    <w:bookmarkEnd w:id="15"/>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2 /10 /1398</w:t>
    </w:r>
  </w:p>
  <w:p w:rsidR="00424126" w:rsidRPr="00F16B53" w:rsidRDefault="00424126" w:rsidP="00F56CD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Pr>
        <w:rFonts w:hint="cs"/>
        <w:color w:val="000000" w:themeColor="text1"/>
        <w:sz w:val="24"/>
        <w:szCs w:val="24"/>
        <w:rtl/>
      </w:rPr>
      <w:t>مساله‌ی</w:t>
    </w:r>
    <w:r>
      <w:rPr>
        <w:color w:val="000000" w:themeColor="text1"/>
        <w:sz w:val="24"/>
        <w:szCs w:val="24"/>
        <w:rtl/>
      </w:rPr>
      <w:t xml:space="preserve"> </w:t>
    </w:r>
    <w:r w:rsidR="00F56CD4">
      <w:rPr>
        <w:rFonts w:hint="cs"/>
        <w:color w:val="000000" w:themeColor="text1"/>
        <w:sz w:val="24"/>
        <w:szCs w:val="24"/>
        <w:rtl/>
      </w:rPr>
      <w:t>پنجم</w:t>
    </w:r>
    <w:r>
      <w:rPr>
        <w:color w:val="000000" w:themeColor="text1"/>
        <w:sz w:val="24"/>
        <w:szCs w:val="24"/>
        <w:rtl/>
      </w:rPr>
      <w:t xml:space="preserve"> </w:t>
    </w:r>
    <w:r>
      <w:rPr>
        <w:rFonts w:hint="cs"/>
        <w:color w:val="000000" w:themeColor="text1"/>
        <w:sz w:val="24"/>
        <w:szCs w:val="24"/>
        <w:rtl/>
      </w:rPr>
      <w:t>تکمله‌ی</w:t>
    </w:r>
    <w:r>
      <w:rPr>
        <w:color w:val="000000" w:themeColor="text1"/>
        <w:sz w:val="24"/>
        <w:szCs w:val="24"/>
        <w:rtl/>
      </w:rPr>
      <w:t xml:space="preserve"> </w:t>
    </w:r>
    <w:r>
      <w:rPr>
        <w:rFonts w:hint="cs"/>
        <w:color w:val="000000" w:themeColor="text1"/>
        <w:sz w:val="24"/>
        <w:szCs w:val="24"/>
        <w:rtl/>
      </w:rPr>
      <w:t>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8" w:name="Bokmoqarer"/>
    <w:bookmarkEnd w:id="18"/>
    <w:r w:rsidR="008C67C7" w:rsidRPr="004C16A1">
      <w:rPr>
        <w:rFonts w:hint="cs"/>
        <w:sz w:val="24"/>
        <w:szCs w:val="24"/>
        <w:rtl/>
      </w:rPr>
      <w:t>مرکز فقهی امام محمد باقر علیه السلام</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9" w:name="BokSabj2"/>
    <w:bookmarkEnd w:id="19"/>
    <w:r>
      <w:rPr>
        <w:rFonts w:hint="cs"/>
        <w:sz w:val="24"/>
        <w:szCs w:val="24"/>
        <w:rtl/>
      </w:rPr>
      <w:t>قبول</w:t>
    </w:r>
    <w:r>
      <w:rPr>
        <w:sz w:val="24"/>
        <w:szCs w:val="24"/>
        <w:rtl/>
      </w:rPr>
      <w:t xml:space="preserve"> </w:t>
    </w:r>
    <w:r>
      <w:rPr>
        <w:rFonts w:hint="cs"/>
        <w:sz w:val="24"/>
        <w:szCs w:val="24"/>
        <w:rtl/>
      </w:rPr>
      <w:t>قول</w:t>
    </w:r>
    <w:r>
      <w:rPr>
        <w:sz w:val="24"/>
        <w:szCs w:val="24"/>
        <w:rtl/>
      </w:rPr>
      <w:t xml:space="preserve"> </w:t>
    </w:r>
    <w:r>
      <w:rPr>
        <w:rFonts w:hint="cs"/>
        <w:sz w:val="24"/>
        <w:szCs w:val="24"/>
        <w:rtl/>
      </w:rPr>
      <w:t>زن</w:t>
    </w:r>
    <w:r>
      <w:rPr>
        <w:sz w:val="24"/>
        <w:szCs w:val="24"/>
        <w:rtl/>
      </w:rPr>
      <w:t xml:space="preserve"> </w:t>
    </w:r>
    <w:r>
      <w:rPr>
        <w:rFonts w:hint="cs"/>
        <w:sz w:val="24"/>
        <w:szCs w:val="24"/>
        <w:rtl/>
      </w:rPr>
      <w:t>در</w:t>
    </w:r>
    <w:r>
      <w:rPr>
        <w:sz w:val="24"/>
        <w:szCs w:val="24"/>
        <w:rtl/>
      </w:rPr>
      <w:t xml:space="preserve"> </w:t>
    </w:r>
    <w:r>
      <w:rPr>
        <w:rFonts w:hint="cs"/>
        <w:sz w:val="24"/>
        <w:szCs w:val="24"/>
        <w:rtl/>
      </w:rPr>
      <w:t>عده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73168"/>
    <w:multiLevelType w:val="hybridMultilevel"/>
    <w:tmpl w:val="C9183F46"/>
    <w:lvl w:ilvl="0" w:tplc="E2E4E4E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3E3742"/>
    <w:multiLevelType w:val="hybridMultilevel"/>
    <w:tmpl w:val="8C7E2152"/>
    <w:lvl w:ilvl="0" w:tplc="AC2EC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6"/>
  </w:num>
  <w:num w:numId="14">
    <w:abstractNumId w:val="13"/>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7C91"/>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4A0B"/>
    <w:rsid w:val="000F5BAC"/>
    <w:rsid w:val="00102585"/>
    <w:rsid w:val="00114AB7"/>
    <w:rsid w:val="00116B2B"/>
    <w:rsid w:val="00124E3D"/>
    <w:rsid w:val="00127E95"/>
    <w:rsid w:val="00130659"/>
    <w:rsid w:val="001347C7"/>
    <w:rsid w:val="001356B0"/>
    <w:rsid w:val="00151937"/>
    <w:rsid w:val="00181844"/>
    <w:rsid w:val="001837E9"/>
    <w:rsid w:val="00183C4A"/>
    <w:rsid w:val="00187DFA"/>
    <w:rsid w:val="001A1BC1"/>
    <w:rsid w:val="001A1EA5"/>
    <w:rsid w:val="001A2574"/>
    <w:rsid w:val="001A27D7"/>
    <w:rsid w:val="001A294E"/>
    <w:rsid w:val="001A4ED8"/>
    <w:rsid w:val="001B2488"/>
    <w:rsid w:val="001B4E11"/>
    <w:rsid w:val="001B6799"/>
    <w:rsid w:val="001C1362"/>
    <w:rsid w:val="001D2E9A"/>
    <w:rsid w:val="001D597F"/>
    <w:rsid w:val="001E3FD4"/>
    <w:rsid w:val="0020241A"/>
    <w:rsid w:val="00203821"/>
    <w:rsid w:val="0020559B"/>
    <w:rsid w:val="00211632"/>
    <w:rsid w:val="0021630D"/>
    <w:rsid w:val="002364C5"/>
    <w:rsid w:val="0024121B"/>
    <w:rsid w:val="0024232D"/>
    <w:rsid w:val="00247D2F"/>
    <w:rsid w:val="00256560"/>
    <w:rsid w:val="0027605E"/>
    <w:rsid w:val="00277B9F"/>
    <w:rsid w:val="00281E00"/>
    <w:rsid w:val="00294A52"/>
    <w:rsid w:val="002A2D96"/>
    <w:rsid w:val="002A67DF"/>
    <w:rsid w:val="002B575F"/>
    <w:rsid w:val="002B729B"/>
    <w:rsid w:val="002C23B5"/>
    <w:rsid w:val="002C53A2"/>
    <w:rsid w:val="002D0040"/>
    <w:rsid w:val="002D2FA8"/>
    <w:rsid w:val="002E220F"/>
    <w:rsid w:val="00306BA7"/>
    <w:rsid w:val="00307311"/>
    <w:rsid w:val="0032100F"/>
    <w:rsid w:val="0033402C"/>
    <w:rsid w:val="00335E72"/>
    <w:rsid w:val="00340521"/>
    <w:rsid w:val="00345C73"/>
    <w:rsid w:val="00354A99"/>
    <w:rsid w:val="00360311"/>
    <w:rsid w:val="00361922"/>
    <w:rsid w:val="0037339B"/>
    <w:rsid w:val="003772CE"/>
    <w:rsid w:val="003777E3"/>
    <w:rsid w:val="00386C11"/>
    <w:rsid w:val="00397466"/>
    <w:rsid w:val="003A6148"/>
    <w:rsid w:val="003C33F6"/>
    <w:rsid w:val="003C3D2E"/>
    <w:rsid w:val="003C43A5"/>
    <w:rsid w:val="003E1C5C"/>
    <w:rsid w:val="003E1D48"/>
    <w:rsid w:val="003E6650"/>
    <w:rsid w:val="003F5B46"/>
    <w:rsid w:val="00401363"/>
    <w:rsid w:val="00402E47"/>
    <w:rsid w:val="00424126"/>
    <w:rsid w:val="00425015"/>
    <w:rsid w:val="00430994"/>
    <w:rsid w:val="00441B6D"/>
    <w:rsid w:val="004556EF"/>
    <w:rsid w:val="00462B07"/>
    <w:rsid w:val="00465BD2"/>
    <w:rsid w:val="0046625F"/>
    <w:rsid w:val="004715C8"/>
    <w:rsid w:val="00471AB3"/>
    <w:rsid w:val="00481C31"/>
    <w:rsid w:val="00482FC1"/>
    <w:rsid w:val="00483027"/>
    <w:rsid w:val="004871AA"/>
    <w:rsid w:val="004918D7"/>
    <w:rsid w:val="004926E1"/>
    <w:rsid w:val="004A189D"/>
    <w:rsid w:val="004A2FEA"/>
    <w:rsid w:val="004C5666"/>
    <w:rsid w:val="004D21BB"/>
    <w:rsid w:val="004D2DD7"/>
    <w:rsid w:val="004D6F76"/>
    <w:rsid w:val="004D75C5"/>
    <w:rsid w:val="004E2186"/>
    <w:rsid w:val="004E3BD5"/>
    <w:rsid w:val="004E66FB"/>
    <w:rsid w:val="004F470A"/>
    <w:rsid w:val="004F4C59"/>
    <w:rsid w:val="004F50B7"/>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03E2"/>
    <w:rsid w:val="005B7BCA"/>
    <w:rsid w:val="005C0DAE"/>
    <w:rsid w:val="005C188E"/>
    <w:rsid w:val="005D2349"/>
    <w:rsid w:val="005D48B1"/>
    <w:rsid w:val="005E1B60"/>
    <w:rsid w:val="005E5507"/>
    <w:rsid w:val="005E607B"/>
    <w:rsid w:val="005F0A8D"/>
    <w:rsid w:val="00601229"/>
    <w:rsid w:val="00603B67"/>
    <w:rsid w:val="006162A2"/>
    <w:rsid w:val="006163FD"/>
    <w:rsid w:val="006240DA"/>
    <w:rsid w:val="0063256E"/>
    <w:rsid w:val="00633F04"/>
    <w:rsid w:val="00635219"/>
    <w:rsid w:val="00635EC0"/>
    <w:rsid w:val="00640B58"/>
    <w:rsid w:val="00650764"/>
    <w:rsid w:val="00651B02"/>
    <w:rsid w:val="00651B19"/>
    <w:rsid w:val="00655872"/>
    <w:rsid w:val="00660A29"/>
    <w:rsid w:val="00695519"/>
    <w:rsid w:val="006A4134"/>
    <w:rsid w:val="006A5DDA"/>
    <w:rsid w:val="006A6701"/>
    <w:rsid w:val="006B21F4"/>
    <w:rsid w:val="006B3753"/>
    <w:rsid w:val="006B7AD6"/>
    <w:rsid w:val="006C50FD"/>
    <w:rsid w:val="006D1DD4"/>
    <w:rsid w:val="006D4014"/>
    <w:rsid w:val="006D44C1"/>
    <w:rsid w:val="006E2EA0"/>
    <w:rsid w:val="006E36E6"/>
    <w:rsid w:val="006E5651"/>
    <w:rsid w:val="006E5B85"/>
    <w:rsid w:val="006F026A"/>
    <w:rsid w:val="006F59E5"/>
    <w:rsid w:val="0070265B"/>
    <w:rsid w:val="00704813"/>
    <w:rsid w:val="007057C6"/>
    <w:rsid w:val="00707182"/>
    <w:rsid w:val="00716425"/>
    <w:rsid w:val="0072290D"/>
    <w:rsid w:val="00723D6D"/>
    <w:rsid w:val="00724537"/>
    <w:rsid w:val="00731724"/>
    <w:rsid w:val="0073474B"/>
    <w:rsid w:val="00735511"/>
    <w:rsid w:val="00735EE0"/>
    <w:rsid w:val="00737208"/>
    <w:rsid w:val="00740D16"/>
    <w:rsid w:val="00744DE6"/>
    <w:rsid w:val="00753B42"/>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7F3056"/>
    <w:rsid w:val="0080091D"/>
    <w:rsid w:val="00804108"/>
    <w:rsid w:val="00804FC4"/>
    <w:rsid w:val="00816367"/>
    <w:rsid w:val="00816A0B"/>
    <w:rsid w:val="00824B22"/>
    <w:rsid w:val="00830C53"/>
    <w:rsid w:val="00837FAA"/>
    <w:rsid w:val="00841F77"/>
    <w:rsid w:val="0085276D"/>
    <w:rsid w:val="00863390"/>
    <w:rsid w:val="0086385C"/>
    <w:rsid w:val="00864CE3"/>
    <w:rsid w:val="00871916"/>
    <w:rsid w:val="00875F44"/>
    <w:rsid w:val="008956DD"/>
    <w:rsid w:val="008A510E"/>
    <w:rsid w:val="008A522A"/>
    <w:rsid w:val="008B4464"/>
    <w:rsid w:val="008B750B"/>
    <w:rsid w:val="008C3162"/>
    <w:rsid w:val="008C67C7"/>
    <w:rsid w:val="008D1F14"/>
    <w:rsid w:val="008D32C5"/>
    <w:rsid w:val="008D3669"/>
    <w:rsid w:val="008D6E4F"/>
    <w:rsid w:val="008E3924"/>
    <w:rsid w:val="008F13F7"/>
    <w:rsid w:val="008F471F"/>
    <w:rsid w:val="008F5B4D"/>
    <w:rsid w:val="009067EC"/>
    <w:rsid w:val="00907425"/>
    <w:rsid w:val="009163C0"/>
    <w:rsid w:val="00923C34"/>
    <w:rsid w:val="00924152"/>
    <w:rsid w:val="0092513D"/>
    <w:rsid w:val="00926BC7"/>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3658F"/>
    <w:rsid w:val="00A457C6"/>
    <w:rsid w:val="00A46AD0"/>
    <w:rsid w:val="00A47063"/>
    <w:rsid w:val="00A473A8"/>
    <w:rsid w:val="00A513F0"/>
    <w:rsid w:val="00A61AC8"/>
    <w:rsid w:val="00A6366F"/>
    <w:rsid w:val="00A65D4C"/>
    <w:rsid w:val="00A70512"/>
    <w:rsid w:val="00A76172"/>
    <w:rsid w:val="00A97A37"/>
    <w:rsid w:val="00AA1F60"/>
    <w:rsid w:val="00AA40D7"/>
    <w:rsid w:val="00AB5F7D"/>
    <w:rsid w:val="00AC0C50"/>
    <w:rsid w:val="00AC6FE2"/>
    <w:rsid w:val="00AF3925"/>
    <w:rsid w:val="00B1296B"/>
    <w:rsid w:val="00B2292F"/>
    <w:rsid w:val="00B31ACF"/>
    <w:rsid w:val="00B43169"/>
    <w:rsid w:val="00B43D75"/>
    <w:rsid w:val="00B501A8"/>
    <w:rsid w:val="00B5057E"/>
    <w:rsid w:val="00B5555D"/>
    <w:rsid w:val="00B55AE4"/>
    <w:rsid w:val="00B70B46"/>
    <w:rsid w:val="00B739B0"/>
    <w:rsid w:val="00B814A3"/>
    <w:rsid w:val="00B862AA"/>
    <w:rsid w:val="00B96D42"/>
    <w:rsid w:val="00B96F38"/>
    <w:rsid w:val="00BC716B"/>
    <w:rsid w:val="00BD0E74"/>
    <w:rsid w:val="00BD5F8C"/>
    <w:rsid w:val="00BE29DD"/>
    <w:rsid w:val="00C066AF"/>
    <w:rsid w:val="00C10E06"/>
    <w:rsid w:val="00C145B8"/>
    <w:rsid w:val="00C2427E"/>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1D28"/>
    <w:rsid w:val="00CE018A"/>
    <w:rsid w:val="00CE7481"/>
    <w:rsid w:val="00CF0A8F"/>
    <w:rsid w:val="00CF5F04"/>
    <w:rsid w:val="00D048CE"/>
    <w:rsid w:val="00D10998"/>
    <w:rsid w:val="00D15CBD"/>
    <w:rsid w:val="00D221CB"/>
    <w:rsid w:val="00D23391"/>
    <w:rsid w:val="00D31805"/>
    <w:rsid w:val="00D52E4D"/>
    <w:rsid w:val="00D530A4"/>
    <w:rsid w:val="00D552B9"/>
    <w:rsid w:val="00D735B2"/>
    <w:rsid w:val="00D74021"/>
    <w:rsid w:val="00D76D01"/>
    <w:rsid w:val="00D922A9"/>
    <w:rsid w:val="00D9394A"/>
    <w:rsid w:val="00DB0CBB"/>
    <w:rsid w:val="00DB0DB9"/>
    <w:rsid w:val="00DB67CC"/>
    <w:rsid w:val="00DC3783"/>
    <w:rsid w:val="00DE1070"/>
    <w:rsid w:val="00E00219"/>
    <w:rsid w:val="00E0316B"/>
    <w:rsid w:val="00E03EF2"/>
    <w:rsid w:val="00E07EA4"/>
    <w:rsid w:val="00E25E10"/>
    <w:rsid w:val="00E50B41"/>
    <w:rsid w:val="00E5219B"/>
    <w:rsid w:val="00E52D07"/>
    <w:rsid w:val="00E5518B"/>
    <w:rsid w:val="00E609FE"/>
    <w:rsid w:val="00E630BE"/>
    <w:rsid w:val="00E75920"/>
    <w:rsid w:val="00E80D96"/>
    <w:rsid w:val="00E871FA"/>
    <w:rsid w:val="00E936A4"/>
    <w:rsid w:val="00E954BB"/>
    <w:rsid w:val="00EA45E7"/>
    <w:rsid w:val="00EB0D68"/>
    <w:rsid w:val="00EB78E3"/>
    <w:rsid w:val="00EB7BE3"/>
    <w:rsid w:val="00EC1C4B"/>
    <w:rsid w:val="00EC735A"/>
    <w:rsid w:val="00ED5F38"/>
    <w:rsid w:val="00ED6B67"/>
    <w:rsid w:val="00EF27FE"/>
    <w:rsid w:val="00F07FB6"/>
    <w:rsid w:val="00F149D0"/>
    <w:rsid w:val="00F16B53"/>
    <w:rsid w:val="00F25ECD"/>
    <w:rsid w:val="00F318BE"/>
    <w:rsid w:val="00F33297"/>
    <w:rsid w:val="00F343FB"/>
    <w:rsid w:val="00F359FE"/>
    <w:rsid w:val="00F42159"/>
    <w:rsid w:val="00F4256E"/>
    <w:rsid w:val="00F42EE1"/>
    <w:rsid w:val="00F47C6D"/>
    <w:rsid w:val="00F56CD4"/>
    <w:rsid w:val="00F60F1F"/>
    <w:rsid w:val="00F64141"/>
    <w:rsid w:val="00F67508"/>
    <w:rsid w:val="00F71FC9"/>
    <w:rsid w:val="00F73B48"/>
    <w:rsid w:val="00F73D6D"/>
    <w:rsid w:val="00F74140"/>
    <w:rsid w:val="00F74F51"/>
    <w:rsid w:val="00F842AD"/>
    <w:rsid w:val="00F914EB"/>
    <w:rsid w:val="00F91B85"/>
    <w:rsid w:val="00F938E7"/>
    <w:rsid w:val="00FA3B17"/>
    <w:rsid w:val="00FA5E8D"/>
    <w:rsid w:val="00FA5F3D"/>
    <w:rsid w:val="00FB399E"/>
    <w:rsid w:val="00FB667B"/>
    <w:rsid w:val="00FB7F50"/>
    <w:rsid w:val="00FC211D"/>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183C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9649717">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6754611">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37280688">
      <w:bodyDiv w:val="1"/>
      <w:marLeft w:val="0"/>
      <w:marRight w:val="0"/>
      <w:marTop w:val="0"/>
      <w:marBottom w:val="0"/>
      <w:divBdr>
        <w:top w:val="none" w:sz="0" w:space="0" w:color="auto"/>
        <w:left w:val="none" w:sz="0" w:space="0" w:color="auto"/>
        <w:bottom w:val="none" w:sz="0" w:space="0" w:color="auto"/>
        <w:right w:val="none" w:sz="0" w:space="0" w:color="auto"/>
      </w:divBdr>
    </w:div>
    <w:div w:id="541023001">
      <w:bodyDiv w:val="1"/>
      <w:marLeft w:val="0"/>
      <w:marRight w:val="0"/>
      <w:marTop w:val="0"/>
      <w:marBottom w:val="0"/>
      <w:divBdr>
        <w:top w:val="none" w:sz="0" w:space="0" w:color="auto"/>
        <w:left w:val="none" w:sz="0" w:space="0" w:color="auto"/>
        <w:bottom w:val="none" w:sz="0" w:space="0" w:color="auto"/>
        <w:right w:val="none" w:sz="0" w:space="0" w:color="auto"/>
      </w:divBdr>
    </w:div>
    <w:div w:id="594286090">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26418085">
      <w:bodyDiv w:val="1"/>
      <w:marLeft w:val="0"/>
      <w:marRight w:val="0"/>
      <w:marTop w:val="0"/>
      <w:marBottom w:val="0"/>
      <w:divBdr>
        <w:top w:val="none" w:sz="0" w:space="0" w:color="auto"/>
        <w:left w:val="none" w:sz="0" w:space="0" w:color="auto"/>
        <w:bottom w:val="none" w:sz="0" w:space="0" w:color="auto"/>
        <w:right w:val="none" w:sz="0" w:space="0" w:color="auto"/>
      </w:divBdr>
    </w:div>
    <w:div w:id="866793152">
      <w:bodyDiv w:val="1"/>
      <w:marLeft w:val="0"/>
      <w:marRight w:val="0"/>
      <w:marTop w:val="0"/>
      <w:marBottom w:val="0"/>
      <w:divBdr>
        <w:top w:val="none" w:sz="0" w:space="0" w:color="auto"/>
        <w:left w:val="none" w:sz="0" w:space="0" w:color="auto"/>
        <w:bottom w:val="none" w:sz="0" w:space="0" w:color="auto"/>
        <w:right w:val="none" w:sz="0" w:space="0" w:color="auto"/>
      </w:divBdr>
    </w:div>
    <w:div w:id="1043751455">
      <w:bodyDiv w:val="1"/>
      <w:marLeft w:val="0"/>
      <w:marRight w:val="0"/>
      <w:marTop w:val="0"/>
      <w:marBottom w:val="0"/>
      <w:divBdr>
        <w:top w:val="none" w:sz="0" w:space="0" w:color="auto"/>
        <w:left w:val="none" w:sz="0" w:space="0" w:color="auto"/>
        <w:bottom w:val="none" w:sz="0" w:space="0" w:color="auto"/>
        <w:right w:val="none" w:sz="0" w:space="0" w:color="auto"/>
      </w:divBdr>
    </w:div>
    <w:div w:id="111695035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49061371">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9665983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5680491">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55475014">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8517103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7998701">
      <w:bodyDiv w:val="1"/>
      <w:marLeft w:val="0"/>
      <w:marRight w:val="0"/>
      <w:marTop w:val="0"/>
      <w:marBottom w:val="0"/>
      <w:divBdr>
        <w:top w:val="none" w:sz="0" w:space="0" w:color="auto"/>
        <w:left w:val="none" w:sz="0" w:space="0" w:color="auto"/>
        <w:bottom w:val="none" w:sz="0" w:space="0" w:color="auto"/>
        <w:right w:val="none" w:sz="0" w:space="0" w:color="auto"/>
      </w:divBdr>
    </w:div>
    <w:div w:id="1950165949">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2198167">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7296019">
      <w:bodyDiv w:val="1"/>
      <w:marLeft w:val="0"/>
      <w:marRight w:val="0"/>
      <w:marTop w:val="0"/>
      <w:marBottom w:val="0"/>
      <w:divBdr>
        <w:top w:val="none" w:sz="0" w:space="0" w:color="auto"/>
        <w:left w:val="none" w:sz="0" w:space="0" w:color="auto"/>
        <w:bottom w:val="none" w:sz="0" w:space="0" w:color="auto"/>
        <w:right w:val="none" w:sz="0" w:space="0" w:color="auto"/>
      </w:divBdr>
    </w:div>
    <w:div w:id="2070838800">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36/5/21/&#1593;&#1606;&#1583;&#1607;&#1605;" TargetMode="External"/><Relationship Id="rId3" Type="http://schemas.openxmlformats.org/officeDocument/2006/relationships/hyperlink" Target="http://lib.eshia.ir/10355/1/32/&#1606;&#1608;&#1593;&#1607;" TargetMode="External"/><Relationship Id="rId7" Type="http://schemas.openxmlformats.org/officeDocument/2006/relationships/hyperlink" Target="http://lib.eshia.ir/10036/5/243/&#1575;&#1604;&#1608;&#1604;&#1575;&#1583;&#1577;" TargetMode="External"/><Relationship Id="rId2" Type="http://schemas.openxmlformats.org/officeDocument/2006/relationships/hyperlink" Target="http://lib.eshia.ir/10083/1/398/&#1583;&#1585;&#1575;&#1580;" TargetMode="External"/><Relationship Id="rId1" Type="http://schemas.openxmlformats.org/officeDocument/2006/relationships/hyperlink" Target="http://lib.eshia.ir/11005/6/101/&#1604;&#1604;&#1606;&#1587;&#1575;&#1569;" TargetMode="External"/><Relationship Id="rId6" Type="http://schemas.openxmlformats.org/officeDocument/2006/relationships/hyperlink" Target="http://lib.eshia.ir/10036/5/207/&#1575;&#1604;&#1575;&#1602;&#1608;&#1740;" TargetMode="External"/><Relationship Id="rId5" Type="http://schemas.openxmlformats.org/officeDocument/2006/relationships/hyperlink" Target="http://lib.eshia.ir/10036/5/205/&#1575;&#1604;&#1585;&#1575;&#1576;&#1593;" TargetMode="External"/><Relationship Id="rId4" Type="http://schemas.openxmlformats.org/officeDocument/2006/relationships/hyperlink" Target="http://lib.eshia.ir/71613/3/20/&#1605;&#1581;&#1578;&#1605;&#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06A3F-185B-47C4-A19A-948E07F4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TotalTime>
  <Pages>4</Pages>
  <Words>876</Words>
  <Characters>4996</Characters>
  <Application>Microsoft Office Word</Application>
  <DocSecurity>0</DocSecurity>
  <Lines>41</Lines>
  <Paragraphs>11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5861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11</cp:revision>
  <cp:lastPrinted>2019-12-28T06:38:00Z</cp:lastPrinted>
  <dcterms:created xsi:type="dcterms:W3CDTF">2019-12-28T06:30:00Z</dcterms:created>
  <dcterms:modified xsi:type="dcterms:W3CDTF">2020-01-28T11:37:00Z</dcterms:modified>
  <cp:contentStatus>ویرایش 2.5</cp:contentStatus>
  <cp:version>2.7</cp:version>
</cp:coreProperties>
</file>