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94" w:rsidRDefault="00816694" w:rsidP="0081669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16694" w:rsidRDefault="00816694" w:rsidP="0081669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5F2210">
        <w:rPr>
          <w:rStyle w:val="Emphasis"/>
          <w:rFonts w:hint="cs"/>
          <w:b/>
          <w:bCs w:val="0"/>
          <w:rtl/>
        </w:rPr>
        <w:t>‌ی</w:t>
      </w:r>
      <w:r w:rsidRPr="009C66D5">
        <w:rPr>
          <w:rStyle w:val="Emphasis"/>
          <w:rFonts w:hint="cs"/>
          <w:b/>
          <w:bCs w:val="0"/>
          <w:rtl/>
        </w:rPr>
        <w:t xml:space="preserve"> مباحث گذشته:</w:t>
      </w:r>
    </w:p>
    <w:p w:rsidR="003A6148" w:rsidRDefault="00494CB5" w:rsidP="00494CB5">
      <w:pPr>
        <w:pBdr>
          <w:bottom w:val="double" w:sz="6" w:space="1" w:color="auto"/>
        </w:pBdr>
        <w:jc w:val="both"/>
        <w:rPr>
          <w:rtl/>
        </w:rPr>
      </w:pPr>
      <w:r>
        <w:rPr>
          <w:rFonts w:hint="cs"/>
          <w:rtl/>
        </w:rPr>
        <w:t>بحث در مساله‌ی پنجم تکمله‌ی عروه و ادعای یائسگی زن بود که آیا این ادعا قبول می شود؟</w:t>
      </w:r>
    </w:p>
    <w:p w:rsidR="00247D2F" w:rsidRPr="003A6148" w:rsidRDefault="00247D2F" w:rsidP="00494CB5">
      <w:pPr>
        <w:pBdr>
          <w:bottom w:val="double" w:sz="6" w:space="1" w:color="auto"/>
        </w:pBdr>
        <w:jc w:val="both"/>
      </w:pPr>
    </w:p>
    <w:p w:rsidR="008F5B4D" w:rsidRDefault="008F5B4D" w:rsidP="00494CB5">
      <w:pPr>
        <w:jc w:val="both"/>
      </w:pPr>
    </w:p>
    <w:p w:rsidR="003E6650" w:rsidRPr="001A27D7" w:rsidRDefault="005F2210" w:rsidP="005F2210">
      <w:pPr>
        <w:pStyle w:val="Heading1"/>
        <w:rPr>
          <w:rtl/>
        </w:rPr>
      </w:pPr>
      <w:bookmarkStart w:id="0" w:name="_Toc27794240"/>
      <w:bookmarkStart w:id="1" w:name="_Toc27794979"/>
      <w:bookmarkStart w:id="2" w:name="_Toc27796649"/>
      <w:bookmarkStart w:id="3" w:name="_Toc27856743"/>
      <w:r>
        <w:rPr>
          <w:rFonts w:hint="cs"/>
          <w:rtl/>
        </w:rPr>
        <w:t>طرح مساله</w:t>
      </w:r>
      <w:bookmarkEnd w:id="0"/>
      <w:bookmarkEnd w:id="1"/>
      <w:bookmarkEnd w:id="2"/>
      <w:bookmarkEnd w:id="3"/>
    </w:p>
    <w:p w:rsidR="001A1EA5" w:rsidRDefault="00494CB5" w:rsidP="00494CB5">
      <w:pPr>
        <w:jc w:val="both"/>
        <w:rPr>
          <w:rtl/>
        </w:rPr>
      </w:pPr>
      <w:r>
        <w:rPr>
          <w:rFonts w:hint="cs"/>
          <w:rtl/>
        </w:rPr>
        <w:t xml:space="preserve">گاهی ادعای زن در اموری است که علم به آن </w:t>
      </w:r>
      <w:r w:rsidR="009B1D2C">
        <w:rPr>
          <w:rFonts w:hint="cs"/>
          <w:rtl/>
        </w:rPr>
        <w:t>اختصاص به زن ندارد</w:t>
      </w:r>
      <w:r w:rsidR="00F807B8">
        <w:rPr>
          <w:rFonts w:hint="cs"/>
          <w:rtl/>
        </w:rPr>
        <w:t xml:space="preserve"> گرچه مربوط به حیض و عده باشد، آیا در این موارد قول زن مقبول است؟</w:t>
      </w:r>
    </w:p>
    <w:p w:rsidR="00DF141B" w:rsidRDefault="00DF141B" w:rsidP="00494CB5">
      <w:pPr>
        <w:jc w:val="both"/>
        <w:rPr>
          <w:rtl/>
        </w:rPr>
      </w:pPr>
      <w:r>
        <w:rPr>
          <w:rFonts w:hint="cs"/>
          <w:rtl/>
        </w:rPr>
        <w:t>این مساله از قدیم مورد بحث بوده و بیشتر علما در جایی که زن ادعا می کند عده‌ی سه ماهه اش سپری شده است و شوهر خلاف آن را ادعا می کند، قول شوهر را مقدم کرده اند.</w:t>
      </w:r>
    </w:p>
    <w:p w:rsidR="001635AE" w:rsidRDefault="001635AE" w:rsidP="001635AE">
      <w:pPr>
        <w:jc w:val="both"/>
        <w:rPr>
          <w:rtl/>
        </w:rPr>
      </w:pPr>
      <w:r>
        <w:rPr>
          <w:rFonts w:hint="cs"/>
          <w:rtl/>
        </w:rPr>
        <w:t>در واقع بحث در این است که آیا نسبت به اموری که علم به آن ها برای مردان دشوار نیست، ادله اطلاق دارند و ادعای زن در این موارد پذیرفته می شود؟</w:t>
      </w:r>
    </w:p>
    <w:p w:rsidR="003344CA" w:rsidRDefault="003344CA" w:rsidP="001635AE">
      <w:pPr>
        <w:jc w:val="both"/>
        <w:rPr>
          <w:rtl/>
        </w:rPr>
      </w:pPr>
      <w:r>
        <w:rPr>
          <w:rFonts w:hint="cs"/>
          <w:rtl/>
        </w:rPr>
        <w:t>اگر ثابت شد که ادله اطلاق دار</w:t>
      </w:r>
      <w:r w:rsidR="00727B35">
        <w:rPr>
          <w:rFonts w:hint="cs"/>
          <w:rtl/>
        </w:rPr>
        <w:t>ن</w:t>
      </w:r>
      <w:r>
        <w:rPr>
          <w:rFonts w:hint="cs"/>
          <w:rtl/>
        </w:rPr>
        <w:t>د، باید بحث کنیم که آیا یائسگی هم مشمول اطلاق ادله می شود؟</w:t>
      </w:r>
    </w:p>
    <w:p w:rsidR="00AF3A84" w:rsidRDefault="00AF3A84" w:rsidP="001635AE">
      <w:pPr>
        <w:jc w:val="both"/>
        <w:rPr>
          <w:rtl/>
        </w:rPr>
      </w:pPr>
      <w:r>
        <w:rPr>
          <w:rFonts w:hint="cs"/>
          <w:rtl/>
        </w:rPr>
        <w:t>اما اگر اطلاق ادله را نپذیریم و قبول قول زن را فقط در مواردِ «لا یعلم غالبا الا من قِبَلهن» بدانیم، در مورد یائسگی هم اگر مربوط به سن، شک در قرشی بودن زن و</w:t>
      </w:r>
      <w:r w:rsidR="00432127">
        <w:rPr>
          <w:rFonts w:hint="cs"/>
          <w:rtl/>
        </w:rPr>
        <w:t xml:space="preserve"> اموری که علم به آن اختصاص به زن ها ندارد، باشد، وجهی برای پذیرش قول زن وجود ندارد.</w:t>
      </w:r>
    </w:p>
    <w:p w:rsidR="00494CB5" w:rsidRDefault="00727B35" w:rsidP="00D82292">
      <w:pPr>
        <w:pStyle w:val="Heading1"/>
        <w:rPr>
          <w:rtl/>
        </w:rPr>
      </w:pPr>
      <w:bookmarkStart w:id="4" w:name="_Toc27794139"/>
      <w:bookmarkStart w:id="5" w:name="_Toc27794241"/>
      <w:bookmarkStart w:id="6" w:name="_Toc27794980"/>
      <w:bookmarkStart w:id="7" w:name="_Toc27796650"/>
      <w:bookmarkStart w:id="8" w:name="_Toc27856744"/>
      <w:r>
        <w:rPr>
          <w:rFonts w:hint="cs"/>
          <w:rtl/>
        </w:rPr>
        <w:lastRenderedPageBreak/>
        <w:t xml:space="preserve">تقریب </w:t>
      </w:r>
      <w:bookmarkStart w:id="9" w:name="_Toc27452652"/>
      <w:bookmarkStart w:id="10" w:name="_Toc27452797"/>
      <w:r w:rsidR="00D82292">
        <w:rPr>
          <w:rFonts w:hint="cs"/>
          <w:rtl/>
        </w:rPr>
        <w:t>اول</w:t>
      </w:r>
      <w:r w:rsidRPr="00727B35">
        <w:rPr>
          <w:rFonts w:hint="cs"/>
          <w:rtl/>
        </w:rPr>
        <w:t xml:space="preserve"> </w:t>
      </w:r>
      <w:r>
        <w:rPr>
          <w:rFonts w:hint="cs"/>
          <w:rtl/>
        </w:rPr>
        <w:t>نافیان اطلاق صحیحه‌ی زراره</w:t>
      </w:r>
      <w:bookmarkEnd w:id="4"/>
      <w:bookmarkEnd w:id="5"/>
      <w:bookmarkEnd w:id="6"/>
      <w:bookmarkEnd w:id="7"/>
      <w:bookmarkEnd w:id="8"/>
      <w:bookmarkEnd w:id="9"/>
      <w:bookmarkEnd w:id="10"/>
    </w:p>
    <w:p w:rsidR="00727B35" w:rsidRDefault="00727B35" w:rsidP="00494CB5">
      <w:pPr>
        <w:jc w:val="both"/>
        <w:rPr>
          <w:rtl/>
        </w:rPr>
      </w:pPr>
      <w:r>
        <w:rPr>
          <w:rFonts w:hint="cs"/>
          <w:rtl/>
        </w:rPr>
        <w:t xml:space="preserve">در روایت زراره آمده است: </w:t>
      </w:r>
      <w:r w:rsidRPr="007D7A42">
        <w:rPr>
          <w:rFonts w:hint="cs"/>
          <w:rtl/>
        </w:rPr>
        <w:t>«عَلِيُّ بْنُ إِبْرَاهِيمَ عَنْ أَبِيهِ عَنِ ابْنِ أَبِي عُمَيْرٍ عَنْ جَمِيلٍ</w:t>
      </w:r>
      <w:bookmarkStart w:id="11" w:name="_GoBack"/>
      <w:bookmarkEnd w:id="11"/>
      <w:r w:rsidRPr="007D7A42">
        <w:rPr>
          <w:rFonts w:hint="cs"/>
          <w:rtl/>
        </w:rPr>
        <w:t xml:space="preserve"> عَنْ زُرَارَةَ عَنْ أَبِي جَعْفَرٍ ع قَالَ: </w:t>
      </w:r>
      <w:r w:rsidRPr="007D7A42">
        <w:rPr>
          <w:rFonts w:hint="cs"/>
          <w:color w:val="008000"/>
          <w:rtl/>
        </w:rPr>
        <w:t>الْعِدَّةُ وَ الْحَيْضُ‏ لِلنِّسَاءِ إِذَا ادَّعَتْ صُدِّقَتْ.</w:t>
      </w:r>
      <w:r w:rsidRPr="007D7A42">
        <w:rPr>
          <w:rFonts w:hint="cs"/>
          <w:rtl/>
        </w:rPr>
        <w:t>»</w:t>
      </w:r>
      <w:r w:rsidRPr="007D7A42">
        <w:rPr>
          <w:rStyle w:val="FootnoteReference"/>
          <w:rtl/>
        </w:rPr>
        <w:footnoteReference w:id="1"/>
      </w:r>
      <w:r>
        <w:rPr>
          <w:rFonts w:hint="cs"/>
          <w:rtl/>
        </w:rPr>
        <w:t xml:space="preserve"> </w:t>
      </w:r>
    </w:p>
    <w:p w:rsidR="00494CB5" w:rsidRDefault="008C254F" w:rsidP="001E0DAA">
      <w:pPr>
        <w:jc w:val="both"/>
        <w:rPr>
          <w:rtl/>
        </w:rPr>
      </w:pPr>
      <w:r>
        <w:rPr>
          <w:rFonts w:hint="cs"/>
          <w:rtl/>
        </w:rPr>
        <w:t xml:space="preserve">مفاد این روایت این است که عده و حیض از اموری </w:t>
      </w:r>
      <w:r w:rsidR="00827BF7">
        <w:rPr>
          <w:rFonts w:hint="cs"/>
          <w:rtl/>
        </w:rPr>
        <w:t>هستند</w:t>
      </w:r>
      <w:r>
        <w:rPr>
          <w:rFonts w:hint="cs"/>
          <w:rtl/>
        </w:rPr>
        <w:t xml:space="preserve"> که مربوط به زن ها</w:t>
      </w:r>
      <w:r w:rsidR="005F110E">
        <w:rPr>
          <w:rFonts w:hint="cs"/>
          <w:rtl/>
        </w:rPr>
        <w:t xml:space="preserve"> می باش</w:t>
      </w:r>
      <w:r w:rsidR="00827BF7">
        <w:rPr>
          <w:rFonts w:hint="cs"/>
          <w:rtl/>
        </w:rPr>
        <w:t>د</w:t>
      </w:r>
      <w:r w:rsidR="00F00D59">
        <w:rPr>
          <w:rFonts w:hint="cs"/>
          <w:rtl/>
        </w:rPr>
        <w:t xml:space="preserve"> ( للنساء یعنی من الامور </w:t>
      </w:r>
      <w:r w:rsidR="00827BF7">
        <w:rPr>
          <w:rFonts w:hint="cs"/>
          <w:rtl/>
        </w:rPr>
        <w:t>ال</w:t>
      </w:r>
      <w:r w:rsidR="00F00D59">
        <w:rPr>
          <w:rFonts w:hint="cs"/>
          <w:rtl/>
        </w:rPr>
        <w:t>مختصة بالنساء)</w:t>
      </w:r>
      <w:r>
        <w:rPr>
          <w:rFonts w:hint="cs"/>
          <w:rtl/>
        </w:rPr>
        <w:t xml:space="preserve"> و بیانگر امری تکوینی است، یعنی عده و حیض از امور زنانه اند و چون از امور زنانه هستند،</w:t>
      </w:r>
      <w:r w:rsidR="001B553A">
        <w:rPr>
          <w:rFonts w:hint="cs"/>
          <w:rtl/>
        </w:rPr>
        <w:t xml:space="preserve"> زن تصدیق می شود</w:t>
      </w:r>
      <w:r w:rsidR="002E4F9F">
        <w:rPr>
          <w:rFonts w:hint="cs"/>
          <w:rtl/>
        </w:rPr>
        <w:t xml:space="preserve"> (</w:t>
      </w:r>
      <w:r w:rsidRPr="007D7A42">
        <w:rPr>
          <w:rFonts w:hint="cs"/>
          <w:color w:val="008000"/>
          <w:rtl/>
        </w:rPr>
        <w:t>إِذَا ادَّعَتْ صُدِّ</w:t>
      </w:r>
      <w:r w:rsidR="009000A0">
        <w:rPr>
          <w:rFonts w:hint="cs"/>
          <w:color w:val="008000"/>
          <w:rtl/>
        </w:rPr>
        <w:t>قَتْ</w:t>
      </w:r>
      <w:r w:rsidRPr="007D7A42">
        <w:rPr>
          <w:rStyle w:val="FootnoteReference"/>
          <w:rtl/>
        </w:rPr>
        <w:footnoteReference w:id="2"/>
      </w:r>
      <w:r w:rsidR="002E4F9F">
        <w:rPr>
          <w:rFonts w:hint="cs"/>
          <w:rtl/>
        </w:rPr>
        <w:t>)</w:t>
      </w:r>
      <w:r w:rsidR="001B553A">
        <w:rPr>
          <w:rFonts w:hint="cs"/>
          <w:rtl/>
        </w:rPr>
        <w:t xml:space="preserve">. </w:t>
      </w:r>
      <w:r w:rsidR="00B91665">
        <w:rPr>
          <w:rFonts w:hint="cs"/>
          <w:rtl/>
        </w:rPr>
        <w:t xml:space="preserve">از آن جا که علت ( </w:t>
      </w:r>
      <w:r w:rsidR="00B91665" w:rsidRPr="007D7A42">
        <w:rPr>
          <w:rFonts w:hint="cs"/>
          <w:color w:val="008000"/>
          <w:rtl/>
        </w:rPr>
        <w:t>الْعِدَّةُ وَ الْحَيْضُ‏ لِلنِّسَاءِ</w:t>
      </w:r>
      <w:r w:rsidR="00B91665">
        <w:rPr>
          <w:rFonts w:hint="cs"/>
          <w:color w:val="008000"/>
          <w:rtl/>
        </w:rPr>
        <w:t>)</w:t>
      </w:r>
      <w:r w:rsidR="00B91665">
        <w:rPr>
          <w:rFonts w:hint="cs"/>
          <w:rtl/>
        </w:rPr>
        <w:t xml:space="preserve"> به امور مربوط به زنان اختصاص دارد، معلول ( </w:t>
      </w:r>
      <w:r w:rsidR="00B91665" w:rsidRPr="007D7A42">
        <w:rPr>
          <w:rFonts w:hint="cs"/>
          <w:color w:val="008000"/>
          <w:rtl/>
        </w:rPr>
        <w:t>إِذَا ادَّعَتْ صُدِّقَتْ</w:t>
      </w:r>
      <w:r w:rsidR="00B91665">
        <w:rPr>
          <w:rFonts w:hint="cs"/>
          <w:color w:val="008000"/>
          <w:rtl/>
        </w:rPr>
        <w:t>)</w:t>
      </w:r>
      <w:r w:rsidR="00B91665">
        <w:rPr>
          <w:rFonts w:hint="cs"/>
          <w:rtl/>
        </w:rPr>
        <w:t xml:space="preserve"> هم به امور زنانه </w:t>
      </w:r>
      <w:r w:rsidR="001E0DAA">
        <w:rPr>
          <w:rFonts w:hint="cs"/>
          <w:rtl/>
        </w:rPr>
        <w:t xml:space="preserve">اختصاص </w:t>
      </w:r>
      <w:r w:rsidR="00B91665">
        <w:rPr>
          <w:rFonts w:hint="cs"/>
          <w:rtl/>
        </w:rPr>
        <w:t>دارد.</w:t>
      </w:r>
    </w:p>
    <w:p w:rsidR="00494CB5" w:rsidRDefault="00060CF7" w:rsidP="00B94ED0">
      <w:pPr>
        <w:jc w:val="both"/>
        <w:rPr>
          <w:rtl/>
        </w:rPr>
      </w:pPr>
      <w:r>
        <w:rPr>
          <w:rFonts w:hint="cs"/>
          <w:rtl/>
        </w:rPr>
        <w:t>اگر گفته شود که عده امر تکوینی نیست، پاسخ می دهیم که عده گر چه به جعل شارع است اما شارع عده را در موضوعی جعل کرده است که آن موضوع زنانه است، یعنی عده‌ی به اقراء</w:t>
      </w:r>
      <w:r w:rsidR="007839CB">
        <w:rPr>
          <w:rFonts w:hint="cs"/>
          <w:rtl/>
        </w:rPr>
        <w:t>،</w:t>
      </w:r>
      <w:r>
        <w:rPr>
          <w:rFonts w:hint="cs"/>
          <w:rtl/>
        </w:rPr>
        <w:t xml:space="preserve"> که متعارف زنان چنین عده ای دارند و ادله</w:t>
      </w:r>
      <w:r w:rsidR="007D425C">
        <w:rPr>
          <w:rFonts w:hint="cs"/>
          <w:rtl/>
        </w:rPr>
        <w:t>،</w:t>
      </w:r>
      <w:r>
        <w:rPr>
          <w:rFonts w:hint="cs"/>
          <w:rtl/>
        </w:rPr>
        <w:t xml:space="preserve"> به عده‌ی به ماه که غیر متعارف است،</w:t>
      </w:r>
      <w:r w:rsidR="00B94ED0" w:rsidRPr="00B94ED0">
        <w:rPr>
          <w:rFonts w:hint="cs"/>
          <w:rtl/>
        </w:rPr>
        <w:t xml:space="preserve"> </w:t>
      </w:r>
      <w:r w:rsidR="00B94ED0">
        <w:rPr>
          <w:rFonts w:hint="cs"/>
          <w:rtl/>
        </w:rPr>
        <w:t>ناظر</w:t>
      </w:r>
      <w:r>
        <w:rPr>
          <w:rFonts w:hint="cs"/>
          <w:rtl/>
        </w:rPr>
        <w:t xml:space="preserve"> نیستند.</w:t>
      </w:r>
    </w:p>
    <w:p w:rsidR="00D82292" w:rsidRDefault="00D82292" w:rsidP="00D82292">
      <w:pPr>
        <w:pStyle w:val="Heading2"/>
        <w:rPr>
          <w:rtl/>
        </w:rPr>
      </w:pPr>
      <w:bookmarkStart w:id="12" w:name="_Toc27794140"/>
      <w:bookmarkStart w:id="13" w:name="_Toc27794242"/>
      <w:bookmarkStart w:id="14" w:name="_Toc27794981"/>
      <w:bookmarkStart w:id="15" w:name="_Toc27796651"/>
      <w:bookmarkStart w:id="16" w:name="_Toc27856745"/>
      <w:r>
        <w:rPr>
          <w:rFonts w:hint="cs"/>
          <w:rtl/>
        </w:rPr>
        <w:t>اشکال به تقریب اول</w:t>
      </w:r>
      <w:bookmarkEnd w:id="12"/>
      <w:bookmarkEnd w:id="13"/>
      <w:bookmarkEnd w:id="14"/>
      <w:bookmarkEnd w:id="15"/>
      <w:bookmarkEnd w:id="16"/>
    </w:p>
    <w:p w:rsidR="00494CB5" w:rsidRDefault="00781F7C" w:rsidP="00494CB5">
      <w:pPr>
        <w:jc w:val="both"/>
        <w:rPr>
          <w:rtl/>
        </w:rPr>
      </w:pPr>
      <w:r>
        <w:rPr>
          <w:rFonts w:hint="cs"/>
          <w:rtl/>
        </w:rPr>
        <w:t xml:space="preserve">معنای </w:t>
      </w:r>
      <w:r w:rsidRPr="007D7A42">
        <w:rPr>
          <w:rFonts w:hint="cs"/>
          <w:color w:val="008000"/>
          <w:rtl/>
        </w:rPr>
        <w:t>الْعِد</w:t>
      </w:r>
      <w:r>
        <w:rPr>
          <w:rFonts w:hint="cs"/>
          <w:color w:val="008000"/>
          <w:rtl/>
        </w:rPr>
        <w:t xml:space="preserve">َّةُ وَ الْحَيْضُ‏ لِلنِّسَاءِ </w:t>
      </w:r>
      <w:r w:rsidRPr="00781F7C">
        <w:rPr>
          <w:rFonts w:hint="cs"/>
          <w:rtl/>
        </w:rPr>
        <w:t xml:space="preserve">متعین </w:t>
      </w:r>
      <w:r>
        <w:rPr>
          <w:rFonts w:hint="cs"/>
          <w:rtl/>
        </w:rPr>
        <w:t>در معنای مذکور نیست.</w:t>
      </w:r>
    </w:p>
    <w:p w:rsidR="00E26221" w:rsidRPr="00E26221" w:rsidRDefault="00E26221" w:rsidP="00494CB5">
      <w:pPr>
        <w:jc w:val="both"/>
        <w:rPr>
          <w:rtl/>
        </w:rPr>
      </w:pPr>
      <w:r>
        <w:rPr>
          <w:rFonts w:hint="cs"/>
          <w:rtl/>
        </w:rPr>
        <w:t xml:space="preserve">ممکن است </w:t>
      </w:r>
      <w:r w:rsidRPr="007D7A42">
        <w:rPr>
          <w:rFonts w:hint="cs"/>
          <w:color w:val="008000"/>
          <w:rtl/>
        </w:rPr>
        <w:t>الْعِد</w:t>
      </w:r>
      <w:r>
        <w:rPr>
          <w:rFonts w:hint="cs"/>
          <w:color w:val="008000"/>
          <w:rtl/>
        </w:rPr>
        <w:t xml:space="preserve">َّةُ وَ الْحَيْضُ‏ لِلنِّسَاءِ </w:t>
      </w:r>
      <w:r w:rsidRPr="00E26221">
        <w:rPr>
          <w:rFonts w:hint="cs"/>
          <w:rtl/>
        </w:rPr>
        <w:t>بیان</w:t>
      </w:r>
      <w:r w:rsidR="00852E53">
        <w:rPr>
          <w:rFonts w:hint="cs"/>
          <w:rtl/>
        </w:rPr>
        <w:t>‌</w:t>
      </w:r>
      <w:r w:rsidRPr="00E26221">
        <w:rPr>
          <w:rFonts w:hint="cs"/>
          <w:rtl/>
        </w:rPr>
        <w:t>گر حکم شرعی باشد</w:t>
      </w:r>
      <w:r>
        <w:rPr>
          <w:rFonts w:hint="cs"/>
          <w:rtl/>
        </w:rPr>
        <w:t xml:space="preserve"> و </w:t>
      </w:r>
      <w:r w:rsidRPr="007D7A42">
        <w:rPr>
          <w:rFonts w:hint="cs"/>
          <w:color w:val="008000"/>
          <w:rtl/>
        </w:rPr>
        <w:t>إِذَا ادَّعَتْ صُدِّ</w:t>
      </w:r>
      <w:r>
        <w:rPr>
          <w:rFonts w:hint="cs"/>
          <w:color w:val="008000"/>
          <w:rtl/>
        </w:rPr>
        <w:t>قَتْ</w:t>
      </w:r>
      <w:r>
        <w:rPr>
          <w:rFonts w:hint="cs"/>
          <w:rtl/>
        </w:rPr>
        <w:t xml:space="preserve"> هم معلو</w:t>
      </w:r>
      <w:r w:rsidR="0012357A">
        <w:rPr>
          <w:rFonts w:hint="cs"/>
          <w:rtl/>
        </w:rPr>
        <w:t xml:space="preserve">ل نباشد و توضیح عبارت قبلش باشد، </w:t>
      </w:r>
      <w:r w:rsidR="0012357A" w:rsidRPr="007D7A42">
        <w:rPr>
          <w:rFonts w:hint="cs"/>
          <w:color w:val="008000"/>
          <w:rtl/>
        </w:rPr>
        <w:t>الْعِد</w:t>
      </w:r>
      <w:r w:rsidR="0012357A">
        <w:rPr>
          <w:rFonts w:hint="cs"/>
          <w:color w:val="008000"/>
          <w:rtl/>
        </w:rPr>
        <w:t xml:space="preserve">َّةُ وَ الْحَيْضُ‏ لِلنِّسَاءِ </w:t>
      </w:r>
      <w:r w:rsidR="0012357A">
        <w:rPr>
          <w:rFonts w:hint="cs"/>
          <w:rtl/>
        </w:rPr>
        <w:t xml:space="preserve">یعنی شارع مقدس قول زن ها را در مورد عده و حیض قبول کرده است و </w:t>
      </w:r>
      <w:r w:rsidR="0012357A" w:rsidRPr="007D7A42">
        <w:rPr>
          <w:rFonts w:hint="cs"/>
          <w:color w:val="008000"/>
          <w:rtl/>
        </w:rPr>
        <w:t>إِذَا ادَّعَتْ صُدِّ</w:t>
      </w:r>
      <w:r w:rsidR="0012357A">
        <w:rPr>
          <w:rFonts w:hint="cs"/>
          <w:color w:val="008000"/>
          <w:rtl/>
        </w:rPr>
        <w:t>قَتْ</w:t>
      </w:r>
      <w:r w:rsidR="0012357A">
        <w:rPr>
          <w:rFonts w:hint="cs"/>
          <w:rtl/>
        </w:rPr>
        <w:t xml:space="preserve"> تفسیر مالکیت زن ها نسبت به عده و حیض باشد. با توجه به این معنا روایت اطلاق دارد.</w:t>
      </w:r>
    </w:p>
    <w:p w:rsidR="00494CB5" w:rsidRDefault="00F9017D" w:rsidP="00F9017D">
      <w:pPr>
        <w:pStyle w:val="Heading3"/>
        <w:rPr>
          <w:rtl/>
        </w:rPr>
      </w:pPr>
      <w:bookmarkStart w:id="17" w:name="_Toc27794141"/>
      <w:bookmarkStart w:id="18" w:name="_Toc27794243"/>
      <w:bookmarkStart w:id="19" w:name="_Toc27794982"/>
      <w:bookmarkStart w:id="20" w:name="_Toc27796652"/>
      <w:bookmarkStart w:id="21" w:name="_Toc27856746"/>
      <w:r>
        <w:rPr>
          <w:rFonts w:hint="cs"/>
          <w:rtl/>
        </w:rPr>
        <w:t>اشکال</w:t>
      </w:r>
      <w:bookmarkEnd w:id="17"/>
      <w:bookmarkEnd w:id="18"/>
      <w:bookmarkEnd w:id="19"/>
      <w:bookmarkEnd w:id="20"/>
      <w:bookmarkEnd w:id="21"/>
    </w:p>
    <w:p w:rsidR="00494CB5" w:rsidRDefault="00F9017D" w:rsidP="00494CB5">
      <w:pPr>
        <w:jc w:val="both"/>
        <w:rPr>
          <w:rtl/>
        </w:rPr>
      </w:pPr>
      <w:r>
        <w:rPr>
          <w:rFonts w:hint="cs"/>
          <w:rtl/>
        </w:rPr>
        <w:t>احتمال معنای دیگر برای روایت، فایده ای ندارد و شاید معنای روایت همان معنای نافیان اطلاق باشد.</w:t>
      </w:r>
    </w:p>
    <w:p w:rsidR="00494CB5" w:rsidRDefault="002E6042" w:rsidP="002E6042">
      <w:pPr>
        <w:pStyle w:val="Heading4"/>
        <w:rPr>
          <w:rtl/>
        </w:rPr>
      </w:pPr>
      <w:bookmarkStart w:id="22" w:name="_Toc27794142"/>
      <w:bookmarkStart w:id="23" w:name="_Toc27794244"/>
      <w:bookmarkStart w:id="24" w:name="_Toc27794983"/>
      <w:bookmarkStart w:id="25" w:name="_Toc27796653"/>
      <w:bookmarkStart w:id="26" w:name="_Toc27856747"/>
      <w:r>
        <w:rPr>
          <w:rFonts w:hint="cs"/>
          <w:rtl/>
        </w:rPr>
        <w:t>پاسخ</w:t>
      </w:r>
      <w:bookmarkEnd w:id="22"/>
      <w:bookmarkEnd w:id="23"/>
      <w:bookmarkEnd w:id="24"/>
      <w:bookmarkEnd w:id="25"/>
      <w:bookmarkEnd w:id="26"/>
    </w:p>
    <w:p w:rsidR="0093145D" w:rsidRDefault="002E6042" w:rsidP="0093145D">
      <w:pPr>
        <w:jc w:val="both"/>
        <w:rPr>
          <w:rtl/>
        </w:rPr>
      </w:pPr>
      <w:r>
        <w:rPr>
          <w:rFonts w:hint="cs"/>
          <w:rtl/>
        </w:rPr>
        <w:t xml:space="preserve">این نقل اجمال دارد اما نقل </w:t>
      </w:r>
      <w:r w:rsidR="006C5416">
        <w:rPr>
          <w:rFonts w:hint="cs"/>
          <w:rtl/>
        </w:rPr>
        <w:t>دی</w:t>
      </w:r>
      <w:r w:rsidR="00D8585E">
        <w:rPr>
          <w:rFonts w:hint="cs"/>
          <w:rtl/>
        </w:rPr>
        <w:t xml:space="preserve">گری در روایت هست که اجمال ندارد: </w:t>
      </w:r>
      <w:r w:rsidR="00D8585E" w:rsidRPr="007D7A42">
        <w:rPr>
          <w:rFonts w:hint="cs"/>
          <w:rtl/>
        </w:rPr>
        <w:t xml:space="preserve">«أَحْمَدُ بْنُ مُحَمَّدٍ عَنِ الْحُسَيْنِ بْنِ سَعِيدٍ عَنْ جَمِيلِ بْنِ دَرَّاجٍ عَنْ زُرَارَةَ قَالَ سَمِعْتُ أَبَا جَعْفَرٍ ع يَقُولُ‏ </w:t>
      </w:r>
      <w:r w:rsidR="00D8585E" w:rsidRPr="007D7A42">
        <w:rPr>
          <w:rFonts w:hint="cs"/>
          <w:color w:val="008000"/>
          <w:rtl/>
        </w:rPr>
        <w:t>الْعِدَّةُ وَ الْحَيْضُ‏ إِلَى‏ النِّسَاء»</w:t>
      </w:r>
      <w:r w:rsidR="00D8585E" w:rsidRPr="007D7A42">
        <w:rPr>
          <w:rStyle w:val="FootnoteReference"/>
          <w:color w:val="008000"/>
          <w:rtl/>
        </w:rPr>
        <w:footnoteReference w:id="3"/>
      </w:r>
      <w:r w:rsidR="0093145D">
        <w:rPr>
          <w:rFonts w:hint="cs"/>
          <w:rtl/>
        </w:rPr>
        <w:t>یعنی امر عده و حیض را به زنان واگذار کرده است و تکوینی بودن این امور از این عبارت استفاده نمی شود.</w:t>
      </w:r>
    </w:p>
    <w:p w:rsidR="00494CB5" w:rsidRDefault="009C6E94" w:rsidP="0093145D">
      <w:pPr>
        <w:jc w:val="both"/>
        <w:rPr>
          <w:rtl/>
        </w:rPr>
      </w:pPr>
      <w:r>
        <w:rPr>
          <w:rFonts w:hint="cs"/>
          <w:rtl/>
        </w:rPr>
        <w:t>در نتیجه این نقل که اجمال ندارد، پذیرفته می شود.</w:t>
      </w:r>
    </w:p>
    <w:p w:rsidR="00BE5017" w:rsidRDefault="0009404F" w:rsidP="00852E53">
      <w:pPr>
        <w:pStyle w:val="Heading5"/>
        <w:rPr>
          <w:rtl/>
        </w:rPr>
      </w:pPr>
      <w:bookmarkStart w:id="27" w:name="_Toc27794984"/>
      <w:bookmarkStart w:id="28" w:name="_Toc27796654"/>
      <w:bookmarkStart w:id="29" w:name="_Toc27856748"/>
      <w:r>
        <w:rPr>
          <w:rFonts w:hint="cs"/>
          <w:rtl/>
        </w:rPr>
        <w:lastRenderedPageBreak/>
        <w:t xml:space="preserve">دوران بین </w:t>
      </w:r>
      <w:r w:rsidR="00852E53">
        <w:rPr>
          <w:rFonts w:hint="cs"/>
          <w:rtl/>
        </w:rPr>
        <w:t>مجمل</w:t>
      </w:r>
      <w:r>
        <w:rPr>
          <w:rFonts w:hint="cs"/>
          <w:rtl/>
        </w:rPr>
        <w:t xml:space="preserve"> و مبین</w:t>
      </w:r>
      <w:bookmarkEnd w:id="27"/>
      <w:bookmarkEnd w:id="28"/>
      <w:bookmarkEnd w:id="29"/>
    </w:p>
    <w:p w:rsidR="00BE5017" w:rsidRDefault="00BE5017" w:rsidP="0093145D">
      <w:pPr>
        <w:jc w:val="both"/>
        <w:rPr>
          <w:rtl/>
        </w:rPr>
      </w:pPr>
      <w:r>
        <w:rPr>
          <w:rFonts w:hint="cs"/>
          <w:rtl/>
        </w:rPr>
        <w:t>اگر روایتی را به دو صورت نقل کنند که یک نقل آن اجمال داشته باشد و نقل دیگرش اجمالی نداشته باشد، آیا می توانیم نقل م</w:t>
      </w:r>
      <w:r w:rsidR="00D81C6E">
        <w:rPr>
          <w:rFonts w:hint="cs"/>
          <w:rtl/>
        </w:rPr>
        <w:t>بین را صحیح بدانیم؟</w:t>
      </w:r>
    </w:p>
    <w:p w:rsidR="00F05E45" w:rsidRDefault="00D81C6E" w:rsidP="009D3D83">
      <w:pPr>
        <w:jc w:val="both"/>
        <w:rPr>
          <w:rtl/>
        </w:rPr>
      </w:pPr>
      <w:r>
        <w:rPr>
          <w:rFonts w:hint="cs"/>
          <w:rtl/>
        </w:rPr>
        <w:t>با توجه به این</w:t>
      </w:r>
      <w:r w:rsidR="0009404F">
        <w:rPr>
          <w:rFonts w:hint="cs"/>
          <w:rtl/>
        </w:rPr>
        <w:t xml:space="preserve"> </w:t>
      </w:r>
      <w:r>
        <w:rPr>
          <w:rFonts w:hint="cs"/>
          <w:rtl/>
        </w:rPr>
        <w:t>که نقل به معنا اجازه داده شده است، نقل مبین، حجت است اما نقل دیگر به خاطر اجمالش معلوم نیست برخلاف نقل مبین باشد، در نتیجه نقل مبین معتبر است.</w:t>
      </w:r>
    </w:p>
    <w:p w:rsidR="00F05E45" w:rsidRDefault="00F05E45" w:rsidP="00CC7647">
      <w:pPr>
        <w:pStyle w:val="Heading1"/>
        <w:rPr>
          <w:rtl/>
        </w:rPr>
      </w:pPr>
      <w:bookmarkStart w:id="30" w:name="_Toc27794143"/>
      <w:bookmarkStart w:id="31" w:name="_Toc27794245"/>
      <w:bookmarkStart w:id="32" w:name="_Toc27794985"/>
      <w:bookmarkStart w:id="33" w:name="_Toc27796655"/>
      <w:bookmarkStart w:id="34" w:name="_Toc27856749"/>
      <w:r>
        <w:rPr>
          <w:rFonts w:hint="cs"/>
          <w:rtl/>
        </w:rPr>
        <w:t>تقریب دوم</w:t>
      </w:r>
      <w:bookmarkEnd w:id="30"/>
      <w:bookmarkEnd w:id="31"/>
      <w:r w:rsidR="009D3D83" w:rsidRPr="009D3D83">
        <w:rPr>
          <w:rFonts w:hint="cs"/>
          <w:rtl/>
        </w:rPr>
        <w:t xml:space="preserve"> </w:t>
      </w:r>
      <w:r w:rsidR="009D3D83">
        <w:rPr>
          <w:rFonts w:hint="cs"/>
          <w:rtl/>
        </w:rPr>
        <w:t>نافیان اطلاق صحیحه‌ی زراره</w:t>
      </w:r>
      <w:bookmarkEnd w:id="32"/>
      <w:bookmarkEnd w:id="33"/>
      <w:bookmarkEnd w:id="34"/>
    </w:p>
    <w:p w:rsidR="00494CB5" w:rsidRDefault="00F05E45" w:rsidP="00494CB5">
      <w:pPr>
        <w:jc w:val="both"/>
        <w:rPr>
          <w:rtl/>
        </w:rPr>
      </w:pPr>
      <w:r>
        <w:rPr>
          <w:rFonts w:hint="cs"/>
          <w:rtl/>
        </w:rPr>
        <w:t>یک ارتکاز عقلایی وجود دارد که در اموری که «لا یعلم الا من قبلهن» قول زن در این امور حجت است.</w:t>
      </w:r>
      <w:r w:rsidR="00861693">
        <w:rPr>
          <w:rFonts w:hint="cs"/>
          <w:rtl/>
        </w:rPr>
        <w:t xml:space="preserve"> </w:t>
      </w:r>
      <w:r w:rsidR="00861693" w:rsidRPr="007D7A42">
        <w:rPr>
          <w:rFonts w:hint="cs"/>
          <w:color w:val="008000"/>
          <w:rtl/>
        </w:rPr>
        <w:t>الْعِدَّةُ وَ الْحَيْضُ‏ إِلَى‏ النِّسَاء</w:t>
      </w:r>
      <w:r w:rsidR="00861693">
        <w:rPr>
          <w:rFonts w:hint="cs"/>
          <w:color w:val="008000"/>
          <w:rtl/>
        </w:rPr>
        <w:t xml:space="preserve"> </w:t>
      </w:r>
      <w:r w:rsidR="00861693" w:rsidRPr="00861693">
        <w:rPr>
          <w:rFonts w:hint="cs"/>
          <w:rtl/>
        </w:rPr>
        <w:t xml:space="preserve">هم </w:t>
      </w:r>
      <w:r w:rsidR="00861693">
        <w:rPr>
          <w:rFonts w:hint="cs"/>
          <w:rtl/>
        </w:rPr>
        <w:t>ناظر به سیره‌ی عقلا است.</w:t>
      </w:r>
    </w:p>
    <w:p w:rsidR="002E6042" w:rsidRDefault="00BB4F33" w:rsidP="00B002E7">
      <w:pPr>
        <w:jc w:val="both"/>
        <w:rPr>
          <w:rtl/>
        </w:rPr>
      </w:pPr>
      <w:r>
        <w:rPr>
          <w:rFonts w:hint="cs"/>
          <w:rtl/>
        </w:rPr>
        <w:t>اصل این مطلب در کلمات علمای مختلف آمده است که وجه حجیت قول زن در این روایت</w:t>
      </w:r>
      <w:r w:rsidR="00B002E7">
        <w:rPr>
          <w:rFonts w:hint="cs"/>
          <w:rtl/>
        </w:rPr>
        <w:t xml:space="preserve"> این</w:t>
      </w:r>
      <w:r>
        <w:rPr>
          <w:rFonts w:hint="cs"/>
          <w:rtl/>
        </w:rPr>
        <w:t xml:space="preserve"> است که </w:t>
      </w:r>
      <w:r w:rsidR="00B002E7">
        <w:rPr>
          <w:rFonts w:hint="cs"/>
          <w:rtl/>
        </w:rPr>
        <w:t>«لا یعلم غالبا الا من قِبَلهن» اما توضیح نداده اند که چ</w:t>
      </w:r>
      <w:r w:rsidR="002B09DA">
        <w:rPr>
          <w:rFonts w:hint="cs"/>
          <w:rtl/>
        </w:rPr>
        <w:t xml:space="preserve">ه </w:t>
      </w:r>
      <w:r w:rsidR="00B002E7">
        <w:rPr>
          <w:rFonts w:hint="cs"/>
          <w:rtl/>
        </w:rPr>
        <w:t>طور از روایت این مطلب استفاده می شود</w:t>
      </w:r>
      <w:r w:rsidR="00571ACB">
        <w:rPr>
          <w:rFonts w:hint="cs"/>
          <w:rtl/>
        </w:rPr>
        <w:t>؟</w:t>
      </w:r>
    </w:p>
    <w:p w:rsidR="002E6042" w:rsidRDefault="00CC7647" w:rsidP="00E87217">
      <w:pPr>
        <w:jc w:val="both"/>
        <w:rPr>
          <w:rtl/>
        </w:rPr>
      </w:pPr>
      <w:r>
        <w:rPr>
          <w:rFonts w:hint="cs"/>
          <w:rtl/>
        </w:rPr>
        <w:t>در کلمات فقها دو وجه برای حجیت قول زن</w:t>
      </w:r>
      <w:r w:rsidR="00D44AC9">
        <w:rPr>
          <w:rFonts w:hint="cs"/>
          <w:rtl/>
        </w:rPr>
        <w:t xml:space="preserve"> در این امور</w:t>
      </w:r>
      <w:r>
        <w:rPr>
          <w:rFonts w:hint="cs"/>
          <w:rtl/>
        </w:rPr>
        <w:t xml:space="preserve"> ذکر شده است</w:t>
      </w:r>
      <w:r w:rsidR="00E87217">
        <w:rPr>
          <w:rFonts w:hint="cs"/>
          <w:rtl/>
        </w:rPr>
        <w:t>.</w:t>
      </w:r>
    </w:p>
    <w:p w:rsidR="009C227E" w:rsidRDefault="009C227E" w:rsidP="00A50205">
      <w:pPr>
        <w:jc w:val="both"/>
        <w:rPr>
          <w:rtl/>
        </w:rPr>
      </w:pPr>
      <w:r>
        <w:rPr>
          <w:rFonts w:hint="cs"/>
          <w:rtl/>
        </w:rPr>
        <w:t>یک وجه «لا یعلم الا من قِبَلهن</w:t>
      </w:r>
      <w:r w:rsidR="00A50205">
        <w:rPr>
          <w:rFonts w:hint="cs"/>
          <w:rtl/>
        </w:rPr>
        <w:t xml:space="preserve"> </w:t>
      </w:r>
      <w:r w:rsidR="000865B3">
        <w:rPr>
          <w:rFonts w:hint="cs"/>
          <w:rtl/>
        </w:rPr>
        <w:t xml:space="preserve">( </w:t>
      </w:r>
      <w:r w:rsidR="00A50205">
        <w:rPr>
          <w:rFonts w:hint="cs"/>
          <w:rtl/>
        </w:rPr>
        <w:t>غالبا</w:t>
      </w:r>
      <w:r w:rsidR="000865B3">
        <w:rPr>
          <w:rFonts w:hint="cs"/>
          <w:rtl/>
        </w:rPr>
        <w:t>)</w:t>
      </w:r>
      <w:r>
        <w:rPr>
          <w:rFonts w:hint="cs"/>
          <w:rtl/>
        </w:rPr>
        <w:t>» است.</w:t>
      </w:r>
    </w:p>
    <w:p w:rsidR="009C227E" w:rsidRDefault="009C227E" w:rsidP="00846960">
      <w:pPr>
        <w:jc w:val="both"/>
        <w:rPr>
          <w:rtl/>
        </w:rPr>
      </w:pPr>
      <w:r>
        <w:rPr>
          <w:rFonts w:hint="cs"/>
          <w:rtl/>
        </w:rPr>
        <w:t>وجه دیگر این است که</w:t>
      </w:r>
      <w:r w:rsidR="00846960" w:rsidRPr="00846960">
        <w:rPr>
          <w:rFonts w:hint="cs"/>
          <w:rtl/>
        </w:rPr>
        <w:t xml:space="preserve"> </w:t>
      </w:r>
      <w:r w:rsidR="00846960">
        <w:rPr>
          <w:rFonts w:hint="cs"/>
          <w:rtl/>
        </w:rPr>
        <w:t>اشهاد</w:t>
      </w:r>
      <w:r>
        <w:rPr>
          <w:rFonts w:hint="cs"/>
          <w:rtl/>
        </w:rPr>
        <w:t xml:space="preserve"> در این امور</w:t>
      </w:r>
      <w:r w:rsidR="00846960">
        <w:rPr>
          <w:rFonts w:hint="cs"/>
          <w:rtl/>
        </w:rPr>
        <w:t>،</w:t>
      </w:r>
      <w:r>
        <w:rPr>
          <w:rFonts w:hint="cs"/>
          <w:rtl/>
        </w:rPr>
        <w:t xml:space="preserve"> متعذر یا متعسر است.</w:t>
      </w:r>
    </w:p>
    <w:p w:rsidR="00CC7647" w:rsidRDefault="00E87217" w:rsidP="00E87217">
      <w:pPr>
        <w:jc w:val="both"/>
        <w:rPr>
          <w:rtl/>
        </w:rPr>
      </w:pPr>
      <w:r>
        <w:rPr>
          <w:rFonts w:hint="cs"/>
          <w:rtl/>
        </w:rPr>
        <w:t>بعضی این دو وجه را به هم برگردانده اند که چون «لا یعلم غالبا الا من قِبَلهن» پس اقامه‌ی بینه توسط زن</w:t>
      </w:r>
      <w:r w:rsidR="00845DC4">
        <w:rPr>
          <w:rFonts w:hint="cs"/>
          <w:rtl/>
        </w:rPr>
        <w:t>،</w:t>
      </w:r>
      <w:r>
        <w:rPr>
          <w:rFonts w:hint="cs"/>
          <w:rtl/>
        </w:rPr>
        <w:t xml:space="preserve"> متعذر یا متعسر است</w:t>
      </w:r>
      <w:r w:rsidR="00B4093A">
        <w:rPr>
          <w:rFonts w:hint="cs"/>
          <w:rtl/>
        </w:rPr>
        <w:t>، پس قول زن حجت است.</w:t>
      </w:r>
    </w:p>
    <w:p w:rsidR="00151412" w:rsidRDefault="00151412" w:rsidP="005C0073">
      <w:pPr>
        <w:jc w:val="both"/>
        <w:rPr>
          <w:rtl/>
        </w:rPr>
      </w:pPr>
      <w:r>
        <w:rPr>
          <w:rFonts w:hint="cs"/>
          <w:rtl/>
        </w:rPr>
        <w:t xml:space="preserve">البته ابهاماتی در کلام فقها </w:t>
      </w:r>
      <w:r w:rsidR="005C0073">
        <w:rPr>
          <w:rFonts w:hint="cs"/>
          <w:rtl/>
        </w:rPr>
        <w:t>وجود دارد</w:t>
      </w:r>
      <w:r>
        <w:rPr>
          <w:rFonts w:hint="cs"/>
          <w:rtl/>
        </w:rPr>
        <w:t xml:space="preserve"> که منظور از بینه</w:t>
      </w:r>
      <w:r w:rsidR="005C0073">
        <w:rPr>
          <w:rFonts w:hint="cs"/>
          <w:rtl/>
        </w:rPr>
        <w:t>،</w:t>
      </w:r>
      <w:r>
        <w:rPr>
          <w:rFonts w:hint="cs"/>
          <w:rtl/>
        </w:rPr>
        <w:t xml:space="preserve"> دو شاهد مرد است یا شاهد زن را هم مد نظر دارند.</w:t>
      </w:r>
    </w:p>
    <w:p w:rsidR="00CC7647" w:rsidRDefault="00B05EE2" w:rsidP="00B05EE2">
      <w:pPr>
        <w:pStyle w:val="Heading1"/>
        <w:rPr>
          <w:rtl/>
        </w:rPr>
      </w:pPr>
      <w:bookmarkStart w:id="35" w:name="_Toc27794144"/>
      <w:bookmarkStart w:id="36" w:name="_Toc27794246"/>
      <w:bookmarkStart w:id="37" w:name="_Toc27794986"/>
      <w:bookmarkStart w:id="38" w:name="_Toc27796656"/>
      <w:bookmarkStart w:id="39" w:name="_Toc27856750"/>
      <w:r>
        <w:rPr>
          <w:rFonts w:hint="cs"/>
          <w:rtl/>
        </w:rPr>
        <w:t>عبارات فقها</w:t>
      </w:r>
      <w:bookmarkEnd w:id="35"/>
      <w:bookmarkEnd w:id="36"/>
      <w:bookmarkEnd w:id="37"/>
      <w:bookmarkEnd w:id="38"/>
      <w:bookmarkEnd w:id="39"/>
    </w:p>
    <w:p w:rsidR="00CC7647" w:rsidRDefault="007572B5" w:rsidP="007572B5">
      <w:pPr>
        <w:pStyle w:val="Heading2"/>
        <w:rPr>
          <w:rtl/>
        </w:rPr>
      </w:pPr>
      <w:bookmarkStart w:id="40" w:name="_Toc27794145"/>
      <w:bookmarkStart w:id="41" w:name="_Toc27794247"/>
      <w:bookmarkStart w:id="42" w:name="_Toc27794987"/>
      <w:bookmarkStart w:id="43" w:name="_Toc27796657"/>
      <w:bookmarkStart w:id="44" w:name="_Toc27856751"/>
      <w:r>
        <w:rPr>
          <w:rFonts w:hint="cs"/>
          <w:rtl/>
        </w:rPr>
        <w:t>عبارت سید میر عبدالفتاح مراغی در العناوین الفقهیه</w:t>
      </w:r>
      <w:bookmarkEnd w:id="40"/>
      <w:bookmarkEnd w:id="41"/>
      <w:bookmarkEnd w:id="42"/>
      <w:bookmarkEnd w:id="43"/>
      <w:bookmarkEnd w:id="44"/>
    </w:p>
    <w:p w:rsidR="007572B5" w:rsidRPr="007572B5" w:rsidRDefault="00CD5E01" w:rsidP="00CD5E01">
      <w:pPr>
        <w:jc w:val="both"/>
        <w:rPr>
          <w:rFonts w:ascii="Noor_Lotus" w:eastAsia="Times New Roman" w:hAnsi="Noor_Lotus"/>
          <w:color w:val="000080"/>
          <w:sz w:val="28"/>
        </w:rPr>
      </w:pPr>
      <w:r>
        <w:rPr>
          <w:rFonts w:hint="cs"/>
          <w:rtl/>
        </w:rPr>
        <w:t xml:space="preserve">مرحوم مراغی پس از نقل روایت می فرماید: </w:t>
      </w:r>
      <w:r w:rsidR="007572B5" w:rsidRPr="007572B5">
        <w:rPr>
          <w:rFonts w:ascii="Noor_Lotus" w:eastAsia="Times New Roman" w:hAnsi="Noor_Lotus" w:hint="cs"/>
          <w:color w:val="000080"/>
          <w:sz w:val="28"/>
          <w:rtl/>
        </w:rPr>
        <w:t>«نحن نعلم أنه أن العلة ليس إلا عدم إمكان الاطلاع حتى يمكن الإثبات بالبينة»</w:t>
      </w:r>
      <w:r w:rsidR="007572B5">
        <w:rPr>
          <w:rStyle w:val="FootnoteReference"/>
          <w:rFonts w:ascii="Noor_Lotus" w:eastAsia="Times New Roman" w:hAnsi="Noor_Lotus"/>
          <w:color w:val="000080"/>
          <w:sz w:val="28"/>
          <w:rtl/>
        </w:rPr>
        <w:footnoteReference w:id="4"/>
      </w:r>
    </w:p>
    <w:p w:rsidR="00CC7647" w:rsidRDefault="00673412" w:rsidP="00CC3777">
      <w:pPr>
        <w:jc w:val="both"/>
        <w:rPr>
          <w:rtl/>
        </w:rPr>
      </w:pPr>
      <w:r>
        <w:rPr>
          <w:rFonts w:hint="cs"/>
          <w:rtl/>
        </w:rPr>
        <w:t>این عبارت ابهام دارد که منظور</w:t>
      </w:r>
      <w:r w:rsidR="00CC3777">
        <w:rPr>
          <w:rFonts w:hint="cs"/>
          <w:rtl/>
        </w:rPr>
        <w:t>،</w:t>
      </w:r>
      <w:r>
        <w:rPr>
          <w:rFonts w:hint="cs"/>
          <w:rtl/>
        </w:rPr>
        <w:t xml:space="preserve"> عدم امکان اطلاع مردان است یا منظور</w:t>
      </w:r>
      <w:r w:rsidR="00CC3777">
        <w:rPr>
          <w:rFonts w:hint="cs"/>
          <w:rtl/>
        </w:rPr>
        <w:t>،</w:t>
      </w:r>
      <w:r>
        <w:rPr>
          <w:rFonts w:hint="cs"/>
          <w:rtl/>
        </w:rPr>
        <w:t xml:space="preserve"> عدم امکان اطلاع سایرین حتی زن ها می باشد.</w:t>
      </w:r>
    </w:p>
    <w:p w:rsidR="00CC7647" w:rsidRDefault="0010560F" w:rsidP="0010560F">
      <w:pPr>
        <w:pStyle w:val="Heading2"/>
        <w:rPr>
          <w:rtl/>
        </w:rPr>
      </w:pPr>
      <w:bookmarkStart w:id="45" w:name="_Toc27794146"/>
      <w:bookmarkStart w:id="46" w:name="_Toc27794248"/>
      <w:bookmarkStart w:id="47" w:name="_Toc27794988"/>
      <w:bookmarkStart w:id="48" w:name="_Toc27796658"/>
      <w:bookmarkStart w:id="49" w:name="_Toc27856752"/>
      <w:r>
        <w:rPr>
          <w:rFonts w:hint="cs"/>
          <w:rtl/>
        </w:rPr>
        <w:t>عبارت مرحوم بجنوردی در القواعد الفقهیه</w:t>
      </w:r>
      <w:bookmarkEnd w:id="45"/>
      <w:bookmarkEnd w:id="46"/>
      <w:bookmarkEnd w:id="47"/>
      <w:bookmarkEnd w:id="48"/>
      <w:bookmarkEnd w:id="49"/>
    </w:p>
    <w:p w:rsidR="0010560F" w:rsidRPr="00AD7E95" w:rsidRDefault="00AD7E95" w:rsidP="0010560F">
      <w:pPr>
        <w:jc w:val="both"/>
        <w:rPr>
          <w:color w:val="000080"/>
        </w:rPr>
      </w:pPr>
      <w:r w:rsidRPr="00AD7E95">
        <w:rPr>
          <w:rFonts w:hint="cs"/>
          <w:color w:val="000080"/>
          <w:rtl/>
        </w:rPr>
        <w:t>«</w:t>
      </w:r>
      <w:r w:rsidR="0010560F" w:rsidRPr="00AD7E95">
        <w:rPr>
          <w:rFonts w:hint="cs"/>
          <w:color w:val="000080"/>
          <w:rtl/>
        </w:rPr>
        <w:t xml:space="preserve">و معلوم أنّ تفويض هذه الأمور إلى النساء من جهة أنّها لا تعلم إلّا من قبلهنّ، و </w:t>
      </w:r>
      <w:r w:rsidR="0010560F" w:rsidRPr="00AD7E95">
        <w:rPr>
          <w:rFonts w:hint="cs"/>
          <w:color w:val="000080"/>
          <w:u w:val="single"/>
          <w:rtl/>
        </w:rPr>
        <w:t>ادّعى بعضهم أنّ في بعض هذه الأخبار تعليل قبول قولهنّ في هذه الأمور بتعذّر الإشهاد منهنّ عليها</w:t>
      </w:r>
      <w:r w:rsidR="0010560F" w:rsidRPr="00AD7E95">
        <w:rPr>
          <w:rFonts w:hint="cs"/>
          <w:color w:val="000080"/>
          <w:rtl/>
        </w:rPr>
        <w:t>، لأجل عدم اطلاع غيرهنّ عليها. و معلوم أنّ هذا الكلام في قوّة أن يقول: لأنّها لا تعلم إلّا من قبلهنّ، و لكنّني فتشت بمقدار وسعي و لم أجده.</w:t>
      </w:r>
    </w:p>
    <w:p w:rsidR="0010560F" w:rsidRPr="00AD7E95" w:rsidRDefault="0010560F" w:rsidP="0010560F">
      <w:pPr>
        <w:jc w:val="both"/>
        <w:rPr>
          <w:color w:val="000080"/>
          <w:u w:val="single"/>
          <w:rtl/>
        </w:rPr>
      </w:pPr>
      <w:r w:rsidRPr="00AD7E95">
        <w:rPr>
          <w:rFonts w:hint="cs"/>
          <w:color w:val="000080"/>
          <w:rtl/>
        </w:rPr>
        <w:t xml:space="preserve">نعم ورد في رواية محمد بن عبد اللّه الأشعري قال: قلت للرضا عليه السّلام: الرجل‌ يتزوّج. إلى آخره؟ فقال عليه السّلام: </w:t>
      </w:r>
      <w:r w:rsidRPr="00AD7E95">
        <w:rPr>
          <w:rFonts w:hint="cs"/>
          <w:color w:val="000080"/>
          <w:u w:val="single"/>
          <w:rtl/>
        </w:rPr>
        <w:t>«أرأيت لو سألها البيّنة كان يجد من يشهد أن ليس لها زوج».</w:t>
      </w:r>
    </w:p>
    <w:p w:rsidR="0010560F" w:rsidRPr="00AD7E95" w:rsidRDefault="0010560F" w:rsidP="0010560F">
      <w:pPr>
        <w:jc w:val="both"/>
        <w:rPr>
          <w:color w:val="000080"/>
          <w:rtl/>
        </w:rPr>
      </w:pPr>
      <w:r w:rsidRPr="00AD7E95">
        <w:rPr>
          <w:rFonts w:hint="cs"/>
          <w:color w:val="000080"/>
          <w:rtl/>
        </w:rPr>
        <w:t>و الحاصل: أنّ ظاهر هذه الأخبار قبول قول المرأة في الحيض و الحمل و الطهر و العدّة، و هذه أمور لا تعلم إلّا من قبلهنّ في الغالب، فمن هذا يستكشف كبرى كلّية، و هو أنّ كلّ ما لا يعلم إلّا من قبله يسمع قوله فيه.</w:t>
      </w:r>
    </w:p>
    <w:p w:rsidR="0010560F" w:rsidRPr="00AD7E95" w:rsidRDefault="0010560F" w:rsidP="0010560F">
      <w:pPr>
        <w:jc w:val="both"/>
        <w:rPr>
          <w:color w:val="000080"/>
          <w:rtl/>
        </w:rPr>
      </w:pPr>
      <w:r w:rsidRPr="00AD7E95">
        <w:rPr>
          <w:rFonts w:hint="cs"/>
          <w:color w:val="000080"/>
          <w:u w:val="single"/>
          <w:rtl/>
        </w:rPr>
        <w:t>هذا إذا لم يكن ذلك التعليل في البين، و أمّا إذا كان كما ادّعاه الكني قدّس سرّه في قضائه فالأمر أوضح</w:t>
      </w:r>
      <w:r w:rsidR="00AD7E95" w:rsidRPr="00AD7E95">
        <w:rPr>
          <w:rFonts w:hint="cs"/>
          <w:color w:val="000080"/>
          <w:rtl/>
        </w:rPr>
        <w:t>»</w:t>
      </w:r>
      <w:r w:rsidR="00AD7E95">
        <w:rPr>
          <w:rStyle w:val="FootnoteReference"/>
          <w:color w:val="000080"/>
          <w:rtl/>
        </w:rPr>
        <w:footnoteReference w:id="5"/>
      </w:r>
    </w:p>
    <w:p w:rsidR="005A7C84" w:rsidRPr="005A7C84" w:rsidRDefault="005A7C84" w:rsidP="005A7C84">
      <w:pPr>
        <w:jc w:val="both"/>
        <w:rPr>
          <w:rtl/>
        </w:rPr>
      </w:pPr>
      <w:bookmarkStart w:id="50" w:name="_Toc27794147"/>
      <w:bookmarkStart w:id="51" w:name="_Toc27794249"/>
      <w:bookmarkStart w:id="52" w:name="_Toc27794989"/>
      <w:r>
        <w:rPr>
          <w:rFonts w:hint="cs"/>
          <w:rtl/>
        </w:rPr>
        <w:t>قبل از این دو، مرحوم شیخ طوسی</w:t>
      </w:r>
      <w:r w:rsidR="00812C11">
        <w:rPr>
          <w:rFonts w:hint="cs"/>
          <w:rtl/>
        </w:rPr>
        <w:t xml:space="preserve"> در تهذیب چنین تعلیلی آورده است.</w:t>
      </w:r>
    </w:p>
    <w:p w:rsidR="0010560F" w:rsidRDefault="006C2C3B" w:rsidP="006C2C3B">
      <w:pPr>
        <w:pStyle w:val="Heading2"/>
        <w:rPr>
          <w:rtl/>
        </w:rPr>
      </w:pPr>
      <w:bookmarkStart w:id="53" w:name="_Toc27796659"/>
      <w:bookmarkStart w:id="54" w:name="_Toc27856753"/>
      <w:r>
        <w:rPr>
          <w:rFonts w:hint="cs"/>
          <w:rtl/>
        </w:rPr>
        <w:t>عبارت شیخ طوسی در مبسوط</w:t>
      </w:r>
      <w:bookmarkEnd w:id="50"/>
      <w:bookmarkEnd w:id="51"/>
      <w:bookmarkEnd w:id="52"/>
      <w:bookmarkEnd w:id="53"/>
      <w:bookmarkEnd w:id="54"/>
    </w:p>
    <w:p w:rsidR="006C2C3B" w:rsidRPr="000509EC" w:rsidRDefault="006C2C3B" w:rsidP="006C2C3B">
      <w:pPr>
        <w:jc w:val="both"/>
        <w:rPr>
          <w:color w:val="000080"/>
          <w:rtl/>
        </w:rPr>
      </w:pPr>
      <w:r w:rsidRPr="000509EC">
        <w:rPr>
          <w:rFonts w:hint="cs"/>
          <w:color w:val="000080"/>
          <w:rtl/>
        </w:rPr>
        <w:t>«إذا طلقها و هي من ذوات الأقراء فادعت أن عدتها قد انقضت</w:t>
      </w:r>
      <w:r w:rsidRPr="000509EC">
        <w:rPr>
          <w:rFonts w:hint="cs"/>
          <w:color w:val="000080"/>
        </w:rPr>
        <w:t>‌</w:t>
      </w:r>
      <w:r w:rsidRPr="000509EC">
        <w:rPr>
          <w:rFonts w:hint="cs"/>
          <w:color w:val="000080"/>
          <w:rtl/>
        </w:rPr>
        <w:t xml:space="preserve"> في مدة يمكن انقضاء العدة قبل قولها، </w:t>
      </w:r>
      <w:r w:rsidRPr="00E4267B">
        <w:rPr>
          <w:rFonts w:hint="cs"/>
          <w:color w:val="000080"/>
          <w:u w:val="single"/>
          <w:rtl/>
        </w:rPr>
        <w:t>لأن إقامة البينة لا يمكن على ذلك</w:t>
      </w:r>
      <w:r w:rsidRPr="000509EC">
        <w:rPr>
          <w:rFonts w:hint="cs"/>
          <w:color w:val="000080"/>
          <w:rtl/>
        </w:rPr>
        <w:t xml:space="preserve"> ...</w:t>
      </w:r>
    </w:p>
    <w:p w:rsidR="006C2C3B" w:rsidRPr="006C2C3B" w:rsidRDefault="006C2C3B" w:rsidP="006C2C3B">
      <w:pPr>
        <w:jc w:val="both"/>
        <w:rPr>
          <w:rtl/>
        </w:rPr>
      </w:pPr>
      <w:r w:rsidRPr="000509EC">
        <w:rPr>
          <w:rFonts w:hint="cs"/>
          <w:color w:val="000080"/>
          <w:rtl/>
        </w:rPr>
        <w:t xml:space="preserve">و </w:t>
      </w:r>
      <w:r w:rsidRPr="00E4267B">
        <w:rPr>
          <w:rFonts w:hint="cs"/>
          <w:color w:val="000080"/>
          <w:u w:val="single"/>
          <w:rtl/>
        </w:rPr>
        <w:t>أما إذا كانت المرأة معتدة بالشهور فلا يحتاج أن يرجع إلى قولها</w:t>
      </w:r>
      <w:r w:rsidRPr="00E4267B">
        <w:rPr>
          <w:rFonts w:hint="cs"/>
          <w:color w:val="000080"/>
          <w:u w:val="single"/>
        </w:rPr>
        <w:t>‌</w:t>
      </w:r>
      <w:r w:rsidRPr="00E4267B">
        <w:rPr>
          <w:rFonts w:hint="cs"/>
          <w:color w:val="000080"/>
          <w:u w:val="single"/>
          <w:rtl/>
        </w:rPr>
        <w:t xml:space="preserve"> فان قدر الشهور معلوم و هو ثلاثة أشهر إن كانت مطلقة و أربعة أشهر و عشرا إن كانت متوفى عنها إلا أن يختلفا في وقت الطلاق، فيكون القول قول الزوج</w:t>
      </w:r>
      <w:r w:rsidRPr="000509EC">
        <w:rPr>
          <w:rFonts w:hint="cs"/>
          <w:color w:val="000080"/>
          <w:rtl/>
        </w:rPr>
        <w:t xml:space="preserve"> كما لو اختلفا في أصل الطلاق، لأن الأصل أن لا طلاق.</w:t>
      </w:r>
      <w:r w:rsidR="00C875D2" w:rsidRPr="000509EC">
        <w:rPr>
          <w:rFonts w:hint="cs"/>
          <w:color w:val="000080"/>
          <w:rtl/>
        </w:rPr>
        <w:t>»</w:t>
      </w:r>
      <w:r w:rsidR="000509EC">
        <w:rPr>
          <w:rStyle w:val="FootnoteReference"/>
          <w:color w:val="000080"/>
          <w:rtl/>
        </w:rPr>
        <w:footnoteReference w:id="6"/>
      </w:r>
    </w:p>
    <w:p w:rsidR="006C2C3B" w:rsidRDefault="00E3689F" w:rsidP="00E3689F">
      <w:pPr>
        <w:pStyle w:val="Heading2"/>
        <w:rPr>
          <w:rtl/>
        </w:rPr>
      </w:pPr>
      <w:bookmarkStart w:id="55" w:name="_Toc27794148"/>
      <w:bookmarkStart w:id="56" w:name="_Toc27794250"/>
      <w:bookmarkStart w:id="57" w:name="_Toc27794990"/>
      <w:bookmarkStart w:id="58" w:name="_Toc27796660"/>
      <w:bookmarkStart w:id="59" w:name="_Toc27856754"/>
      <w:r>
        <w:rPr>
          <w:rFonts w:hint="cs"/>
          <w:rtl/>
        </w:rPr>
        <w:t>عبارت شیخ یوسف بحرانی در حدائق</w:t>
      </w:r>
      <w:bookmarkEnd w:id="55"/>
      <w:bookmarkEnd w:id="56"/>
      <w:bookmarkEnd w:id="57"/>
      <w:bookmarkEnd w:id="58"/>
      <w:bookmarkEnd w:id="59"/>
    </w:p>
    <w:p w:rsidR="00E3689F" w:rsidRPr="00E3689F" w:rsidRDefault="00E3689F" w:rsidP="00E3689F">
      <w:pPr>
        <w:jc w:val="both"/>
        <w:rPr>
          <w:color w:val="000080"/>
        </w:rPr>
      </w:pPr>
      <w:r w:rsidRPr="00E3689F">
        <w:rPr>
          <w:rFonts w:hint="cs"/>
          <w:color w:val="000080"/>
          <w:rtl/>
        </w:rPr>
        <w:t xml:space="preserve">«و التقريب فيهما- و إن كان موردهما نفي الزوج- هو حكمه عليه السلام بأنها </w:t>
      </w:r>
      <w:r w:rsidRPr="002D478E">
        <w:rPr>
          <w:rFonts w:hint="cs"/>
          <w:color w:val="000080"/>
          <w:u w:val="single"/>
          <w:rtl/>
        </w:rPr>
        <w:t>المصدقة على نفسها</w:t>
      </w:r>
      <w:r w:rsidRPr="00E3689F">
        <w:rPr>
          <w:rFonts w:hint="cs"/>
          <w:color w:val="000080"/>
          <w:rtl/>
        </w:rPr>
        <w:t xml:space="preserve"> الشامل لما نحن فيه، فإن مقتضاه أن </w:t>
      </w:r>
      <w:r w:rsidRPr="002D478E">
        <w:rPr>
          <w:rFonts w:hint="cs"/>
          <w:color w:val="000080"/>
          <w:u w:val="single"/>
          <w:rtl/>
        </w:rPr>
        <w:t>كل ما أخبرت به عن نفسها مما لا يعرف إلا من جهتها فإنها مصدقة فيه</w:t>
      </w:r>
      <w:r w:rsidRPr="00E3689F">
        <w:rPr>
          <w:rFonts w:hint="cs"/>
          <w:color w:val="000080"/>
          <w:rtl/>
        </w:rPr>
        <w:t>.</w:t>
      </w:r>
    </w:p>
    <w:p w:rsidR="00E3689F" w:rsidRPr="00E3689F" w:rsidRDefault="00E3689F" w:rsidP="00E3689F">
      <w:pPr>
        <w:jc w:val="both"/>
        <w:rPr>
          <w:color w:val="000080"/>
          <w:rtl/>
        </w:rPr>
      </w:pPr>
      <w:r w:rsidRPr="00E3689F">
        <w:rPr>
          <w:rFonts w:hint="cs"/>
          <w:color w:val="000080"/>
          <w:rtl/>
        </w:rPr>
        <w:t xml:space="preserve">... إلا أن الاعتبار إنما هو بجوابه عليه السلام الذي </w:t>
      </w:r>
      <w:r w:rsidRPr="002D478E">
        <w:rPr>
          <w:rFonts w:hint="cs"/>
          <w:color w:val="000080"/>
          <w:u w:val="single"/>
          <w:rtl/>
        </w:rPr>
        <w:t>هو كالضابطة الكلية في أنها مصدقة على نفسها في كل ما لا يعلم إلا من جهتها</w:t>
      </w:r>
      <w:r w:rsidRPr="00E3689F">
        <w:rPr>
          <w:rFonts w:hint="cs"/>
          <w:color w:val="000080"/>
          <w:rtl/>
        </w:rPr>
        <w:t>.»</w:t>
      </w:r>
      <w:r>
        <w:rPr>
          <w:rStyle w:val="FootnoteReference"/>
          <w:color w:val="000080"/>
          <w:rtl/>
        </w:rPr>
        <w:footnoteReference w:id="7"/>
      </w:r>
    </w:p>
    <w:p w:rsidR="00E3689F" w:rsidRPr="00E3689F" w:rsidRDefault="00E3689F" w:rsidP="00E3689F">
      <w:pPr>
        <w:jc w:val="both"/>
        <w:rPr>
          <w:color w:val="000080"/>
        </w:rPr>
      </w:pPr>
      <w:r w:rsidRPr="00E3689F">
        <w:rPr>
          <w:rFonts w:hint="cs"/>
          <w:color w:val="000080"/>
          <w:rtl/>
        </w:rPr>
        <w:t xml:space="preserve">«و وجهه أن الحمل في ابتدائه لا يظهر إلا لها، فقبل قولها فيه كما يقبل في الحيض و العدة، لأن الجميع من الأمور التي </w:t>
      </w:r>
      <w:r w:rsidRPr="002D478E">
        <w:rPr>
          <w:rFonts w:hint="cs"/>
          <w:color w:val="000080"/>
          <w:u w:val="single"/>
          <w:rtl/>
        </w:rPr>
        <w:t>يختص بها و لا يعلم إلا من قبلها</w:t>
      </w:r>
      <w:r w:rsidRPr="00E3689F">
        <w:rPr>
          <w:rFonts w:hint="cs"/>
          <w:color w:val="000080"/>
          <w:rtl/>
        </w:rPr>
        <w:t>»</w:t>
      </w:r>
      <w:r>
        <w:rPr>
          <w:rStyle w:val="FootnoteReference"/>
          <w:color w:val="000080"/>
          <w:rtl/>
        </w:rPr>
        <w:footnoteReference w:id="8"/>
      </w:r>
    </w:p>
    <w:p w:rsidR="00E72B54" w:rsidRDefault="00E72B54" w:rsidP="00E72B54">
      <w:pPr>
        <w:pStyle w:val="Heading2"/>
        <w:rPr>
          <w:rtl/>
        </w:rPr>
      </w:pPr>
      <w:bookmarkStart w:id="60" w:name="_Toc27796661"/>
      <w:bookmarkStart w:id="61" w:name="_Toc27856755"/>
      <w:r>
        <w:rPr>
          <w:rFonts w:hint="cs"/>
          <w:rtl/>
        </w:rPr>
        <w:t>عبارت شیخ طوسی</w:t>
      </w:r>
      <w:bookmarkEnd w:id="60"/>
      <w:bookmarkEnd w:id="61"/>
    </w:p>
    <w:p w:rsidR="00E3689F" w:rsidRPr="002D478E" w:rsidRDefault="002D478E" w:rsidP="006C2C3B">
      <w:pPr>
        <w:jc w:val="both"/>
        <w:rPr>
          <w:rtl/>
        </w:rPr>
      </w:pPr>
      <w:r>
        <w:rPr>
          <w:rFonts w:hint="cs"/>
          <w:rtl/>
        </w:rPr>
        <w:t xml:space="preserve">برای مشخص شدن معنای </w:t>
      </w:r>
      <w:r w:rsidRPr="002D478E">
        <w:rPr>
          <w:rFonts w:hint="cs"/>
          <w:color w:val="000080"/>
          <w:rtl/>
        </w:rPr>
        <w:t>یختص بها</w:t>
      </w:r>
      <w:r>
        <w:rPr>
          <w:rFonts w:hint="cs"/>
          <w:color w:val="000080"/>
          <w:rtl/>
        </w:rPr>
        <w:t xml:space="preserve"> </w:t>
      </w:r>
      <w:r w:rsidRPr="002D478E">
        <w:rPr>
          <w:rFonts w:hint="cs"/>
          <w:rtl/>
        </w:rPr>
        <w:t xml:space="preserve">دو </w:t>
      </w:r>
      <w:r>
        <w:rPr>
          <w:rFonts w:hint="cs"/>
          <w:rtl/>
        </w:rPr>
        <w:t>عبارت از شیخ طوسی</w:t>
      </w:r>
      <w:r w:rsidR="005C5FCA">
        <w:rPr>
          <w:rFonts w:hint="cs"/>
          <w:rtl/>
        </w:rPr>
        <w:t xml:space="preserve"> در مبسوط</w:t>
      </w:r>
      <w:r>
        <w:rPr>
          <w:rFonts w:hint="cs"/>
          <w:rtl/>
        </w:rPr>
        <w:t xml:space="preserve"> را بیان می کنیم:</w:t>
      </w:r>
    </w:p>
    <w:p w:rsidR="0034584C" w:rsidRDefault="0034584C" w:rsidP="0034584C">
      <w:pPr>
        <w:jc w:val="both"/>
        <w:rPr>
          <w:color w:val="000080"/>
          <w:rtl/>
        </w:rPr>
      </w:pPr>
      <w:r w:rsidRPr="0034584C">
        <w:rPr>
          <w:rFonts w:hint="cs"/>
          <w:color w:val="000080"/>
          <w:rtl/>
        </w:rPr>
        <w:t>فانقضت عدتي بوضع الحمل فالقول قولها، لأنه اختلاف في وقت فعلها و هي الولادة.</w:t>
      </w:r>
      <w:r>
        <w:rPr>
          <w:rStyle w:val="FootnoteReference"/>
          <w:color w:val="000080"/>
          <w:rtl/>
        </w:rPr>
        <w:footnoteReference w:id="9"/>
      </w:r>
    </w:p>
    <w:p w:rsidR="00E87390" w:rsidRPr="0034584C" w:rsidRDefault="00E87390" w:rsidP="0034584C">
      <w:pPr>
        <w:jc w:val="both"/>
        <w:rPr>
          <w:color w:val="000080"/>
        </w:rPr>
      </w:pPr>
      <w:r w:rsidRPr="00E87390">
        <w:rPr>
          <w:rFonts w:hint="cs"/>
          <w:rtl/>
        </w:rPr>
        <w:t>چون به دنیا آوردن بچه فعل زن است و زن نسبت به فعل خود ابصر است، بنابراین قول زن در این مورد حجت می باشد.</w:t>
      </w:r>
    </w:p>
    <w:p w:rsidR="00B96268" w:rsidRPr="00B96268" w:rsidRDefault="00B96268" w:rsidP="00B96268">
      <w:pPr>
        <w:jc w:val="both"/>
        <w:rPr>
          <w:color w:val="000080"/>
        </w:rPr>
      </w:pPr>
      <w:r w:rsidRPr="00B96268">
        <w:rPr>
          <w:rFonts w:hint="cs"/>
          <w:color w:val="000080"/>
          <w:rtl/>
        </w:rPr>
        <w:t>فالقول قول الزوج، لأن الطلاق فعله، فإذا اختلفا في وقت فعله كان القول قوله.</w:t>
      </w:r>
      <w:r>
        <w:rPr>
          <w:rStyle w:val="FootnoteReference"/>
          <w:color w:val="000080"/>
          <w:rtl/>
        </w:rPr>
        <w:footnoteReference w:id="10"/>
      </w:r>
    </w:p>
    <w:p w:rsidR="00E87390" w:rsidRDefault="00E87390" w:rsidP="00494CB5">
      <w:pPr>
        <w:jc w:val="both"/>
        <w:rPr>
          <w:rtl/>
        </w:rPr>
      </w:pPr>
      <w:r>
        <w:rPr>
          <w:rFonts w:hint="cs"/>
          <w:rtl/>
        </w:rPr>
        <w:t>چون طلاق فعل مرد است، قول مرد در این مورد حجت است.</w:t>
      </w:r>
    </w:p>
    <w:p w:rsidR="001B7632" w:rsidRDefault="000465F0" w:rsidP="000465F0">
      <w:pPr>
        <w:jc w:val="both"/>
        <w:rPr>
          <w:rtl/>
        </w:rPr>
      </w:pPr>
      <w:r>
        <w:rPr>
          <w:rFonts w:hint="cs"/>
          <w:rtl/>
        </w:rPr>
        <w:t>یک کبرای کلی هم در کلمات بعضی فقها مطرح است که قول شخص نسبت به چیزی که در دستش هست حجت می باشد، یعنی قول ذوالید نسبت به آن چه در دست دارد، حجت است، در نتیجه قول مرد در طلاقی که به اختیارش می باشد، حجت است.</w:t>
      </w:r>
    </w:p>
    <w:p w:rsidR="00E72B54" w:rsidRDefault="00E72B54" w:rsidP="00E72B54">
      <w:pPr>
        <w:pStyle w:val="Heading3"/>
        <w:rPr>
          <w:rtl/>
        </w:rPr>
      </w:pPr>
      <w:bookmarkStart w:id="62" w:name="_Toc27796662"/>
      <w:bookmarkStart w:id="63" w:name="_Toc27856756"/>
      <w:r>
        <w:rPr>
          <w:rFonts w:hint="cs"/>
          <w:rtl/>
        </w:rPr>
        <w:t>اشکال به شیخ طوسی</w:t>
      </w:r>
      <w:bookmarkEnd w:id="62"/>
      <w:bookmarkEnd w:id="63"/>
    </w:p>
    <w:p w:rsidR="00E72B54" w:rsidRDefault="00E72B54" w:rsidP="00E72B54">
      <w:pPr>
        <w:jc w:val="both"/>
        <w:rPr>
          <w:rtl/>
        </w:rPr>
      </w:pPr>
      <w:r>
        <w:rPr>
          <w:rFonts w:hint="cs"/>
          <w:rtl/>
        </w:rPr>
        <w:t>مجرد این که فعلی، فعل کسی باشد دلیلی نداریم</w:t>
      </w:r>
      <w:r w:rsidR="006D5040">
        <w:rPr>
          <w:rFonts w:hint="cs"/>
          <w:rtl/>
        </w:rPr>
        <w:t xml:space="preserve"> که</w:t>
      </w:r>
      <w:r>
        <w:rPr>
          <w:rFonts w:hint="cs"/>
          <w:rtl/>
        </w:rPr>
        <w:t xml:space="preserve"> شهادتش مقبول باشد.</w:t>
      </w:r>
    </w:p>
    <w:p w:rsidR="000465F0" w:rsidRDefault="001B7632" w:rsidP="000465F0">
      <w:pPr>
        <w:jc w:val="both"/>
        <w:rPr>
          <w:rtl/>
        </w:rPr>
      </w:pPr>
      <w:r>
        <w:rPr>
          <w:rFonts w:hint="cs"/>
          <w:rtl/>
        </w:rPr>
        <w:t xml:space="preserve">خلاصه این که تعلیلی که شیخ طوسی فرمود </w:t>
      </w:r>
      <w:r w:rsidR="00E72B54">
        <w:rPr>
          <w:rFonts w:hint="cs"/>
          <w:rtl/>
        </w:rPr>
        <w:t xml:space="preserve">که </w:t>
      </w:r>
      <w:r>
        <w:rPr>
          <w:rFonts w:hint="cs"/>
          <w:rtl/>
        </w:rPr>
        <w:t>چون فعل</w:t>
      </w:r>
      <w:r w:rsidR="00016B3E">
        <w:rPr>
          <w:rFonts w:hint="cs"/>
          <w:rtl/>
        </w:rPr>
        <w:t>، فعلِ</w:t>
      </w:r>
      <w:r>
        <w:rPr>
          <w:rFonts w:hint="cs"/>
          <w:rtl/>
        </w:rPr>
        <w:t xml:space="preserve"> شخص است پس قولش در مو</w:t>
      </w:r>
      <w:r w:rsidR="001E3E86">
        <w:rPr>
          <w:rFonts w:hint="cs"/>
          <w:rtl/>
        </w:rPr>
        <w:t>رد آن باید حجت باشد، وجهی ندارد؛ یعنی هم کبری و هم صغرای این قاعده را قبول نداریم.</w:t>
      </w:r>
    </w:p>
    <w:p w:rsidR="002E6042" w:rsidRPr="006162A2" w:rsidRDefault="002E6042" w:rsidP="00494CB5">
      <w:pPr>
        <w:jc w:val="both"/>
        <w:rPr>
          <w:rtl/>
        </w:rPr>
      </w:pPr>
    </w:p>
    <w:sectPr w:rsidR="002E604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27" w:rsidRDefault="00757F27" w:rsidP="008B750B">
      <w:pPr>
        <w:spacing w:line="240" w:lineRule="auto"/>
      </w:pPr>
      <w:r>
        <w:separator/>
      </w:r>
    </w:p>
  </w:endnote>
  <w:endnote w:type="continuationSeparator" w:id="0">
    <w:p w:rsidR="00757F27" w:rsidRDefault="00757F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16694" w:rsidRPr="0081669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702AE" w:rsidP="001B6799">
          <w:pPr>
            <w:pStyle w:val="Footer"/>
            <w:bidi w:val="0"/>
            <w:rPr>
              <w:color w:val="808080" w:themeColor="background1" w:themeShade="80"/>
              <w:rtl/>
            </w:rPr>
          </w:pPr>
          <w:bookmarkStart w:id="71" w:name="BokAdres"/>
          <w:bookmarkEnd w:id="71"/>
          <w:r>
            <w:rPr>
              <w:color w:val="808080" w:themeColor="background1" w:themeShade="80"/>
            </w:rPr>
            <w:t>F1js1_13980930-041_mk3_mfeb.ir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27" w:rsidRDefault="00757F27" w:rsidP="008B750B">
      <w:pPr>
        <w:spacing w:line="240" w:lineRule="auto"/>
      </w:pPr>
      <w:r>
        <w:separator/>
      </w:r>
    </w:p>
  </w:footnote>
  <w:footnote w:type="continuationSeparator" w:id="0">
    <w:p w:rsidR="00757F27" w:rsidRDefault="00757F27" w:rsidP="008B750B">
      <w:pPr>
        <w:spacing w:line="240" w:lineRule="auto"/>
      </w:pPr>
      <w:r>
        <w:continuationSeparator/>
      </w:r>
    </w:p>
  </w:footnote>
  <w:footnote w:id="1">
    <w:p w:rsidR="00727B35" w:rsidRPr="00B84A1A" w:rsidRDefault="00727B35" w:rsidP="00727B35">
      <w:pPr>
        <w:pStyle w:val="FootnoteText"/>
      </w:pPr>
      <w:r w:rsidRPr="00B84A1A">
        <w:footnoteRef/>
      </w:r>
      <w:r w:rsidRPr="00B84A1A">
        <w:rPr>
          <w:rtl/>
        </w:rPr>
        <w:t xml:space="preserve"> </w:t>
      </w:r>
      <w:hyperlink r:id="rId1"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2">
    <w:p w:rsidR="008C254F" w:rsidRPr="00B84A1A" w:rsidRDefault="008C254F" w:rsidP="008C254F">
      <w:pPr>
        <w:pStyle w:val="FootnoteText"/>
      </w:pPr>
      <w:r w:rsidRPr="00B84A1A">
        <w:footnoteRef/>
      </w:r>
      <w:r w:rsidRPr="00B84A1A">
        <w:rPr>
          <w:rtl/>
        </w:rPr>
        <w:t xml:space="preserve"> </w:t>
      </w:r>
      <w:hyperlink r:id="rId2"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3">
    <w:p w:rsidR="00D8585E" w:rsidRPr="000848F4" w:rsidRDefault="00D8585E" w:rsidP="00D8585E">
      <w:pPr>
        <w:pStyle w:val="FootnoteText"/>
      </w:pPr>
      <w:r w:rsidRPr="000848F4">
        <w:footnoteRef/>
      </w:r>
      <w:r w:rsidRPr="000848F4">
        <w:rPr>
          <w:rtl/>
        </w:rPr>
        <w:t xml:space="preserve"> </w:t>
      </w:r>
      <w:hyperlink r:id="rId3"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4">
    <w:p w:rsidR="007572B5" w:rsidRPr="007572B5" w:rsidRDefault="007572B5" w:rsidP="007572B5">
      <w:pPr>
        <w:pStyle w:val="FootnoteText"/>
      </w:pPr>
      <w:r w:rsidRPr="007572B5">
        <w:footnoteRef/>
      </w:r>
      <w:r w:rsidRPr="007572B5">
        <w:rPr>
          <w:rtl/>
        </w:rPr>
        <w:t xml:space="preserve"> </w:t>
      </w:r>
      <w:hyperlink r:id="rId4" w:history="1">
        <w:r w:rsidRPr="007572B5">
          <w:rPr>
            <w:rStyle w:val="Hyperlink"/>
            <w:rFonts w:hint="cs"/>
            <w:rtl/>
          </w:rPr>
          <w:t>العناوين</w:t>
        </w:r>
        <w:r w:rsidRPr="007572B5">
          <w:rPr>
            <w:rStyle w:val="Hyperlink"/>
            <w:rtl/>
          </w:rPr>
          <w:t xml:space="preserve"> </w:t>
        </w:r>
        <w:r w:rsidRPr="007572B5">
          <w:rPr>
            <w:rStyle w:val="Hyperlink"/>
            <w:rFonts w:hint="cs"/>
            <w:rtl/>
          </w:rPr>
          <w:t>الفقهية،</w:t>
        </w:r>
        <w:r w:rsidRPr="007572B5">
          <w:rPr>
            <w:rStyle w:val="Hyperlink"/>
            <w:rtl/>
          </w:rPr>
          <w:t xml:space="preserve"> </w:t>
        </w:r>
        <w:r w:rsidRPr="007572B5">
          <w:rPr>
            <w:rStyle w:val="Hyperlink"/>
            <w:rFonts w:hint="cs"/>
            <w:rtl/>
          </w:rPr>
          <w:t>الحسيني،</w:t>
        </w:r>
        <w:r w:rsidRPr="007572B5">
          <w:rPr>
            <w:rStyle w:val="Hyperlink"/>
            <w:rtl/>
          </w:rPr>
          <w:t xml:space="preserve"> </w:t>
        </w:r>
        <w:r w:rsidRPr="007572B5">
          <w:rPr>
            <w:rStyle w:val="Hyperlink"/>
            <w:rFonts w:hint="cs"/>
            <w:rtl/>
          </w:rPr>
          <w:t>السيد</w:t>
        </w:r>
        <w:r w:rsidRPr="007572B5">
          <w:rPr>
            <w:rStyle w:val="Hyperlink"/>
            <w:rtl/>
          </w:rPr>
          <w:t xml:space="preserve"> </w:t>
        </w:r>
        <w:r w:rsidRPr="007572B5">
          <w:rPr>
            <w:rStyle w:val="Hyperlink"/>
            <w:rFonts w:hint="cs"/>
            <w:rtl/>
          </w:rPr>
          <w:t>مير</w:t>
        </w:r>
        <w:r w:rsidRPr="007572B5">
          <w:rPr>
            <w:rStyle w:val="Hyperlink"/>
            <w:rtl/>
          </w:rPr>
          <w:t xml:space="preserve"> </w:t>
        </w:r>
        <w:r w:rsidRPr="007572B5">
          <w:rPr>
            <w:rStyle w:val="Hyperlink"/>
            <w:rFonts w:hint="cs"/>
            <w:rtl/>
          </w:rPr>
          <w:t>عبد</w:t>
        </w:r>
        <w:r w:rsidRPr="007572B5">
          <w:rPr>
            <w:rStyle w:val="Hyperlink"/>
            <w:rtl/>
          </w:rPr>
          <w:t xml:space="preserve"> </w:t>
        </w:r>
        <w:r w:rsidRPr="007572B5">
          <w:rPr>
            <w:rStyle w:val="Hyperlink"/>
            <w:rFonts w:hint="cs"/>
            <w:rtl/>
          </w:rPr>
          <w:t>الفتاح،</w:t>
        </w:r>
        <w:r w:rsidRPr="007572B5">
          <w:rPr>
            <w:rStyle w:val="Hyperlink"/>
            <w:rtl/>
          </w:rPr>
          <w:t xml:space="preserve"> </w:t>
        </w:r>
        <w:r w:rsidRPr="007572B5">
          <w:rPr>
            <w:rStyle w:val="Hyperlink"/>
            <w:rFonts w:hint="cs"/>
            <w:rtl/>
          </w:rPr>
          <w:t>ج</w:t>
        </w:r>
        <w:r w:rsidRPr="007572B5">
          <w:rPr>
            <w:rStyle w:val="Hyperlink"/>
            <w:rtl/>
          </w:rPr>
          <w:t>2</w:t>
        </w:r>
        <w:r w:rsidRPr="007572B5">
          <w:rPr>
            <w:rStyle w:val="Hyperlink"/>
            <w:rFonts w:hint="cs"/>
            <w:rtl/>
          </w:rPr>
          <w:t>،</w:t>
        </w:r>
        <w:r w:rsidRPr="007572B5">
          <w:rPr>
            <w:rStyle w:val="Hyperlink"/>
            <w:rtl/>
          </w:rPr>
          <w:t xml:space="preserve"> </w:t>
        </w:r>
        <w:r w:rsidRPr="007572B5">
          <w:rPr>
            <w:rStyle w:val="Hyperlink"/>
            <w:rFonts w:hint="cs"/>
            <w:rtl/>
          </w:rPr>
          <w:t>ص</w:t>
        </w:r>
        <w:r w:rsidRPr="007572B5">
          <w:rPr>
            <w:rStyle w:val="Hyperlink"/>
            <w:rtl/>
          </w:rPr>
          <w:t>620.</w:t>
        </w:r>
      </w:hyperlink>
    </w:p>
  </w:footnote>
  <w:footnote w:id="5">
    <w:p w:rsidR="00AD7E95" w:rsidRPr="00AD7E95" w:rsidRDefault="00AD7E95" w:rsidP="00AD7E95">
      <w:pPr>
        <w:pStyle w:val="FootnoteText"/>
      </w:pPr>
      <w:r w:rsidRPr="00AD7E95">
        <w:footnoteRef/>
      </w:r>
      <w:r w:rsidRPr="00AD7E95">
        <w:rPr>
          <w:rtl/>
        </w:rPr>
        <w:t xml:space="preserve"> </w:t>
      </w:r>
      <w:hyperlink r:id="rId5" w:history="1">
        <w:r w:rsidRPr="00AD7E95">
          <w:rPr>
            <w:rStyle w:val="Hyperlink"/>
            <w:rFonts w:hint="cs"/>
            <w:rtl/>
          </w:rPr>
          <w:t>القواعد</w:t>
        </w:r>
        <w:r w:rsidRPr="00AD7E95">
          <w:rPr>
            <w:rStyle w:val="Hyperlink"/>
            <w:rtl/>
          </w:rPr>
          <w:t xml:space="preserve"> </w:t>
        </w:r>
        <w:r w:rsidRPr="00AD7E95">
          <w:rPr>
            <w:rStyle w:val="Hyperlink"/>
            <w:rFonts w:hint="cs"/>
            <w:rtl/>
          </w:rPr>
          <w:t>الفقهیة،</w:t>
        </w:r>
        <w:r w:rsidRPr="00AD7E95">
          <w:rPr>
            <w:rStyle w:val="Hyperlink"/>
            <w:rtl/>
          </w:rPr>
          <w:t xml:space="preserve"> </w:t>
        </w:r>
        <w:r w:rsidRPr="00AD7E95">
          <w:rPr>
            <w:rStyle w:val="Hyperlink"/>
            <w:rFonts w:hint="cs"/>
            <w:rtl/>
          </w:rPr>
          <w:t>السید</w:t>
        </w:r>
        <w:r w:rsidRPr="00AD7E95">
          <w:rPr>
            <w:rStyle w:val="Hyperlink"/>
            <w:rtl/>
          </w:rPr>
          <w:t xml:space="preserve"> </w:t>
        </w:r>
        <w:r w:rsidRPr="00AD7E95">
          <w:rPr>
            <w:rStyle w:val="Hyperlink"/>
            <w:rFonts w:hint="cs"/>
            <w:rtl/>
          </w:rPr>
          <w:t>البجنوردی،</w:t>
        </w:r>
        <w:r w:rsidRPr="00AD7E95">
          <w:rPr>
            <w:rStyle w:val="Hyperlink"/>
            <w:rtl/>
          </w:rPr>
          <w:t xml:space="preserve"> </w:t>
        </w:r>
        <w:r w:rsidRPr="00AD7E95">
          <w:rPr>
            <w:rStyle w:val="Hyperlink"/>
            <w:rFonts w:hint="cs"/>
            <w:rtl/>
          </w:rPr>
          <w:t>ج</w:t>
        </w:r>
        <w:r w:rsidRPr="00AD7E95">
          <w:rPr>
            <w:rStyle w:val="Hyperlink"/>
            <w:rtl/>
          </w:rPr>
          <w:t>3</w:t>
        </w:r>
        <w:r w:rsidRPr="00AD7E95">
          <w:rPr>
            <w:rStyle w:val="Hyperlink"/>
            <w:rFonts w:hint="cs"/>
            <w:rtl/>
          </w:rPr>
          <w:t>،</w:t>
        </w:r>
        <w:r w:rsidRPr="00AD7E95">
          <w:rPr>
            <w:rStyle w:val="Hyperlink"/>
            <w:rtl/>
          </w:rPr>
          <w:t xml:space="preserve"> </w:t>
        </w:r>
        <w:r w:rsidRPr="00AD7E95">
          <w:rPr>
            <w:rStyle w:val="Hyperlink"/>
            <w:rFonts w:hint="cs"/>
            <w:rtl/>
          </w:rPr>
          <w:t>ص</w:t>
        </w:r>
        <w:r w:rsidRPr="00AD7E95">
          <w:rPr>
            <w:rStyle w:val="Hyperlink"/>
            <w:rtl/>
          </w:rPr>
          <w:t>126.</w:t>
        </w:r>
      </w:hyperlink>
    </w:p>
  </w:footnote>
  <w:footnote w:id="6">
    <w:p w:rsidR="000509EC" w:rsidRPr="000509EC" w:rsidRDefault="000509EC" w:rsidP="000509EC">
      <w:pPr>
        <w:pStyle w:val="FootnoteText"/>
      </w:pPr>
      <w:r w:rsidRPr="000509EC">
        <w:footnoteRef/>
      </w:r>
      <w:r w:rsidRPr="000509EC">
        <w:rPr>
          <w:rtl/>
        </w:rPr>
        <w:t xml:space="preserve"> </w:t>
      </w:r>
      <w:hyperlink r:id="rId6" w:history="1">
        <w:r w:rsidRPr="000509EC">
          <w:rPr>
            <w:rStyle w:val="Hyperlink"/>
            <w:rFonts w:hint="cs"/>
            <w:rtl/>
          </w:rPr>
          <w:t>المبسوط</w:t>
        </w:r>
        <w:r w:rsidRPr="000509EC">
          <w:rPr>
            <w:rStyle w:val="Hyperlink"/>
            <w:rtl/>
          </w:rPr>
          <w:t xml:space="preserve"> </w:t>
        </w:r>
        <w:r w:rsidRPr="000509EC">
          <w:rPr>
            <w:rStyle w:val="Hyperlink"/>
            <w:rFonts w:hint="cs"/>
            <w:rtl/>
          </w:rPr>
          <w:t>فی</w:t>
        </w:r>
        <w:r w:rsidRPr="000509EC">
          <w:rPr>
            <w:rStyle w:val="Hyperlink"/>
            <w:rtl/>
          </w:rPr>
          <w:t xml:space="preserve"> </w:t>
        </w:r>
        <w:r w:rsidRPr="000509EC">
          <w:rPr>
            <w:rStyle w:val="Hyperlink"/>
            <w:rFonts w:hint="cs"/>
            <w:rtl/>
          </w:rPr>
          <w:t>فقه</w:t>
        </w:r>
        <w:r w:rsidRPr="000509EC">
          <w:rPr>
            <w:rStyle w:val="Hyperlink"/>
            <w:rtl/>
          </w:rPr>
          <w:t xml:space="preserve"> </w:t>
        </w:r>
        <w:r w:rsidRPr="000509EC">
          <w:rPr>
            <w:rStyle w:val="Hyperlink"/>
            <w:rFonts w:hint="cs"/>
            <w:rtl/>
          </w:rPr>
          <w:t>الإمامیة،</w:t>
        </w:r>
        <w:r w:rsidRPr="000509EC">
          <w:rPr>
            <w:rStyle w:val="Hyperlink"/>
            <w:rtl/>
          </w:rPr>
          <w:t xml:space="preserve"> </w:t>
        </w:r>
        <w:r w:rsidRPr="000509EC">
          <w:rPr>
            <w:rStyle w:val="Hyperlink"/>
            <w:rFonts w:hint="cs"/>
            <w:rtl/>
          </w:rPr>
          <w:t>شیخ</w:t>
        </w:r>
        <w:r w:rsidRPr="000509EC">
          <w:rPr>
            <w:rStyle w:val="Hyperlink"/>
            <w:rtl/>
          </w:rPr>
          <w:t xml:space="preserve"> </w:t>
        </w:r>
        <w:r w:rsidRPr="000509EC">
          <w:rPr>
            <w:rStyle w:val="Hyperlink"/>
            <w:rFonts w:hint="cs"/>
            <w:rtl/>
          </w:rPr>
          <w:t>طوسی،</w:t>
        </w:r>
        <w:r w:rsidRPr="000509EC">
          <w:rPr>
            <w:rStyle w:val="Hyperlink"/>
            <w:rtl/>
          </w:rPr>
          <w:t xml:space="preserve"> </w:t>
        </w:r>
        <w:r w:rsidRPr="000509EC">
          <w:rPr>
            <w:rStyle w:val="Hyperlink"/>
            <w:rFonts w:hint="cs"/>
            <w:rtl/>
          </w:rPr>
          <w:t>ج</w:t>
        </w:r>
        <w:r w:rsidRPr="000509EC">
          <w:rPr>
            <w:rStyle w:val="Hyperlink"/>
            <w:rtl/>
          </w:rPr>
          <w:t>5</w:t>
        </w:r>
        <w:r w:rsidRPr="000509EC">
          <w:rPr>
            <w:rStyle w:val="Hyperlink"/>
            <w:rFonts w:hint="cs"/>
            <w:rtl/>
          </w:rPr>
          <w:t>،</w:t>
        </w:r>
        <w:r w:rsidRPr="000509EC">
          <w:rPr>
            <w:rStyle w:val="Hyperlink"/>
            <w:rtl/>
          </w:rPr>
          <w:t xml:space="preserve"> </w:t>
        </w:r>
        <w:r w:rsidRPr="000509EC">
          <w:rPr>
            <w:rStyle w:val="Hyperlink"/>
            <w:rFonts w:hint="cs"/>
            <w:rtl/>
          </w:rPr>
          <w:t>ص</w:t>
        </w:r>
        <w:r w:rsidRPr="000509EC">
          <w:rPr>
            <w:rStyle w:val="Hyperlink"/>
            <w:rtl/>
          </w:rPr>
          <w:t>236.</w:t>
        </w:r>
      </w:hyperlink>
    </w:p>
  </w:footnote>
  <w:footnote w:id="7">
    <w:p w:rsidR="00E3689F" w:rsidRPr="00E3689F" w:rsidRDefault="00E3689F" w:rsidP="00E3689F">
      <w:pPr>
        <w:pStyle w:val="FootnoteText"/>
      </w:pPr>
      <w:r w:rsidRPr="00E3689F">
        <w:footnoteRef/>
      </w:r>
      <w:r w:rsidRPr="00E3689F">
        <w:rPr>
          <w:rtl/>
        </w:rPr>
        <w:t xml:space="preserve"> </w:t>
      </w:r>
      <w:hyperlink r:id="rId7" w:history="1">
        <w:r w:rsidRPr="00E3689F">
          <w:rPr>
            <w:rStyle w:val="Hyperlink"/>
            <w:rFonts w:hint="cs"/>
            <w:rtl/>
          </w:rPr>
          <w:t>الحدائق</w:t>
        </w:r>
        <w:r w:rsidRPr="00E3689F">
          <w:rPr>
            <w:rStyle w:val="Hyperlink"/>
            <w:rtl/>
          </w:rPr>
          <w:t xml:space="preserve"> </w:t>
        </w:r>
        <w:r w:rsidRPr="00E3689F">
          <w:rPr>
            <w:rStyle w:val="Hyperlink"/>
            <w:rFonts w:hint="cs"/>
            <w:rtl/>
          </w:rPr>
          <w:t>الناضرة</w:t>
        </w:r>
        <w:r w:rsidRPr="00E3689F">
          <w:rPr>
            <w:rStyle w:val="Hyperlink"/>
            <w:rtl/>
          </w:rPr>
          <w:t xml:space="preserve"> </w:t>
        </w:r>
        <w:r w:rsidRPr="00E3689F">
          <w:rPr>
            <w:rStyle w:val="Hyperlink"/>
            <w:rFonts w:hint="cs"/>
            <w:rtl/>
          </w:rPr>
          <w:t>فی</w:t>
        </w:r>
        <w:r w:rsidRPr="00E3689F">
          <w:rPr>
            <w:rStyle w:val="Hyperlink"/>
            <w:rtl/>
          </w:rPr>
          <w:t xml:space="preserve"> </w:t>
        </w:r>
        <w:r w:rsidRPr="00E3689F">
          <w:rPr>
            <w:rStyle w:val="Hyperlink"/>
            <w:rFonts w:hint="cs"/>
            <w:rtl/>
          </w:rPr>
          <w:t>أحکام</w:t>
        </w:r>
        <w:r w:rsidRPr="00E3689F">
          <w:rPr>
            <w:rStyle w:val="Hyperlink"/>
            <w:rtl/>
          </w:rPr>
          <w:t xml:space="preserve"> </w:t>
        </w:r>
        <w:r w:rsidRPr="00E3689F">
          <w:rPr>
            <w:rStyle w:val="Hyperlink"/>
            <w:rFonts w:hint="cs"/>
            <w:rtl/>
          </w:rPr>
          <w:t>العترة</w:t>
        </w:r>
        <w:r w:rsidRPr="00E3689F">
          <w:rPr>
            <w:rStyle w:val="Hyperlink"/>
            <w:rtl/>
          </w:rPr>
          <w:t xml:space="preserve"> </w:t>
        </w:r>
        <w:r w:rsidRPr="00E3689F">
          <w:rPr>
            <w:rStyle w:val="Hyperlink"/>
            <w:rFonts w:hint="cs"/>
            <w:rtl/>
          </w:rPr>
          <w:t>الطاهرة،</w:t>
        </w:r>
        <w:r w:rsidRPr="00E3689F">
          <w:rPr>
            <w:rStyle w:val="Hyperlink"/>
            <w:rtl/>
          </w:rPr>
          <w:t xml:space="preserve"> </w:t>
        </w:r>
        <w:r w:rsidRPr="00E3689F">
          <w:rPr>
            <w:rStyle w:val="Hyperlink"/>
            <w:rFonts w:hint="cs"/>
            <w:rtl/>
          </w:rPr>
          <w:t>یوسف</w:t>
        </w:r>
        <w:r w:rsidRPr="00E3689F">
          <w:rPr>
            <w:rStyle w:val="Hyperlink"/>
            <w:rtl/>
          </w:rPr>
          <w:t xml:space="preserve"> </w:t>
        </w:r>
        <w:r w:rsidRPr="00E3689F">
          <w:rPr>
            <w:rStyle w:val="Hyperlink"/>
            <w:rFonts w:hint="cs"/>
            <w:rtl/>
          </w:rPr>
          <w:t>بن</w:t>
        </w:r>
        <w:r w:rsidRPr="00E3689F">
          <w:rPr>
            <w:rStyle w:val="Hyperlink"/>
            <w:rtl/>
          </w:rPr>
          <w:t xml:space="preserve"> </w:t>
        </w:r>
        <w:r w:rsidRPr="00E3689F">
          <w:rPr>
            <w:rStyle w:val="Hyperlink"/>
            <w:rFonts w:hint="cs"/>
            <w:rtl/>
          </w:rPr>
          <w:t>أحمد</w:t>
        </w:r>
        <w:r w:rsidRPr="00E3689F">
          <w:rPr>
            <w:rStyle w:val="Hyperlink"/>
            <w:rtl/>
          </w:rPr>
          <w:t xml:space="preserve"> </w:t>
        </w:r>
        <w:r w:rsidRPr="00E3689F">
          <w:rPr>
            <w:rStyle w:val="Hyperlink"/>
            <w:rFonts w:hint="cs"/>
            <w:rtl/>
          </w:rPr>
          <w:t>البحرانی</w:t>
        </w:r>
        <w:r w:rsidRPr="00E3689F">
          <w:rPr>
            <w:rStyle w:val="Hyperlink"/>
            <w:rtl/>
          </w:rPr>
          <w:t xml:space="preserve"> (</w:t>
        </w:r>
        <w:r w:rsidRPr="00E3689F">
          <w:rPr>
            <w:rStyle w:val="Hyperlink"/>
            <w:rFonts w:hint="cs"/>
            <w:rtl/>
          </w:rPr>
          <w:t>صاحب</w:t>
        </w:r>
        <w:r w:rsidRPr="00E3689F">
          <w:rPr>
            <w:rStyle w:val="Hyperlink"/>
            <w:rtl/>
          </w:rPr>
          <w:t xml:space="preserve"> </w:t>
        </w:r>
        <w:r w:rsidRPr="00E3689F">
          <w:rPr>
            <w:rStyle w:val="Hyperlink"/>
            <w:rFonts w:hint="cs"/>
            <w:rtl/>
          </w:rPr>
          <w:t>الحدائق</w:t>
        </w:r>
        <w:r w:rsidRPr="00E3689F">
          <w:rPr>
            <w:rStyle w:val="Hyperlink"/>
            <w:rtl/>
          </w:rPr>
          <w:t>)</w:t>
        </w:r>
        <w:r w:rsidRPr="00E3689F">
          <w:rPr>
            <w:rStyle w:val="Hyperlink"/>
            <w:rFonts w:hint="cs"/>
            <w:rtl/>
          </w:rPr>
          <w:t>،</w:t>
        </w:r>
        <w:r w:rsidRPr="00E3689F">
          <w:rPr>
            <w:rStyle w:val="Hyperlink"/>
            <w:rtl/>
          </w:rPr>
          <w:t xml:space="preserve"> </w:t>
        </w:r>
        <w:r w:rsidRPr="00E3689F">
          <w:rPr>
            <w:rStyle w:val="Hyperlink"/>
            <w:rFonts w:hint="cs"/>
            <w:rtl/>
          </w:rPr>
          <w:t>ج</w:t>
        </w:r>
        <w:r w:rsidRPr="00E3689F">
          <w:rPr>
            <w:rStyle w:val="Hyperlink"/>
            <w:rtl/>
          </w:rPr>
          <w:t>25</w:t>
        </w:r>
        <w:r w:rsidRPr="00E3689F">
          <w:rPr>
            <w:rStyle w:val="Hyperlink"/>
            <w:rFonts w:hint="cs"/>
            <w:rtl/>
          </w:rPr>
          <w:t>،</w:t>
        </w:r>
        <w:r w:rsidRPr="00E3689F">
          <w:rPr>
            <w:rStyle w:val="Hyperlink"/>
            <w:rtl/>
          </w:rPr>
          <w:t xml:space="preserve"> </w:t>
        </w:r>
        <w:r w:rsidRPr="00E3689F">
          <w:rPr>
            <w:rStyle w:val="Hyperlink"/>
            <w:rFonts w:hint="cs"/>
            <w:rtl/>
          </w:rPr>
          <w:t>ص</w:t>
        </w:r>
        <w:r w:rsidRPr="00E3689F">
          <w:rPr>
            <w:rStyle w:val="Hyperlink"/>
            <w:rtl/>
          </w:rPr>
          <w:t>350.</w:t>
        </w:r>
      </w:hyperlink>
    </w:p>
  </w:footnote>
  <w:footnote w:id="8">
    <w:p w:rsidR="00E3689F" w:rsidRPr="00E3689F" w:rsidRDefault="00E3689F" w:rsidP="00E3689F">
      <w:pPr>
        <w:pStyle w:val="FootnoteText"/>
      </w:pPr>
      <w:r w:rsidRPr="00E3689F">
        <w:footnoteRef/>
      </w:r>
      <w:r w:rsidRPr="00E3689F">
        <w:rPr>
          <w:rtl/>
        </w:rPr>
        <w:t xml:space="preserve"> </w:t>
      </w:r>
      <w:hyperlink r:id="rId8" w:history="1">
        <w:r w:rsidRPr="00E3689F">
          <w:rPr>
            <w:rStyle w:val="Hyperlink"/>
            <w:rFonts w:hint="cs"/>
            <w:rtl/>
          </w:rPr>
          <w:t>الحدائق</w:t>
        </w:r>
        <w:r w:rsidRPr="00E3689F">
          <w:rPr>
            <w:rStyle w:val="Hyperlink"/>
            <w:rtl/>
          </w:rPr>
          <w:t xml:space="preserve"> </w:t>
        </w:r>
        <w:r w:rsidRPr="00E3689F">
          <w:rPr>
            <w:rStyle w:val="Hyperlink"/>
            <w:rFonts w:hint="cs"/>
            <w:rtl/>
          </w:rPr>
          <w:t>الناضرة</w:t>
        </w:r>
        <w:r w:rsidRPr="00E3689F">
          <w:rPr>
            <w:rStyle w:val="Hyperlink"/>
            <w:rtl/>
          </w:rPr>
          <w:t xml:space="preserve"> </w:t>
        </w:r>
        <w:r w:rsidRPr="00E3689F">
          <w:rPr>
            <w:rStyle w:val="Hyperlink"/>
            <w:rFonts w:hint="cs"/>
            <w:rtl/>
          </w:rPr>
          <w:t>فی</w:t>
        </w:r>
        <w:r w:rsidRPr="00E3689F">
          <w:rPr>
            <w:rStyle w:val="Hyperlink"/>
            <w:rtl/>
          </w:rPr>
          <w:t xml:space="preserve"> </w:t>
        </w:r>
        <w:r w:rsidRPr="00E3689F">
          <w:rPr>
            <w:rStyle w:val="Hyperlink"/>
            <w:rFonts w:hint="cs"/>
            <w:rtl/>
          </w:rPr>
          <w:t>أحکام</w:t>
        </w:r>
        <w:r w:rsidRPr="00E3689F">
          <w:rPr>
            <w:rStyle w:val="Hyperlink"/>
            <w:rtl/>
          </w:rPr>
          <w:t xml:space="preserve"> </w:t>
        </w:r>
        <w:r w:rsidRPr="00E3689F">
          <w:rPr>
            <w:rStyle w:val="Hyperlink"/>
            <w:rFonts w:hint="cs"/>
            <w:rtl/>
          </w:rPr>
          <w:t>العترة</w:t>
        </w:r>
        <w:r w:rsidRPr="00E3689F">
          <w:rPr>
            <w:rStyle w:val="Hyperlink"/>
            <w:rtl/>
          </w:rPr>
          <w:t xml:space="preserve"> </w:t>
        </w:r>
        <w:r w:rsidRPr="00E3689F">
          <w:rPr>
            <w:rStyle w:val="Hyperlink"/>
            <w:rFonts w:hint="cs"/>
            <w:rtl/>
          </w:rPr>
          <w:t>الطاهرة،</w:t>
        </w:r>
        <w:r w:rsidRPr="00E3689F">
          <w:rPr>
            <w:rStyle w:val="Hyperlink"/>
            <w:rtl/>
          </w:rPr>
          <w:t xml:space="preserve"> </w:t>
        </w:r>
        <w:r w:rsidRPr="00E3689F">
          <w:rPr>
            <w:rStyle w:val="Hyperlink"/>
            <w:rFonts w:hint="cs"/>
            <w:rtl/>
          </w:rPr>
          <w:t>یوسف</w:t>
        </w:r>
        <w:r w:rsidRPr="00E3689F">
          <w:rPr>
            <w:rStyle w:val="Hyperlink"/>
            <w:rtl/>
          </w:rPr>
          <w:t xml:space="preserve"> </w:t>
        </w:r>
        <w:r w:rsidRPr="00E3689F">
          <w:rPr>
            <w:rStyle w:val="Hyperlink"/>
            <w:rFonts w:hint="cs"/>
            <w:rtl/>
          </w:rPr>
          <w:t>بن</w:t>
        </w:r>
        <w:r w:rsidRPr="00E3689F">
          <w:rPr>
            <w:rStyle w:val="Hyperlink"/>
            <w:rtl/>
          </w:rPr>
          <w:t xml:space="preserve"> </w:t>
        </w:r>
        <w:r w:rsidRPr="00E3689F">
          <w:rPr>
            <w:rStyle w:val="Hyperlink"/>
            <w:rFonts w:hint="cs"/>
            <w:rtl/>
          </w:rPr>
          <w:t>أحمد</w:t>
        </w:r>
        <w:r w:rsidRPr="00E3689F">
          <w:rPr>
            <w:rStyle w:val="Hyperlink"/>
            <w:rtl/>
          </w:rPr>
          <w:t xml:space="preserve"> </w:t>
        </w:r>
        <w:r w:rsidRPr="00E3689F">
          <w:rPr>
            <w:rStyle w:val="Hyperlink"/>
            <w:rFonts w:hint="cs"/>
            <w:rtl/>
          </w:rPr>
          <w:t>البحرانی</w:t>
        </w:r>
        <w:r w:rsidRPr="00E3689F">
          <w:rPr>
            <w:rStyle w:val="Hyperlink"/>
            <w:rtl/>
          </w:rPr>
          <w:t xml:space="preserve"> (</w:t>
        </w:r>
        <w:r w:rsidRPr="00E3689F">
          <w:rPr>
            <w:rStyle w:val="Hyperlink"/>
            <w:rFonts w:hint="cs"/>
            <w:rtl/>
          </w:rPr>
          <w:t>صاحب</w:t>
        </w:r>
        <w:r w:rsidRPr="00E3689F">
          <w:rPr>
            <w:rStyle w:val="Hyperlink"/>
            <w:rtl/>
          </w:rPr>
          <w:t xml:space="preserve"> </w:t>
        </w:r>
        <w:r w:rsidRPr="00E3689F">
          <w:rPr>
            <w:rStyle w:val="Hyperlink"/>
            <w:rFonts w:hint="cs"/>
            <w:rtl/>
          </w:rPr>
          <w:t>الحدائق</w:t>
        </w:r>
        <w:r w:rsidRPr="00E3689F">
          <w:rPr>
            <w:rStyle w:val="Hyperlink"/>
            <w:rtl/>
          </w:rPr>
          <w:t>)</w:t>
        </w:r>
        <w:r w:rsidRPr="00E3689F">
          <w:rPr>
            <w:rStyle w:val="Hyperlink"/>
            <w:rFonts w:hint="cs"/>
            <w:rtl/>
          </w:rPr>
          <w:t>،</w:t>
        </w:r>
        <w:r w:rsidRPr="00E3689F">
          <w:rPr>
            <w:rStyle w:val="Hyperlink"/>
            <w:rtl/>
          </w:rPr>
          <w:t xml:space="preserve"> </w:t>
        </w:r>
        <w:r w:rsidRPr="00E3689F">
          <w:rPr>
            <w:rStyle w:val="Hyperlink"/>
            <w:rFonts w:hint="cs"/>
            <w:rtl/>
          </w:rPr>
          <w:t>ج</w:t>
        </w:r>
        <w:r w:rsidRPr="00E3689F">
          <w:rPr>
            <w:rStyle w:val="Hyperlink"/>
            <w:rtl/>
          </w:rPr>
          <w:t>25</w:t>
        </w:r>
        <w:r w:rsidRPr="00E3689F">
          <w:rPr>
            <w:rStyle w:val="Hyperlink"/>
            <w:rFonts w:hint="cs"/>
            <w:rtl/>
          </w:rPr>
          <w:t>،</w:t>
        </w:r>
        <w:r w:rsidRPr="00E3689F">
          <w:rPr>
            <w:rStyle w:val="Hyperlink"/>
            <w:rtl/>
          </w:rPr>
          <w:t xml:space="preserve"> </w:t>
        </w:r>
        <w:r w:rsidRPr="00E3689F">
          <w:rPr>
            <w:rStyle w:val="Hyperlink"/>
            <w:rFonts w:hint="cs"/>
            <w:rtl/>
          </w:rPr>
          <w:t>ص</w:t>
        </w:r>
        <w:r w:rsidRPr="00E3689F">
          <w:rPr>
            <w:rStyle w:val="Hyperlink"/>
            <w:rtl/>
          </w:rPr>
          <w:t>128.</w:t>
        </w:r>
      </w:hyperlink>
    </w:p>
  </w:footnote>
  <w:footnote w:id="9">
    <w:p w:rsidR="0034584C" w:rsidRPr="0034584C" w:rsidRDefault="0034584C" w:rsidP="0034584C">
      <w:pPr>
        <w:pStyle w:val="FootnoteText"/>
      </w:pPr>
      <w:r w:rsidRPr="0034584C">
        <w:footnoteRef/>
      </w:r>
      <w:r w:rsidRPr="0034584C">
        <w:rPr>
          <w:rtl/>
        </w:rPr>
        <w:t xml:space="preserve"> </w:t>
      </w:r>
      <w:hyperlink r:id="rId9" w:history="1">
        <w:r w:rsidRPr="0034584C">
          <w:rPr>
            <w:rStyle w:val="Hyperlink"/>
            <w:rFonts w:hint="cs"/>
            <w:rtl/>
          </w:rPr>
          <w:t>المبسوط</w:t>
        </w:r>
        <w:r w:rsidRPr="0034584C">
          <w:rPr>
            <w:rStyle w:val="Hyperlink"/>
            <w:rtl/>
          </w:rPr>
          <w:t xml:space="preserve"> </w:t>
        </w:r>
        <w:r w:rsidRPr="0034584C">
          <w:rPr>
            <w:rStyle w:val="Hyperlink"/>
            <w:rFonts w:hint="cs"/>
            <w:rtl/>
          </w:rPr>
          <w:t>فی</w:t>
        </w:r>
        <w:r w:rsidRPr="0034584C">
          <w:rPr>
            <w:rStyle w:val="Hyperlink"/>
            <w:rtl/>
          </w:rPr>
          <w:t xml:space="preserve"> </w:t>
        </w:r>
        <w:r w:rsidRPr="0034584C">
          <w:rPr>
            <w:rStyle w:val="Hyperlink"/>
            <w:rFonts w:hint="cs"/>
            <w:rtl/>
          </w:rPr>
          <w:t>فقه</w:t>
        </w:r>
        <w:r w:rsidRPr="0034584C">
          <w:rPr>
            <w:rStyle w:val="Hyperlink"/>
            <w:rtl/>
          </w:rPr>
          <w:t xml:space="preserve"> </w:t>
        </w:r>
        <w:r w:rsidRPr="0034584C">
          <w:rPr>
            <w:rStyle w:val="Hyperlink"/>
            <w:rFonts w:hint="cs"/>
            <w:rtl/>
          </w:rPr>
          <w:t>الإمامیة،</w:t>
        </w:r>
        <w:r w:rsidRPr="0034584C">
          <w:rPr>
            <w:rStyle w:val="Hyperlink"/>
            <w:rtl/>
          </w:rPr>
          <w:t xml:space="preserve"> </w:t>
        </w:r>
        <w:r w:rsidRPr="0034584C">
          <w:rPr>
            <w:rStyle w:val="Hyperlink"/>
            <w:rFonts w:hint="cs"/>
            <w:rtl/>
          </w:rPr>
          <w:t>شیخ</w:t>
        </w:r>
        <w:r w:rsidRPr="0034584C">
          <w:rPr>
            <w:rStyle w:val="Hyperlink"/>
            <w:rtl/>
          </w:rPr>
          <w:t xml:space="preserve"> </w:t>
        </w:r>
        <w:r w:rsidRPr="0034584C">
          <w:rPr>
            <w:rStyle w:val="Hyperlink"/>
            <w:rFonts w:hint="cs"/>
            <w:rtl/>
          </w:rPr>
          <w:t>طوسی،</w:t>
        </w:r>
        <w:r w:rsidRPr="0034584C">
          <w:rPr>
            <w:rStyle w:val="Hyperlink"/>
            <w:rtl/>
          </w:rPr>
          <w:t xml:space="preserve"> </w:t>
        </w:r>
        <w:r w:rsidRPr="0034584C">
          <w:rPr>
            <w:rStyle w:val="Hyperlink"/>
            <w:rFonts w:hint="cs"/>
            <w:rtl/>
          </w:rPr>
          <w:t>ج</w:t>
        </w:r>
        <w:r w:rsidRPr="0034584C">
          <w:rPr>
            <w:rStyle w:val="Hyperlink"/>
            <w:rtl/>
          </w:rPr>
          <w:t>5</w:t>
        </w:r>
        <w:r w:rsidRPr="0034584C">
          <w:rPr>
            <w:rStyle w:val="Hyperlink"/>
            <w:rFonts w:hint="cs"/>
            <w:rtl/>
          </w:rPr>
          <w:t>،</w:t>
        </w:r>
        <w:r w:rsidRPr="0034584C">
          <w:rPr>
            <w:rStyle w:val="Hyperlink"/>
            <w:rtl/>
          </w:rPr>
          <w:t xml:space="preserve"> </w:t>
        </w:r>
        <w:r w:rsidRPr="0034584C">
          <w:rPr>
            <w:rStyle w:val="Hyperlink"/>
            <w:rFonts w:hint="cs"/>
            <w:rtl/>
          </w:rPr>
          <w:t>ص</w:t>
        </w:r>
        <w:r w:rsidRPr="0034584C">
          <w:rPr>
            <w:rStyle w:val="Hyperlink"/>
            <w:rtl/>
          </w:rPr>
          <w:t>241.</w:t>
        </w:r>
      </w:hyperlink>
    </w:p>
  </w:footnote>
  <w:footnote w:id="10">
    <w:p w:rsidR="00B96268" w:rsidRPr="00B96268" w:rsidRDefault="00B96268" w:rsidP="00B96268">
      <w:pPr>
        <w:pStyle w:val="FootnoteText"/>
      </w:pPr>
      <w:r w:rsidRPr="00B96268">
        <w:footnoteRef/>
      </w:r>
      <w:r w:rsidRPr="00B96268">
        <w:rPr>
          <w:rtl/>
        </w:rPr>
        <w:t xml:space="preserve"> </w:t>
      </w:r>
      <w:hyperlink r:id="rId10" w:history="1">
        <w:r w:rsidRPr="00B96268">
          <w:rPr>
            <w:rStyle w:val="Hyperlink"/>
            <w:rFonts w:hint="cs"/>
            <w:rtl/>
          </w:rPr>
          <w:t>المبسوط</w:t>
        </w:r>
        <w:r w:rsidRPr="00B96268">
          <w:rPr>
            <w:rStyle w:val="Hyperlink"/>
            <w:rtl/>
          </w:rPr>
          <w:t xml:space="preserve"> </w:t>
        </w:r>
        <w:r w:rsidRPr="00B96268">
          <w:rPr>
            <w:rStyle w:val="Hyperlink"/>
            <w:rFonts w:hint="cs"/>
            <w:rtl/>
          </w:rPr>
          <w:t>فی</w:t>
        </w:r>
        <w:r w:rsidRPr="00B96268">
          <w:rPr>
            <w:rStyle w:val="Hyperlink"/>
            <w:rtl/>
          </w:rPr>
          <w:t xml:space="preserve"> </w:t>
        </w:r>
        <w:r w:rsidRPr="00B96268">
          <w:rPr>
            <w:rStyle w:val="Hyperlink"/>
            <w:rFonts w:hint="cs"/>
            <w:rtl/>
          </w:rPr>
          <w:t>فقه</w:t>
        </w:r>
        <w:r w:rsidRPr="00B96268">
          <w:rPr>
            <w:rStyle w:val="Hyperlink"/>
            <w:rtl/>
          </w:rPr>
          <w:t xml:space="preserve"> </w:t>
        </w:r>
        <w:r w:rsidRPr="00B96268">
          <w:rPr>
            <w:rStyle w:val="Hyperlink"/>
            <w:rFonts w:hint="cs"/>
            <w:rtl/>
          </w:rPr>
          <w:t>الإمامیة،</w:t>
        </w:r>
        <w:r w:rsidRPr="00B96268">
          <w:rPr>
            <w:rStyle w:val="Hyperlink"/>
            <w:rtl/>
          </w:rPr>
          <w:t xml:space="preserve"> </w:t>
        </w:r>
        <w:r w:rsidRPr="00B96268">
          <w:rPr>
            <w:rStyle w:val="Hyperlink"/>
            <w:rFonts w:hint="cs"/>
            <w:rtl/>
          </w:rPr>
          <w:t>شیخ</w:t>
        </w:r>
        <w:r w:rsidRPr="00B96268">
          <w:rPr>
            <w:rStyle w:val="Hyperlink"/>
            <w:rtl/>
          </w:rPr>
          <w:t xml:space="preserve"> </w:t>
        </w:r>
        <w:r w:rsidRPr="00B96268">
          <w:rPr>
            <w:rStyle w:val="Hyperlink"/>
            <w:rFonts w:hint="cs"/>
            <w:rtl/>
          </w:rPr>
          <w:t>طوسی،</w:t>
        </w:r>
        <w:r w:rsidRPr="00B96268">
          <w:rPr>
            <w:rStyle w:val="Hyperlink"/>
            <w:rtl/>
          </w:rPr>
          <w:t xml:space="preserve"> </w:t>
        </w:r>
        <w:r w:rsidRPr="00B96268">
          <w:rPr>
            <w:rStyle w:val="Hyperlink"/>
            <w:rFonts w:hint="cs"/>
            <w:rtl/>
          </w:rPr>
          <w:t>ج</w:t>
        </w:r>
        <w:r w:rsidRPr="00B96268">
          <w:rPr>
            <w:rStyle w:val="Hyperlink"/>
            <w:rtl/>
          </w:rPr>
          <w:t>5</w:t>
        </w:r>
        <w:r w:rsidRPr="00B96268">
          <w:rPr>
            <w:rStyle w:val="Hyperlink"/>
            <w:rFonts w:hint="cs"/>
            <w:rtl/>
          </w:rPr>
          <w:t>،</w:t>
        </w:r>
        <w:r w:rsidRPr="00B96268">
          <w:rPr>
            <w:rStyle w:val="Hyperlink"/>
            <w:rtl/>
          </w:rPr>
          <w:t xml:space="preserve"> </w:t>
        </w:r>
        <w:r w:rsidRPr="00B96268">
          <w:rPr>
            <w:rStyle w:val="Hyperlink"/>
            <w:rFonts w:hint="cs"/>
            <w:rtl/>
          </w:rPr>
          <w:t>ص</w:t>
        </w:r>
        <w:r w:rsidRPr="00B96268">
          <w:rPr>
            <w:rStyle w:val="Hyperlink"/>
            <w:rtl/>
          </w:rPr>
          <w:t>241.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4"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4" w:name="BokNum"/>
    <w:bookmarkEnd w:id="64"/>
    <w:r w:rsidR="00E702AE">
      <w:rPr>
        <w:b/>
        <w:bCs/>
        <w:sz w:val="20"/>
        <w:szCs w:val="24"/>
        <w:rtl/>
      </w:rPr>
      <w:t>041</w:t>
    </w:r>
    <w:r w:rsidR="001A4ED8">
      <w:rPr>
        <w:rFonts w:hint="cs"/>
        <w:b/>
        <w:bCs/>
        <w:sz w:val="20"/>
        <w:szCs w:val="24"/>
        <w:rtl/>
      </w:rPr>
      <w:tab/>
    </w:r>
  </w:p>
  <w:p w:rsidR="00816694"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5" w:name="Bokdars"/>
    <w:bookmarkEnd w:id="65"/>
    <w:r w:rsidR="00E702A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6" w:name="Bokostad"/>
    <w:bookmarkEnd w:id="66"/>
    <w:r w:rsidR="00E702AE">
      <w:rPr>
        <w:rFonts w:hint="cs"/>
        <w:b/>
        <w:bCs/>
        <w:color w:val="632423" w:themeColor="accent2" w:themeShade="80"/>
        <w:sz w:val="20"/>
        <w:szCs w:val="24"/>
        <w:rtl/>
      </w:rPr>
      <w:t>سید</w:t>
    </w:r>
    <w:r w:rsidR="00E702AE">
      <w:rPr>
        <w:b/>
        <w:bCs/>
        <w:color w:val="632423" w:themeColor="accent2" w:themeShade="80"/>
        <w:sz w:val="20"/>
        <w:szCs w:val="24"/>
        <w:rtl/>
      </w:rPr>
      <w:t xml:space="preserve"> </w:t>
    </w:r>
    <w:r w:rsidR="00E702AE">
      <w:rPr>
        <w:rFonts w:hint="cs"/>
        <w:b/>
        <w:bCs/>
        <w:color w:val="632423" w:themeColor="accent2" w:themeShade="80"/>
        <w:sz w:val="20"/>
        <w:szCs w:val="24"/>
        <w:rtl/>
      </w:rPr>
      <w:t>محمد</w:t>
    </w:r>
    <w:r w:rsidR="00E702AE">
      <w:rPr>
        <w:b/>
        <w:bCs/>
        <w:color w:val="632423" w:themeColor="accent2" w:themeShade="80"/>
        <w:sz w:val="20"/>
        <w:szCs w:val="24"/>
        <w:rtl/>
      </w:rPr>
      <w:t xml:space="preserve"> </w:t>
    </w:r>
    <w:r w:rsidR="00E702AE">
      <w:rPr>
        <w:rFonts w:hint="cs"/>
        <w:b/>
        <w:bCs/>
        <w:color w:val="632423" w:themeColor="accent2" w:themeShade="80"/>
        <w:sz w:val="20"/>
        <w:szCs w:val="24"/>
        <w:rtl/>
      </w:rPr>
      <w:t>جواد</w:t>
    </w:r>
    <w:r w:rsidR="00E702AE">
      <w:rPr>
        <w:b/>
        <w:bCs/>
        <w:color w:val="632423" w:themeColor="accent2" w:themeShade="80"/>
        <w:sz w:val="20"/>
        <w:szCs w:val="24"/>
        <w:rtl/>
      </w:rPr>
      <w:t xml:space="preserve"> </w:t>
    </w:r>
    <w:r w:rsidR="00E702A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816694" w:rsidRDefault="00935A55" w:rsidP="008166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67" w:name="BokTarikh"/>
    <w:bookmarkEnd w:id="67"/>
    <w:r w:rsidR="00E702AE">
      <w:rPr>
        <w:sz w:val="24"/>
        <w:szCs w:val="24"/>
        <w:rtl/>
      </w:rPr>
      <w:t>30 /9 /1398</w:t>
    </w:r>
  </w:p>
  <w:p w:rsidR="00816694" w:rsidRDefault="00935A55" w:rsidP="008166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68" w:name="BokSabj"/>
    <w:bookmarkEnd w:id="68"/>
    <w:r w:rsidR="00E702AE">
      <w:rPr>
        <w:rFonts w:hint="cs"/>
        <w:color w:val="000000" w:themeColor="text1"/>
        <w:sz w:val="24"/>
        <w:szCs w:val="24"/>
        <w:rtl/>
      </w:rPr>
      <w:t>مساله</w:t>
    </w:r>
    <w:r w:rsidR="005F2210">
      <w:rPr>
        <w:rFonts w:hint="cs"/>
        <w:color w:val="000000" w:themeColor="text1"/>
        <w:sz w:val="24"/>
        <w:szCs w:val="24"/>
        <w:rtl/>
      </w:rPr>
      <w:t>‌ی</w:t>
    </w:r>
    <w:r w:rsidR="00E702AE">
      <w:rPr>
        <w:color w:val="000000" w:themeColor="text1"/>
        <w:sz w:val="24"/>
        <w:szCs w:val="24"/>
        <w:rtl/>
      </w:rPr>
      <w:t xml:space="preserve"> </w:t>
    </w:r>
    <w:r w:rsidR="00E702AE">
      <w:rPr>
        <w:rFonts w:hint="cs"/>
        <w:color w:val="000000" w:themeColor="text1"/>
        <w:sz w:val="24"/>
        <w:szCs w:val="24"/>
        <w:rtl/>
      </w:rPr>
      <w:t>پنجم</w:t>
    </w:r>
    <w:r w:rsidR="00E702AE">
      <w:rPr>
        <w:color w:val="000000" w:themeColor="text1"/>
        <w:sz w:val="24"/>
        <w:szCs w:val="24"/>
        <w:rtl/>
      </w:rPr>
      <w:t xml:space="preserve"> </w:t>
    </w:r>
    <w:r w:rsidR="00E702AE">
      <w:rPr>
        <w:rFonts w:hint="cs"/>
        <w:color w:val="000000" w:themeColor="text1"/>
        <w:sz w:val="24"/>
        <w:szCs w:val="24"/>
        <w:rtl/>
      </w:rPr>
      <w:t>تکمله</w:t>
    </w:r>
    <w:r w:rsidR="005F2210">
      <w:rPr>
        <w:rFonts w:hint="cs"/>
        <w:color w:val="000000" w:themeColor="text1"/>
        <w:sz w:val="24"/>
        <w:szCs w:val="24"/>
        <w:rtl/>
      </w:rPr>
      <w:t>‌ی</w:t>
    </w:r>
    <w:r w:rsidR="00E702AE">
      <w:rPr>
        <w:color w:val="000000" w:themeColor="text1"/>
        <w:sz w:val="24"/>
        <w:szCs w:val="24"/>
        <w:rtl/>
      </w:rPr>
      <w:t xml:space="preserve"> </w:t>
    </w:r>
    <w:r w:rsidR="00E702AE">
      <w:rPr>
        <w:rFonts w:hint="cs"/>
        <w:color w:val="000000" w:themeColor="text1"/>
        <w:sz w:val="24"/>
        <w:szCs w:val="24"/>
        <w:rtl/>
      </w:rPr>
      <w:t>عروه</w:t>
    </w:r>
  </w:p>
  <w:p w:rsidR="00816694" w:rsidRDefault="00935A55" w:rsidP="008166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69" w:name="Bokmoqarer"/>
    <w:bookmarkEnd w:id="69"/>
    <w:r w:rsidR="00F6597C">
      <w:rPr>
        <w:rFonts w:hint="cs"/>
        <w:sz w:val="24"/>
        <w:szCs w:val="24"/>
        <w:rtl/>
      </w:rPr>
      <w:t>مرکز فقهی امام محمد باقر علیه السلام</w:t>
    </w:r>
  </w:p>
  <w:p w:rsidR="00FA3B17" w:rsidRPr="00F16B53" w:rsidRDefault="00935A55" w:rsidP="008166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70" w:name="BokSabj2"/>
    <w:bookmarkEnd w:id="70"/>
    <w:r w:rsidR="00E702AE">
      <w:rPr>
        <w:rFonts w:hint="cs"/>
        <w:sz w:val="24"/>
        <w:szCs w:val="24"/>
        <w:rtl/>
      </w:rPr>
      <w:t>قبول</w:t>
    </w:r>
    <w:r w:rsidR="00E702AE">
      <w:rPr>
        <w:sz w:val="24"/>
        <w:szCs w:val="24"/>
        <w:rtl/>
      </w:rPr>
      <w:t xml:space="preserve"> </w:t>
    </w:r>
    <w:r w:rsidR="00E702AE">
      <w:rPr>
        <w:rFonts w:hint="cs"/>
        <w:sz w:val="24"/>
        <w:szCs w:val="24"/>
        <w:rtl/>
      </w:rPr>
      <w:t>قول</w:t>
    </w:r>
    <w:r w:rsidR="00E702AE">
      <w:rPr>
        <w:sz w:val="24"/>
        <w:szCs w:val="24"/>
        <w:rtl/>
      </w:rPr>
      <w:t xml:space="preserve"> </w:t>
    </w:r>
    <w:r w:rsidR="00E702AE">
      <w:rPr>
        <w:rFonts w:hint="cs"/>
        <w:sz w:val="24"/>
        <w:szCs w:val="24"/>
        <w:rtl/>
      </w:rPr>
      <w:t>زن</w:t>
    </w:r>
    <w:r w:rsidR="00E702AE">
      <w:rPr>
        <w:sz w:val="24"/>
        <w:szCs w:val="24"/>
        <w:rtl/>
      </w:rPr>
      <w:t xml:space="preserve"> </w:t>
    </w:r>
    <w:r w:rsidR="00E702AE">
      <w:rPr>
        <w:rFonts w:hint="cs"/>
        <w:sz w:val="24"/>
        <w:szCs w:val="24"/>
        <w:rtl/>
      </w:rPr>
      <w:t>در</w:t>
    </w:r>
    <w:r w:rsidR="00E702AE">
      <w:rPr>
        <w:sz w:val="24"/>
        <w:szCs w:val="24"/>
        <w:rtl/>
      </w:rPr>
      <w:t xml:space="preserve"> </w:t>
    </w:r>
    <w:r w:rsidR="00E702AE">
      <w:rPr>
        <w:rFonts w:hint="cs"/>
        <w:sz w:val="24"/>
        <w:szCs w:val="24"/>
        <w:rtl/>
      </w:rPr>
      <w:t>مورد</w:t>
    </w:r>
    <w:r w:rsidR="00E702AE">
      <w:rPr>
        <w:sz w:val="24"/>
        <w:szCs w:val="24"/>
        <w:rtl/>
      </w:rPr>
      <w:t xml:space="preserve"> </w:t>
    </w:r>
    <w:r w:rsidR="00E702AE">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6B3E"/>
    <w:rsid w:val="00025777"/>
    <w:rsid w:val="00025B70"/>
    <w:rsid w:val="000353D7"/>
    <w:rsid w:val="000465F0"/>
    <w:rsid w:val="000509EC"/>
    <w:rsid w:val="00055496"/>
    <w:rsid w:val="00060CF7"/>
    <w:rsid w:val="00080A41"/>
    <w:rsid w:val="0008299B"/>
    <w:rsid w:val="000865B3"/>
    <w:rsid w:val="000913AA"/>
    <w:rsid w:val="0009404F"/>
    <w:rsid w:val="00094847"/>
    <w:rsid w:val="00096C63"/>
    <w:rsid w:val="000B5DB5"/>
    <w:rsid w:val="000C3947"/>
    <w:rsid w:val="000D2A37"/>
    <w:rsid w:val="000D30E9"/>
    <w:rsid w:val="000D6818"/>
    <w:rsid w:val="000E335E"/>
    <w:rsid w:val="000F16CF"/>
    <w:rsid w:val="000F5BAC"/>
    <w:rsid w:val="000F64BC"/>
    <w:rsid w:val="00102585"/>
    <w:rsid w:val="0010560F"/>
    <w:rsid w:val="00114AB7"/>
    <w:rsid w:val="00116B2B"/>
    <w:rsid w:val="0012357A"/>
    <w:rsid w:val="00124E3D"/>
    <w:rsid w:val="00127E95"/>
    <w:rsid w:val="00130659"/>
    <w:rsid w:val="001347C7"/>
    <w:rsid w:val="001356B0"/>
    <w:rsid w:val="00151412"/>
    <w:rsid w:val="00151937"/>
    <w:rsid w:val="001635AE"/>
    <w:rsid w:val="00181844"/>
    <w:rsid w:val="001837E9"/>
    <w:rsid w:val="00187DFA"/>
    <w:rsid w:val="001A1BC1"/>
    <w:rsid w:val="001A1EA5"/>
    <w:rsid w:val="001A2574"/>
    <w:rsid w:val="001A27D7"/>
    <w:rsid w:val="001A294E"/>
    <w:rsid w:val="001A4ED8"/>
    <w:rsid w:val="001B2488"/>
    <w:rsid w:val="001B553A"/>
    <w:rsid w:val="001B6799"/>
    <w:rsid w:val="001B6A09"/>
    <w:rsid w:val="001B7632"/>
    <w:rsid w:val="001C1362"/>
    <w:rsid w:val="001D2E9A"/>
    <w:rsid w:val="001D597F"/>
    <w:rsid w:val="001E0DAA"/>
    <w:rsid w:val="001E3E86"/>
    <w:rsid w:val="001E3FD4"/>
    <w:rsid w:val="0020241A"/>
    <w:rsid w:val="00203821"/>
    <w:rsid w:val="00211632"/>
    <w:rsid w:val="0021630D"/>
    <w:rsid w:val="0024121B"/>
    <w:rsid w:val="00247D2F"/>
    <w:rsid w:val="00256560"/>
    <w:rsid w:val="00264AC1"/>
    <w:rsid w:val="0027605E"/>
    <w:rsid w:val="00281E00"/>
    <w:rsid w:val="00294A52"/>
    <w:rsid w:val="002B09DA"/>
    <w:rsid w:val="002B575F"/>
    <w:rsid w:val="002B729B"/>
    <w:rsid w:val="002C23B5"/>
    <w:rsid w:val="002C53A2"/>
    <w:rsid w:val="002D0040"/>
    <w:rsid w:val="002D2FA8"/>
    <w:rsid w:val="002D478E"/>
    <w:rsid w:val="002E220F"/>
    <w:rsid w:val="002E4F9F"/>
    <w:rsid w:val="002E6042"/>
    <w:rsid w:val="00307311"/>
    <w:rsid w:val="0032100F"/>
    <w:rsid w:val="0033402C"/>
    <w:rsid w:val="003344CA"/>
    <w:rsid w:val="00340521"/>
    <w:rsid w:val="0034584C"/>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629A"/>
    <w:rsid w:val="00425015"/>
    <w:rsid w:val="00430994"/>
    <w:rsid w:val="00432127"/>
    <w:rsid w:val="00441B6D"/>
    <w:rsid w:val="004556EF"/>
    <w:rsid w:val="00462B07"/>
    <w:rsid w:val="00465BD2"/>
    <w:rsid w:val="004715C8"/>
    <w:rsid w:val="00481C31"/>
    <w:rsid w:val="00482FC1"/>
    <w:rsid w:val="00483027"/>
    <w:rsid w:val="004839B4"/>
    <w:rsid w:val="004871AA"/>
    <w:rsid w:val="004918D7"/>
    <w:rsid w:val="004926E1"/>
    <w:rsid w:val="00494CB5"/>
    <w:rsid w:val="004A2FEA"/>
    <w:rsid w:val="004C06DE"/>
    <w:rsid w:val="004C0FF9"/>
    <w:rsid w:val="004D2DD7"/>
    <w:rsid w:val="004D75C5"/>
    <w:rsid w:val="004E2186"/>
    <w:rsid w:val="004E66FB"/>
    <w:rsid w:val="004F470A"/>
    <w:rsid w:val="004F4C59"/>
    <w:rsid w:val="00500C8F"/>
    <w:rsid w:val="00501909"/>
    <w:rsid w:val="00504F3E"/>
    <w:rsid w:val="00507BBB"/>
    <w:rsid w:val="005128DF"/>
    <w:rsid w:val="0051592A"/>
    <w:rsid w:val="005206FE"/>
    <w:rsid w:val="005257ED"/>
    <w:rsid w:val="005306F8"/>
    <w:rsid w:val="0054023D"/>
    <w:rsid w:val="005426BF"/>
    <w:rsid w:val="0056213C"/>
    <w:rsid w:val="00571ACB"/>
    <w:rsid w:val="00580C24"/>
    <w:rsid w:val="005968EF"/>
    <w:rsid w:val="00596C1E"/>
    <w:rsid w:val="005A2E26"/>
    <w:rsid w:val="005A7C84"/>
    <w:rsid w:val="005B7BCA"/>
    <w:rsid w:val="005C0073"/>
    <w:rsid w:val="005C0DAE"/>
    <w:rsid w:val="005C188E"/>
    <w:rsid w:val="005C5FCA"/>
    <w:rsid w:val="005D2349"/>
    <w:rsid w:val="005E1B60"/>
    <w:rsid w:val="005E5507"/>
    <w:rsid w:val="005E607B"/>
    <w:rsid w:val="005F0A8D"/>
    <w:rsid w:val="005F110E"/>
    <w:rsid w:val="005F2210"/>
    <w:rsid w:val="00601229"/>
    <w:rsid w:val="00603B67"/>
    <w:rsid w:val="006162A2"/>
    <w:rsid w:val="006240DA"/>
    <w:rsid w:val="0063256E"/>
    <w:rsid w:val="00633F04"/>
    <w:rsid w:val="00635219"/>
    <w:rsid w:val="00635EC0"/>
    <w:rsid w:val="00640B58"/>
    <w:rsid w:val="00651B02"/>
    <w:rsid w:val="00651B19"/>
    <w:rsid w:val="00660A29"/>
    <w:rsid w:val="00673412"/>
    <w:rsid w:val="00695519"/>
    <w:rsid w:val="006A4134"/>
    <w:rsid w:val="006A5DDA"/>
    <w:rsid w:val="006A6701"/>
    <w:rsid w:val="006B21F4"/>
    <w:rsid w:val="006B3753"/>
    <w:rsid w:val="006B7AD6"/>
    <w:rsid w:val="006C2C3B"/>
    <w:rsid w:val="006C50FD"/>
    <w:rsid w:val="006C5416"/>
    <w:rsid w:val="006D1DD4"/>
    <w:rsid w:val="006D4014"/>
    <w:rsid w:val="006D44C1"/>
    <w:rsid w:val="006D5040"/>
    <w:rsid w:val="006E5651"/>
    <w:rsid w:val="006E5B85"/>
    <w:rsid w:val="006F026A"/>
    <w:rsid w:val="0070265B"/>
    <w:rsid w:val="00704813"/>
    <w:rsid w:val="0072290D"/>
    <w:rsid w:val="00723D6D"/>
    <w:rsid w:val="00724537"/>
    <w:rsid w:val="00727B35"/>
    <w:rsid w:val="00731724"/>
    <w:rsid w:val="0073474B"/>
    <w:rsid w:val="00735511"/>
    <w:rsid w:val="00737208"/>
    <w:rsid w:val="00744DE6"/>
    <w:rsid w:val="007572B5"/>
    <w:rsid w:val="00757F27"/>
    <w:rsid w:val="00762452"/>
    <w:rsid w:val="007639E0"/>
    <w:rsid w:val="00775507"/>
    <w:rsid w:val="00781F7C"/>
    <w:rsid w:val="00783473"/>
    <w:rsid w:val="007839CB"/>
    <w:rsid w:val="0078594B"/>
    <w:rsid w:val="00795E02"/>
    <w:rsid w:val="007979D0"/>
    <w:rsid w:val="007A4E18"/>
    <w:rsid w:val="007A7B8C"/>
    <w:rsid w:val="007B6FE3"/>
    <w:rsid w:val="007C6D9E"/>
    <w:rsid w:val="007D1C43"/>
    <w:rsid w:val="007D425C"/>
    <w:rsid w:val="007D6C53"/>
    <w:rsid w:val="007E1564"/>
    <w:rsid w:val="007E1E87"/>
    <w:rsid w:val="007E5B3F"/>
    <w:rsid w:val="007F2257"/>
    <w:rsid w:val="0080091D"/>
    <w:rsid w:val="00804108"/>
    <w:rsid w:val="00804FC4"/>
    <w:rsid w:val="00812C11"/>
    <w:rsid w:val="00816367"/>
    <w:rsid w:val="00816694"/>
    <w:rsid w:val="00816A0B"/>
    <w:rsid w:val="00824B22"/>
    <w:rsid w:val="00827BF7"/>
    <w:rsid w:val="00830C53"/>
    <w:rsid w:val="00837FAA"/>
    <w:rsid w:val="00841F77"/>
    <w:rsid w:val="00845DC4"/>
    <w:rsid w:val="00846960"/>
    <w:rsid w:val="0085276D"/>
    <w:rsid w:val="00852E53"/>
    <w:rsid w:val="00861693"/>
    <w:rsid w:val="00863390"/>
    <w:rsid w:val="0086385C"/>
    <w:rsid w:val="00871916"/>
    <w:rsid w:val="008956DD"/>
    <w:rsid w:val="008A510E"/>
    <w:rsid w:val="008A522A"/>
    <w:rsid w:val="008B4464"/>
    <w:rsid w:val="008B750B"/>
    <w:rsid w:val="008C254F"/>
    <w:rsid w:val="008C3162"/>
    <w:rsid w:val="008D1F14"/>
    <w:rsid w:val="008E3924"/>
    <w:rsid w:val="008F13F7"/>
    <w:rsid w:val="008F5B4D"/>
    <w:rsid w:val="009000A0"/>
    <w:rsid w:val="0090075D"/>
    <w:rsid w:val="00907425"/>
    <w:rsid w:val="00923C34"/>
    <w:rsid w:val="00924152"/>
    <w:rsid w:val="0092513D"/>
    <w:rsid w:val="00927A9F"/>
    <w:rsid w:val="0093145D"/>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1D2C"/>
    <w:rsid w:val="009B4CA6"/>
    <w:rsid w:val="009B50F1"/>
    <w:rsid w:val="009B79F8"/>
    <w:rsid w:val="009C227E"/>
    <w:rsid w:val="009C254E"/>
    <w:rsid w:val="009C66D5"/>
    <w:rsid w:val="009C6E94"/>
    <w:rsid w:val="009D13FD"/>
    <w:rsid w:val="009D266A"/>
    <w:rsid w:val="009D3D83"/>
    <w:rsid w:val="009E5B79"/>
    <w:rsid w:val="009F7E07"/>
    <w:rsid w:val="00A01522"/>
    <w:rsid w:val="00A10A11"/>
    <w:rsid w:val="00A13C6A"/>
    <w:rsid w:val="00A17B09"/>
    <w:rsid w:val="00A457C6"/>
    <w:rsid w:val="00A46AD0"/>
    <w:rsid w:val="00A47063"/>
    <w:rsid w:val="00A473A8"/>
    <w:rsid w:val="00A50205"/>
    <w:rsid w:val="00A513F0"/>
    <w:rsid w:val="00A61AC8"/>
    <w:rsid w:val="00A6366F"/>
    <w:rsid w:val="00A65D4C"/>
    <w:rsid w:val="00A70512"/>
    <w:rsid w:val="00AA1F60"/>
    <w:rsid w:val="00AA40D7"/>
    <w:rsid w:val="00AB5F7D"/>
    <w:rsid w:val="00AC0C50"/>
    <w:rsid w:val="00AC6FE2"/>
    <w:rsid w:val="00AD7E95"/>
    <w:rsid w:val="00AF3925"/>
    <w:rsid w:val="00AF3A84"/>
    <w:rsid w:val="00B002E7"/>
    <w:rsid w:val="00B05EE2"/>
    <w:rsid w:val="00B1039E"/>
    <w:rsid w:val="00B1296B"/>
    <w:rsid w:val="00B2292F"/>
    <w:rsid w:val="00B4093A"/>
    <w:rsid w:val="00B43169"/>
    <w:rsid w:val="00B447A8"/>
    <w:rsid w:val="00B501A8"/>
    <w:rsid w:val="00B55AE4"/>
    <w:rsid w:val="00B56168"/>
    <w:rsid w:val="00B70B46"/>
    <w:rsid w:val="00B739B0"/>
    <w:rsid w:val="00B77499"/>
    <w:rsid w:val="00B814A3"/>
    <w:rsid w:val="00B91665"/>
    <w:rsid w:val="00B94ED0"/>
    <w:rsid w:val="00B96268"/>
    <w:rsid w:val="00B96F38"/>
    <w:rsid w:val="00BB4F33"/>
    <w:rsid w:val="00BC716B"/>
    <w:rsid w:val="00BD0E74"/>
    <w:rsid w:val="00BD502A"/>
    <w:rsid w:val="00BD5F8C"/>
    <w:rsid w:val="00BE29DD"/>
    <w:rsid w:val="00BE5017"/>
    <w:rsid w:val="00C066AF"/>
    <w:rsid w:val="00C10E06"/>
    <w:rsid w:val="00C145B8"/>
    <w:rsid w:val="00C22DEC"/>
    <w:rsid w:val="00C2438F"/>
    <w:rsid w:val="00C31AF0"/>
    <w:rsid w:val="00C32A7E"/>
    <w:rsid w:val="00C34F28"/>
    <w:rsid w:val="00C368DF"/>
    <w:rsid w:val="00C442C5"/>
    <w:rsid w:val="00C57B5C"/>
    <w:rsid w:val="00C57C7C"/>
    <w:rsid w:val="00C61049"/>
    <w:rsid w:val="00C63FFE"/>
    <w:rsid w:val="00C875D2"/>
    <w:rsid w:val="00C91EB6"/>
    <w:rsid w:val="00CA10B0"/>
    <w:rsid w:val="00CA2F8E"/>
    <w:rsid w:val="00CA3EE2"/>
    <w:rsid w:val="00CA7FD5"/>
    <w:rsid w:val="00CB3287"/>
    <w:rsid w:val="00CB33E2"/>
    <w:rsid w:val="00CB4E68"/>
    <w:rsid w:val="00CC2733"/>
    <w:rsid w:val="00CC3777"/>
    <w:rsid w:val="00CC7647"/>
    <w:rsid w:val="00CD0050"/>
    <w:rsid w:val="00CD5E01"/>
    <w:rsid w:val="00CE7481"/>
    <w:rsid w:val="00CF0A8F"/>
    <w:rsid w:val="00D048CE"/>
    <w:rsid w:val="00D10998"/>
    <w:rsid w:val="00D15CBD"/>
    <w:rsid w:val="00D221CB"/>
    <w:rsid w:val="00D23391"/>
    <w:rsid w:val="00D31805"/>
    <w:rsid w:val="00D44AC9"/>
    <w:rsid w:val="00D552B9"/>
    <w:rsid w:val="00D735B2"/>
    <w:rsid w:val="00D74021"/>
    <w:rsid w:val="00D76D01"/>
    <w:rsid w:val="00D81C6E"/>
    <w:rsid w:val="00D82292"/>
    <w:rsid w:val="00D8585E"/>
    <w:rsid w:val="00D922A9"/>
    <w:rsid w:val="00D9394A"/>
    <w:rsid w:val="00DB0CBB"/>
    <w:rsid w:val="00DB67CC"/>
    <w:rsid w:val="00DC3783"/>
    <w:rsid w:val="00DE1070"/>
    <w:rsid w:val="00DF141B"/>
    <w:rsid w:val="00E00219"/>
    <w:rsid w:val="00E0316B"/>
    <w:rsid w:val="00E25E10"/>
    <w:rsid w:val="00E26221"/>
    <w:rsid w:val="00E3689F"/>
    <w:rsid w:val="00E4267B"/>
    <w:rsid w:val="00E50B41"/>
    <w:rsid w:val="00E5219B"/>
    <w:rsid w:val="00E52D07"/>
    <w:rsid w:val="00E5518B"/>
    <w:rsid w:val="00E609FE"/>
    <w:rsid w:val="00E630BE"/>
    <w:rsid w:val="00E702AE"/>
    <w:rsid w:val="00E72B54"/>
    <w:rsid w:val="00E75920"/>
    <w:rsid w:val="00E80D96"/>
    <w:rsid w:val="00E871FA"/>
    <w:rsid w:val="00E87217"/>
    <w:rsid w:val="00E87390"/>
    <w:rsid w:val="00E936A4"/>
    <w:rsid w:val="00E954BB"/>
    <w:rsid w:val="00EA45E7"/>
    <w:rsid w:val="00EB78E3"/>
    <w:rsid w:val="00EB7BE3"/>
    <w:rsid w:val="00EC1C4B"/>
    <w:rsid w:val="00EC735A"/>
    <w:rsid w:val="00ED5F38"/>
    <w:rsid w:val="00EF27FE"/>
    <w:rsid w:val="00F00D59"/>
    <w:rsid w:val="00F05E45"/>
    <w:rsid w:val="00F07FB6"/>
    <w:rsid w:val="00F149D0"/>
    <w:rsid w:val="00F16B53"/>
    <w:rsid w:val="00F25ECD"/>
    <w:rsid w:val="00F318BE"/>
    <w:rsid w:val="00F33297"/>
    <w:rsid w:val="00F343FB"/>
    <w:rsid w:val="00F359FE"/>
    <w:rsid w:val="00F42159"/>
    <w:rsid w:val="00F4256E"/>
    <w:rsid w:val="00F42EE1"/>
    <w:rsid w:val="00F60F1F"/>
    <w:rsid w:val="00F64141"/>
    <w:rsid w:val="00F6597C"/>
    <w:rsid w:val="00F67508"/>
    <w:rsid w:val="00F71FC9"/>
    <w:rsid w:val="00F73B48"/>
    <w:rsid w:val="00F74F51"/>
    <w:rsid w:val="00F807B8"/>
    <w:rsid w:val="00F842AD"/>
    <w:rsid w:val="00F9017D"/>
    <w:rsid w:val="00F914EB"/>
    <w:rsid w:val="00F91B85"/>
    <w:rsid w:val="00F938E7"/>
    <w:rsid w:val="00F93D0C"/>
    <w:rsid w:val="00FA3B17"/>
    <w:rsid w:val="00FA5E8D"/>
    <w:rsid w:val="00FA5F3D"/>
    <w:rsid w:val="00FB399E"/>
    <w:rsid w:val="00FB7F50"/>
    <w:rsid w:val="00FC2A85"/>
    <w:rsid w:val="00FC40AF"/>
    <w:rsid w:val="00FC73B9"/>
    <w:rsid w:val="00FD0A16"/>
    <w:rsid w:val="00FD0E6D"/>
    <w:rsid w:val="00FD5497"/>
    <w:rsid w:val="00FD7A9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572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4006844">
      <w:bodyDiv w:val="1"/>
      <w:marLeft w:val="0"/>
      <w:marRight w:val="0"/>
      <w:marTop w:val="0"/>
      <w:marBottom w:val="0"/>
      <w:divBdr>
        <w:top w:val="none" w:sz="0" w:space="0" w:color="auto"/>
        <w:left w:val="none" w:sz="0" w:space="0" w:color="auto"/>
        <w:bottom w:val="none" w:sz="0" w:space="0" w:color="auto"/>
        <w:right w:val="none" w:sz="0" w:space="0" w:color="auto"/>
      </w:divBdr>
    </w:div>
    <w:div w:id="10611955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159874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526982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0634848">
      <w:bodyDiv w:val="1"/>
      <w:marLeft w:val="0"/>
      <w:marRight w:val="0"/>
      <w:marTop w:val="0"/>
      <w:marBottom w:val="0"/>
      <w:divBdr>
        <w:top w:val="none" w:sz="0" w:space="0" w:color="auto"/>
        <w:left w:val="none" w:sz="0" w:space="0" w:color="auto"/>
        <w:bottom w:val="none" w:sz="0" w:space="0" w:color="auto"/>
        <w:right w:val="none" w:sz="0" w:space="0" w:color="auto"/>
      </w:divBdr>
    </w:div>
    <w:div w:id="57385822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3672696">
      <w:bodyDiv w:val="1"/>
      <w:marLeft w:val="0"/>
      <w:marRight w:val="0"/>
      <w:marTop w:val="0"/>
      <w:marBottom w:val="0"/>
      <w:divBdr>
        <w:top w:val="none" w:sz="0" w:space="0" w:color="auto"/>
        <w:left w:val="none" w:sz="0" w:space="0" w:color="auto"/>
        <w:bottom w:val="none" w:sz="0" w:space="0" w:color="auto"/>
        <w:right w:val="none" w:sz="0" w:space="0" w:color="auto"/>
      </w:divBdr>
    </w:div>
    <w:div w:id="963583705">
      <w:bodyDiv w:val="1"/>
      <w:marLeft w:val="0"/>
      <w:marRight w:val="0"/>
      <w:marTop w:val="0"/>
      <w:marBottom w:val="0"/>
      <w:divBdr>
        <w:top w:val="none" w:sz="0" w:space="0" w:color="auto"/>
        <w:left w:val="none" w:sz="0" w:space="0" w:color="auto"/>
        <w:bottom w:val="none" w:sz="0" w:space="0" w:color="auto"/>
        <w:right w:val="none" w:sz="0" w:space="0" w:color="auto"/>
      </w:divBdr>
    </w:div>
    <w:div w:id="966281565">
      <w:bodyDiv w:val="1"/>
      <w:marLeft w:val="0"/>
      <w:marRight w:val="0"/>
      <w:marTop w:val="0"/>
      <w:marBottom w:val="0"/>
      <w:divBdr>
        <w:top w:val="none" w:sz="0" w:space="0" w:color="auto"/>
        <w:left w:val="none" w:sz="0" w:space="0" w:color="auto"/>
        <w:bottom w:val="none" w:sz="0" w:space="0" w:color="auto"/>
        <w:right w:val="none" w:sz="0" w:space="0" w:color="auto"/>
      </w:divBdr>
    </w:div>
    <w:div w:id="1047727321">
      <w:bodyDiv w:val="1"/>
      <w:marLeft w:val="0"/>
      <w:marRight w:val="0"/>
      <w:marTop w:val="0"/>
      <w:marBottom w:val="0"/>
      <w:divBdr>
        <w:top w:val="none" w:sz="0" w:space="0" w:color="auto"/>
        <w:left w:val="none" w:sz="0" w:space="0" w:color="auto"/>
        <w:bottom w:val="none" w:sz="0" w:space="0" w:color="auto"/>
        <w:right w:val="none" w:sz="0" w:space="0" w:color="auto"/>
      </w:divBdr>
    </w:div>
    <w:div w:id="10528521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0015955">
      <w:bodyDiv w:val="1"/>
      <w:marLeft w:val="0"/>
      <w:marRight w:val="0"/>
      <w:marTop w:val="0"/>
      <w:marBottom w:val="0"/>
      <w:divBdr>
        <w:top w:val="none" w:sz="0" w:space="0" w:color="auto"/>
        <w:left w:val="none" w:sz="0" w:space="0" w:color="auto"/>
        <w:bottom w:val="none" w:sz="0" w:space="0" w:color="auto"/>
        <w:right w:val="none" w:sz="0" w:space="0" w:color="auto"/>
      </w:divBdr>
    </w:div>
    <w:div w:id="12871972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54009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405567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13/25/128/&#1608;&#1580;&#1607;&#1607;" TargetMode="External"/><Relationship Id="rId3" Type="http://schemas.openxmlformats.org/officeDocument/2006/relationships/hyperlink" Target="http://lib.eshia.ir/10083/1/398/&#1583;&#1585;&#1575;&#1580;" TargetMode="External"/><Relationship Id="rId7" Type="http://schemas.openxmlformats.org/officeDocument/2006/relationships/hyperlink" Target="http://lib.eshia.ir/10013/25/350/&#1575;&#1604;&#1578;&#1602;&#1585;&#1740;&#1576;" TargetMode="External"/><Relationship Id="rId2" Type="http://schemas.openxmlformats.org/officeDocument/2006/relationships/hyperlink" Target="http://lib.eshia.ir/11005/6/101/&#1604;&#1604;&#1606;&#1587;&#1575;&#1569;" TargetMode="External"/><Relationship Id="rId1" Type="http://schemas.openxmlformats.org/officeDocument/2006/relationships/hyperlink" Target="http://lib.eshia.ir/11005/6/101/&#1604;&#1604;&#1606;&#1587;&#1575;&#1569;" TargetMode="External"/><Relationship Id="rId6" Type="http://schemas.openxmlformats.org/officeDocument/2006/relationships/hyperlink" Target="http://lib.eshia.ir/10036/5/236/&#1591;&#1604;&#1602;&#1607;&#1575;" TargetMode="External"/><Relationship Id="rId5" Type="http://schemas.openxmlformats.org/officeDocument/2006/relationships/hyperlink" Target="http://lib.eshia.ir/13009/3/126/&#1578;&#1601;&#1608;&#1740;&#1590;" TargetMode="External"/><Relationship Id="rId10" Type="http://schemas.openxmlformats.org/officeDocument/2006/relationships/hyperlink" Target="http://lib.eshia.ir/10036/5/241/&#1601;&#1575;&#1584;&#1575;" TargetMode="External"/><Relationship Id="rId4" Type="http://schemas.openxmlformats.org/officeDocument/2006/relationships/hyperlink" Target="http://lib.eshia.ir/13007/2/620/&#1606;&#1581;&#1606;" TargetMode="External"/><Relationship Id="rId9" Type="http://schemas.openxmlformats.org/officeDocument/2006/relationships/hyperlink" Target="http://lib.eshia.ir/10036/5/241/&#1602;&#1608;&#1604;&#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4738-91E3-4689-B5A4-22B1DE9E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1022</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6841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2019-12-22T07:01:00Z</cp:lastPrinted>
  <dcterms:created xsi:type="dcterms:W3CDTF">2019-12-22T07:02:00Z</dcterms:created>
  <dcterms:modified xsi:type="dcterms:W3CDTF">2019-12-25T16:56:00Z</dcterms:modified>
  <cp:contentStatus>ویرایش 2.5</cp:contentStatus>
  <cp:version>2.7</cp:version>
</cp:coreProperties>
</file>