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39" w:rsidRDefault="00021239" w:rsidP="0002123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21239" w:rsidRDefault="00021239" w:rsidP="0002123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DE2A5C">
        <w:rPr>
          <w:rStyle w:val="Emphasis"/>
          <w:rFonts w:hint="cs"/>
          <w:b/>
          <w:bCs w:val="0"/>
          <w:rtl/>
        </w:rPr>
        <w:t>‌ی</w:t>
      </w:r>
      <w:r w:rsidRPr="009C66D5">
        <w:rPr>
          <w:rStyle w:val="Emphasis"/>
          <w:rFonts w:hint="cs"/>
          <w:b/>
          <w:bCs w:val="0"/>
          <w:rtl/>
        </w:rPr>
        <w:t xml:space="preserve"> مباحث گذشته:</w:t>
      </w:r>
    </w:p>
    <w:p w:rsidR="003A6148" w:rsidRDefault="00D6323B" w:rsidP="00C90A02">
      <w:pPr>
        <w:pBdr>
          <w:bottom w:val="double" w:sz="6" w:space="1" w:color="auto"/>
        </w:pBdr>
        <w:jc w:val="both"/>
        <w:rPr>
          <w:rtl/>
        </w:rPr>
      </w:pPr>
      <w:r>
        <w:rPr>
          <w:rFonts w:hint="cs"/>
          <w:rtl/>
        </w:rPr>
        <w:t xml:space="preserve">بحث در </w:t>
      </w:r>
      <w:r w:rsidR="00C90A02">
        <w:rPr>
          <w:rFonts w:hint="cs"/>
          <w:rtl/>
        </w:rPr>
        <w:t>مساله‌ی چهارم تکمله‌ی عروه بود و به مبحث</w:t>
      </w:r>
      <w:r>
        <w:rPr>
          <w:rFonts w:hint="cs"/>
          <w:rtl/>
        </w:rPr>
        <w:t xml:space="preserve"> شک در قرشی بودن زن </w:t>
      </w:r>
      <w:r w:rsidR="00C90A02">
        <w:rPr>
          <w:rFonts w:hint="cs"/>
          <w:rtl/>
        </w:rPr>
        <w:t>رسیدیم</w:t>
      </w:r>
      <w:r>
        <w:rPr>
          <w:rFonts w:hint="cs"/>
          <w:rtl/>
        </w:rPr>
        <w:t xml:space="preserve">. </w:t>
      </w:r>
    </w:p>
    <w:p w:rsidR="001A609A" w:rsidRDefault="001A609A" w:rsidP="00645A4C">
      <w:pPr>
        <w:pBdr>
          <w:bottom w:val="double" w:sz="6" w:space="1" w:color="auto"/>
        </w:pBdr>
        <w:jc w:val="both"/>
        <w:rPr>
          <w:rtl/>
        </w:rPr>
      </w:pPr>
      <w:r>
        <w:rPr>
          <w:rFonts w:hint="cs"/>
          <w:rtl/>
        </w:rPr>
        <w:t>گفتیم همه‌ی فقها عدم قرشیت را مسلم دانسته اند، اما آیت الله والد فرموده ان</w:t>
      </w:r>
      <w:bookmarkStart w:id="0" w:name="_GoBack"/>
      <w:bookmarkEnd w:id="0"/>
      <w:r>
        <w:rPr>
          <w:rFonts w:hint="cs"/>
          <w:rtl/>
        </w:rPr>
        <w:t>د:</w:t>
      </w:r>
      <w:r w:rsidRPr="001A609A">
        <w:rPr>
          <w:rFonts w:hint="cs"/>
          <w:rtl/>
        </w:rPr>
        <w:t xml:space="preserve"> </w:t>
      </w:r>
      <w:r>
        <w:rPr>
          <w:rFonts w:hint="cs"/>
          <w:rtl/>
        </w:rPr>
        <w:t xml:space="preserve">در مورد زنی که شک داریم قرشی است یا قرشی نیست، اگر </w:t>
      </w:r>
      <w:r w:rsidR="00645A4C">
        <w:rPr>
          <w:rFonts w:hint="cs"/>
          <w:rtl/>
        </w:rPr>
        <w:t>خونی که می بیند</w:t>
      </w:r>
      <w:r>
        <w:rPr>
          <w:rFonts w:hint="cs"/>
          <w:rtl/>
        </w:rPr>
        <w:t xml:space="preserve"> مانند قبل ادامه داشته باشد و مستقیم الحیض باشد، اماره‌ی بر حیض بودن خونی است که می بیند، گر چه اثبات قرشیت نمی شود.</w:t>
      </w:r>
    </w:p>
    <w:p w:rsidR="00247D2F" w:rsidRPr="003A6148" w:rsidRDefault="00247D2F" w:rsidP="003A6148">
      <w:pPr>
        <w:pBdr>
          <w:bottom w:val="double" w:sz="6" w:space="1" w:color="auto"/>
        </w:pBdr>
      </w:pPr>
    </w:p>
    <w:p w:rsidR="008F5B4D" w:rsidRDefault="008F5B4D" w:rsidP="00D6323B">
      <w:pPr>
        <w:jc w:val="both"/>
      </w:pPr>
    </w:p>
    <w:p w:rsidR="003E6650" w:rsidRDefault="00282502" w:rsidP="00282502">
      <w:pPr>
        <w:pStyle w:val="Heading1"/>
        <w:rPr>
          <w:rtl/>
        </w:rPr>
      </w:pPr>
      <w:bookmarkStart w:id="1" w:name="_Toc27278756"/>
      <w:r>
        <w:rPr>
          <w:rFonts w:hint="cs"/>
          <w:rtl/>
        </w:rPr>
        <w:t>فتوای آیت الله والد در شک در قرشیت</w:t>
      </w:r>
      <w:bookmarkEnd w:id="1"/>
    </w:p>
    <w:p w:rsidR="00D6323B" w:rsidRDefault="00C90A02" w:rsidP="00D6323B">
      <w:pPr>
        <w:jc w:val="both"/>
        <w:rPr>
          <w:color w:val="000080"/>
          <w:rtl/>
        </w:rPr>
      </w:pPr>
      <w:r>
        <w:rPr>
          <w:rFonts w:hint="cs"/>
          <w:rtl/>
        </w:rPr>
        <w:t xml:space="preserve">در رساله‌ی آیت الله والد چنین آمده است: </w:t>
      </w:r>
      <w:r w:rsidRPr="00282502">
        <w:rPr>
          <w:rFonts w:hint="cs"/>
          <w:color w:val="000080"/>
          <w:rtl/>
        </w:rPr>
        <w:t>«زنی که شک دارد یائسه شده یا نه، باید بنا بگذارد که یائسه نشده است و زنی که بین پنجاه و شصت سالگی است و نمی داند که قرشی است یا نه، حکم کسی را دارد که هنوز از پنجاه سال نگذشته است بنابراین در مناطقی مثل ایران و عراق از آنجا که زن اطمینان ندارد که قرشیه نیست، اگر بعد از پنجاه سالگی هم خون با شرایط ببیند، حائض شمرده می شود.»</w:t>
      </w:r>
    </w:p>
    <w:p w:rsidR="00B857A2" w:rsidRPr="00282502" w:rsidRDefault="00B857A2" w:rsidP="00B857A2">
      <w:pPr>
        <w:pStyle w:val="Heading2"/>
        <w:rPr>
          <w:rtl/>
        </w:rPr>
      </w:pPr>
      <w:bookmarkStart w:id="2" w:name="_Toc27278757"/>
      <w:r>
        <w:rPr>
          <w:rFonts w:hint="cs"/>
          <w:rtl/>
        </w:rPr>
        <w:t>اشکال به فتوای آیت الله والد</w:t>
      </w:r>
      <w:bookmarkEnd w:id="2"/>
    </w:p>
    <w:p w:rsidR="00D6323B" w:rsidRDefault="0018204F" w:rsidP="00D6323B">
      <w:pPr>
        <w:jc w:val="both"/>
        <w:rPr>
          <w:rtl/>
        </w:rPr>
      </w:pPr>
      <w:r>
        <w:rPr>
          <w:rFonts w:hint="cs"/>
          <w:rtl/>
        </w:rPr>
        <w:t>روایاتی داریم که صفات و همچنین در ایام عادت بودن خون را ام</w:t>
      </w:r>
      <w:r w:rsidR="00BA3094">
        <w:rPr>
          <w:rFonts w:hint="cs"/>
          <w:rtl/>
        </w:rPr>
        <w:t>اره‌ی حیض بودن خون قرار داده اند</w:t>
      </w:r>
      <w:r>
        <w:rPr>
          <w:rFonts w:hint="cs"/>
          <w:rtl/>
        </w:rPr>
        <w:t>.</w:t>
      </w:r>
    </w:p>
    <w:p w:rsidR="0018204F" w:rsidRDefault="0018204F" w:rsidP="005F5EB5">
      <w:pPr>
        <w:jc w:val="both"/>
        <w:rPr>
          <w:rtl/>
        </w:rPr>
      </w:pPr>
      <w:r>
        <w:rPr>
          <w:rFonts w:hint="cs"/>
          <w:rtl/>
        </w:rPr>
        <w:t xml:space="preserve">اما </w:t>
      </w:r>
      <w:r w:rsidR="001E7B62">
        <w:rPr>
          <w:rFonts w:hint="cs"/>
          <w:rtl/>
        </w:rPr>
        <w:t>از طرف دیگر روای</w:t>
      </w:r>
      <w:r>
        <w:rPr>
          <w:rFonts w:hint="cs"/>
          <w:rtl/>
        </w:rPr>
        <w:t xml:space="preserve">تی داریم: </w:t>
      </w:r>
      <w:r w:rsidR="00C86517" w:rsidRPr="0033673B">
        <w:rPr>
          <w:rFonts w:hint="cs"/>
          <w:rtl/>
        </w:rPr>
        <w:t>عِدَّةٌ مِنْ أَصْحَابِنَا عَنْ أَحْمَدَ بْنِ</w:t>
      </w:r>
      <w:r w:rsidR="00C86517">
        <w:rPr>
          <w:rFonts w:hint="cs"/>
          <w:rtl/>
        </w:rPr>
        <w:t xml:space="preserve"> مُحَمَّدٍ عَنِ الْحَسَنِ بْنِ ظ</w:t>
      </w:r>
      <w:r w:rsidR="00C86517" w:rsidRPr="0033673B">
        <w:rPr>
          <w:rFonts w:hint="cs"/>
          <w:rtl/>
        </w:rPr>
        <w:t xml:space="preserve">َرِيفٍ عَنِ ابْنِ أَبِي عُمَيْرٍ عَنْ بَعْضِ أَصْحَابِنَا عَنْ أَبِي عَبْدِ اللَّهِ </w:t>
      </w:r>
      <w:r w:rsidR="00C86517" w:rsidRPr="0033673B">
        <w:rPr>
          <w:rFonts w:hint="cs"/>
          <w:rtl/>
        </w:rPr>
        <w:lastRenderedPageBreak/>
        <w:t xml:space="preserve">ع قَالَ: </w:t>
      </w:r>
      <w:r w:rsidR="00C86517" w:rsidRPr="0033673B">
        <w:rPr>
          <w:rFonts w:hint="cs"/>
          <w:color w:val="008000"/>
          <w:rtl/>
        </w:rPr>
        <w:t>إِذَا بَلَغَتِ الْمَرْأَةُ خَمْسِينَ سَنَةً لَمْ تَرَ حُمْرَةً إِلَّا أَنْ تَكُونَ امْرَأَةً مِنْ قُرَيْشٍ.</w:t>
      </w:r>
      <w:r w:rsidR="00C86517">
        <w:rPr>
          <w:rStyle w:val="FootnoteReference"/>
          <w:color w:val="008000"/>
          <w:rtl/>
        </w:rPr>
        <w:footnoteReference w:id="1"/>
      </w:r>
    </w:p>
    <w:p w:rsidR="00D6323B" w:rsidRDefault="00C86517" w:rsidP="00D6323B">
      <w:pPr>
        <w:jc w:val="both"/>
        <w:rPr>
          <w:rtl/>
        </w:rPr>
      </w:pPr>
      <w:r>
        <w:rPr>
          <w:rFonts w:hint="cs"/>
          <w:rtl/>
        </w:rPr>
        <w:t>این روایت بیان گر این است که ادله‌ی اماریت صفات و ایام عادت در مورد زن قرشی و زن غیر قرشی به ایام پس از یاس تخصیص خورده است، یعنی در ایام یائسگی ( زن غیر قرشی پس از پنجاه سال و زن قرشی پس از شصت سال) اگر زن خونی با صفات حیض ببیند یا در ایام عادت خونی ببیند، حیض نیست.</w:t>
      </w:r>
    </w:p>
    <w:p w:rsidR="00D6323B" w:rsidRDefault="00B857A2" w:rsidP="00D6323B">
      <w:pPr>
        <w:jc w:val="both"/>
        <w:rPr>
          <w:rtl/>
        </w:rPr>
      </w:pPr>
      <w:r>
        <w:rPr>
          <w:rFonts w:hint="cs"/>
          <w:rtl/>
        </w:rPr>
        <w:t>بنابراین ادله‌ی صفات به این صورت تخصیص خورده اند: «الدم الواجد للاوصاف او فی ایام العادة اذا لم تکن للیائسة فهو حیض»</w:t>
      </w:r>
    </w:p>
    <w:p w:rsidR="00D6323B" w:rsidRDefault="001E7B62" w:rsidP="00D6323B">
      <w:pPr>
        <w:jc w:val="both"/>
        <w:rPr>
          <w:rtl/>
        </w:rPr>
      </w:pPr>
      <w:r>
        <w:rPr>
          <w:rFonts w:hint="cs"/>
          <w:rtl/>
        </w:rPr>
        <w:t xml:space="preserve">حال </w:t>
      </w:r>
      <w:r w:rsidR="00B857A2">
        <w:rPr>
          <w:rFonts w:hint="cs"/>
          <w:rtl/>
        </w:rPr>
        <w:t>اگر جایی شک کنیم زنی یائسه شده یا نشده است تمسک</w:t>
      </w:r>
      <w:r w:rsidR="007863C8">
        <w:rPr>
          <w:rFonts w:hint="cs"/>
          <w:rtl/>
        </w:rPr>
        <w:t xml:space="preserve"> به ادله‌ی صفات، تمسک</w:t>
      </w:r>
      <w:r w:rsidR="00B857A2">
        <w:rPr>
          <w:rFonts w:hint="cs"/>
          <w:rtl/>
        </w:rPr>
        <w:t xml:space="preserve"> به عام در مصداق مخصص است که جائز نیست.</w:t>
      </w:r>
    </w:p>
    <w:p w:rsidR="00D6323B" w:rsidRDefault="00CB6397" w:rsidP="00CB6397">
      <w:pPr>
        <w:pStyle w:val="Heading3"/>
        <w:rPr>
          <w:rtl/>
        </w:rPr>
      </w:pPr>
      <w:bookmarkStart w:id="3" w:name="_Toc27278758"/>
      <w:r>
        <w:rPr>
          <w:rFonts w:hint="cs"/>
          <w:rtl/>
        </w:rPr>
        <w:t>پاسخ به اشکال</w:t>
      </w:r>
      <w:bookmarkEnd w:id="3"/>
    </w:p>
    <w:p w:rsidR="00CB6397" w:rsidRPr="00CB6397" w:rsidRDefault="00CB6397" w:rsidP="00242824">
      <w:pPr>
        <w:jc w:val="both"/>
        <w:rPr>
          <w:rtl/>
        </w:rPr>
      </w:pPr>
      <w:r>
        <w:rPr>
          <w:rFonts w:hint="cs"/>
          <w:rtl/>
        </w:rPr>
        <w:t>آیت الله والد اشکال را به این صورت پاسخ داده اند که مجرد دلیلی که خون پس از پنجاه سال ( در زن غیر قرشی) یا خون پس از شصت سال ( در زن قرشی) را حیض نمی داند، معنایش تخصیص ادله‌ی اماریت دم نیست.</w:t>
      </w:r>
    </w:p>
    <w:p w:rsidR="001A1EA5" w:rsidRDefault="00CB6397" w:rsidP="00242824">
      <w:pPr>
        <w:jc w:val="both"/>
        <w:rPr>
          <w:rtl/>
        </w:rPr>
      </w:pPr>
      <w:r>
        <w:rPr>
          <w:rFonts w:hint="cs"/>
          <w:rtl/>
        </w:rPr>
        <w:t xml:space="preserve">زیرا معنای ادله‌ی اماریت اوصاف </w:t>
      </w:r>
      <w:r w:rsidR="0033578E">
        <w:rPr>
          <w:rFonts w:hint="cs"/>
          <w:rtl/>
        </w:rPr>
        <w:t>این است: الدم المشکوک اذا کان</w:t>
      </w:r>
      <w:r w:rsidR="00DA3140">
        <w:rPr>
          <w:rFonts w:hint="cs"/>
          <w:rtl/>
        </w:rPr>
        <w:t xml:space="preserve"> فی ایام العادة او واجدا للاوصاف فهو حیض</w:t>
      </w:r>
      <w:r w:rsidR="0033578E">
        <w:rPr>
          <w:rFonts w:hint="cs"/>
          <w:rtl/>
        </w:rPr>
        <w:t>.</w:t>
      </w:r>
    </w:p>
    <w:p w:rsidR="00DA3140" w:rsidRDefault="00DA3140" w:rsidP="00242824">
      <w:pPr>
        <w:jc w:val="both"/>
        <w:rPr>
          <w:rtl/>
        </w:rPr>
      </w:pPr>
      <w:r>
        <w:rPr>
          <w:rFonts w:hint="cs"/>
          <w:rtl/>
        </w:rPr>
        <w:t>زن غیر قرشی پس از پنجاه سال و زن قرشی پس از شصت سال مشمول این دلیل نیست</w:t>
      </w:r>
      <w:r w:rsidR="00E038A6">
        <w:rPr>
          <w:rFonts w:hint="cs"/>
          <w:rtl/>
        </w:rPr>
        <w:t>ند، زیرا خونی که می بینند مشکوک نیست</w:t>
      </w:r>
      <w:r>
        <w:rPr>
          <w:rFonts w:hint="cs"/>
          <w:rtl/>
        </w:rPr>
        <w:t xml:space="preserve"> و شارع حکم به عدم حیض بودن این خون کرده اس</w:t>
      </w:r>
      <w:r w:rsidR="00645EB0">
        <w:rPr>
          <w:rFonts w:hint="cs"/>
          <w:rtl/>
        </w:rPr>
        <w:t>ت، پس تخصصا از این ادله خارجند.</w:t>
      </w:r>
    </w:p>
    <w:p w:rsidR="00CB6397" w:rsidRDefault="00A4077E" w:rsidP="00242824">
      <w:pPr>
        <w:jc w:val="both"/>
        <w:rPr>
          <w:rtl/>
        </w:rPr>
      </w:pPr>
      <w:r>
        <w:rPr>
          <w:rFonts w:hint="cs"/>
          <w:rtl/>
        </w:rPr>
        <w:t>پس ادله‌ی اوصاف در موارد شک تخصیص نخورده اند و اطلاقات ادله‌ی اوصاف</w:t>
      </w:r>
      <w:r w:rsidR="00242824">
        <w:rPr>
          <w:rFonts w:hint="cs"/>
          <w:rtl/>
        </w:rPr>
        <w:t xml:space="preserve"> اقتضا می کند که</w:t>
      </w:r>
      <w:r>
        <w:rPr>
          <w:rFonts w:hint="cs"/>
          <w:rtl/>
        </w:rPr>
        <w:t xml:space="preserve"> در همه‌ی موارد شک</w:t>
      </w:r>
      <w:r w:rsidR="00E038A6">
        <w:rPr>
          <w:rFonts w:hint="cs"/>
          <w:rtl/>
        </w:rPr>
        <w:t xml:space="preserve"> در حیض بودن خون</w:t>
      </w:r>
      <w:r>
        <w:rPr>
          <w:rFonts w:hint="cs"/>
          <w:rtl/>
        </w:rPr>
        <w:t xml:space="preserve"> ( که دلیل شرعی بر عدم حیضیت وارد نشده است)</w:t>
      </w:r>
      <w:r w:rsidR="00242824">
        <w:rPr>
          <w:rFonts w:hint="cs"/>
          <w:rtl/>
        </w:rPr>
        <w:t xml:space="preserve"> در صورت دارا بودن اوصاف حیض یا در زمان عادت بودن، حکم به حیض بودن خون شود.</w:t>
      </w:r>
    </w:p>
    <w:p w:rsidR="00724EB7" w:rsidRDefault="00724EB7" w:rsidP="00724EB7">
      <w:pPr>
        <w:pStyle w:val="Heading2"/>
        <w:rPr>
          <w:rtl/>
        </w:rPr>
      </w:pPr>
      <w:bookmarkStart w:id="4" w:name="_Toc27278759"/>
      <w:r>
        <w:rPr>
          <w:rFonts w:hint="cs"/>
          <w:rtl/>
        </w:rPr>
        <w:t>اشکال</w:t>
      </w:r>
      <w:bookmarkEnd w:id="4"/>
    </w:p>
    <w:p w:rsidR="00CB6397" w:rsidRDefault="00724EB7" w:rsidP="00242824">
      <w:pPr>
        <w:jc w:val="both"/>
        <w:rPr>
          <w:rtl/>
        </w:rPr>
      </w:pPr>
      <w:r>
        <w:rPr>
          <w:rFonts w:hint="cs"/>
          <w:rtl/>
        </w:rPr>
        <w:t>اصل عدم انتساب به قریش اقتضا می کند که زن مشکوک، قرشی نباشد.</w:t>
      </w:r>
    </w:p>
    <w:p w:rsidR="00CB6397" w:rsidRDefault="00724EB7" w:rsidP="00724EB7">
      <w:pPr>
        <w:pStyle w:val="Heading3"/>
        <w:rPr>
          <w:rtl/>
        </w:rPr>
      </w:pPr>
      <w:bookmarkStart w:id="5" w:name="_Toc27278760"/>
      <w:r>
        <w:rPr>
          <w:rFonts w:hint="cs"/>
          <w:rtl/>
        </w:rPr>
        <w:t>پاسخ</w:t>
      </w:r>
      <w:bookmarkEnd w:id="5"/>
    </w:p>
    <w:p w:rsidR="00CB6397" w:rsidRDefault="00724EB7" w:rsidP="00242824">
      <w:pPr>
        <w:jc w:val="both"/>
        <w:rPr>
          <w:rtl/>
        </w:rPr>
      </w:pPr>
      <w:r>
        <w:rPr>
          <w:rFonts w:hint="cs"/>
          <w:rtl/>
        </w:rPr>
        <w:t>اصل عدم انتساب به قریش همان اصل عقلایی است که شیخ انصاری و حاج آقا رضا همدانی بیان کردند.</w:t>
      </w:r>
    </w:p>
    <w:p w:rsidR="00724EB7" w:rsidRDefault="00724EB7" w:rsidP="00242824">
      <w:pPr>
        <w:jc w:val="both"/>
        <w:rPr>
          <w:rtl/>
        </w:rPr>
      </w:pPr>
      <w:r>
        <w:rPr>
          <w:rFonts w:hint="cs"/>
          <w:rtl/>
        </w:rPr>
        <w:t>این اصل به چند صورت قابل تحلیل است:</w:t>
      </w:r>
    </w:p>
    <w:p w:rsidR="00724EB7" w:rsidRPr="005B4801" w:rsidRDefault="00724EB7" w:rsidP="00620ACB">
      <w:pPr>
        <w:pStyle w:val="ListParagraph"/>
        <w:numPr>
          <w:ilvl w:val="0"/>
          <w:numId w:val="16"/>
        </w:numPr>
        <w:jc w:val="both"/>
        <w:rPr>
          <w:rFonts w:cs="B Badr"/>
        </w:rPr>
      </w:pPr>
      <w:r w:rsidRPr="005B4801">
        <w:rPr>
          <w:rFonts w:cs="B Badr" w:hint="cs"/>
          <w:rtl/>
        </w:rPr>
        <w:lastRenderedPageBreak/>
        <w:t>اصل عملی عقلایی باشد. در این صورت اماره‌ی شرعی بر این اصل عملی</w:t>
      </w:r>
      <w:r w:rsidR="00620ACB" w:rsidRPr="00620ACB">
        <w:rPr>
          <w:rFonts w:cs="B Badr" w:hint="cs"/>
          <w:rtl/>
        </w:rPr>
        <w:t xml:space="preserve"> </w:t>
      </w:r>
      <w:r w:rsidR="00620ACB" w:rsidRPr="005B4801">
        <w:rPr>
          <w:rFonts w:cs="B Badr" w:hint="cs"/>
          <w:rtl/>
        </w:rPr>
        <w:t>مقدم</w:t>
      </w:r>
      <w:r w:rsidRPr="005B4801">
        <w:rPr>
          <w:rFonts w:cs="B Badr" w:hint="cs"/>
          <w:rtl/>
        </w:rPr>
        <w:t xml:space="preserve"> است.</w:t>
      </w:r>
    </w:p>
    <w:p w:rsidR="004769D6" w:rsidRPr="005B4801" w:rsidRDefault="004769D6" w:rsidP="00724EB7">
      <w:pPr>
        <w:pStyle w:val="ListParagraph"/>
        <w:numPr>
          <w:ilvl w:val="0"/>
          <w:numId w:val="16"/>
        </w:numPr>
        <w:jc w:val="both"/>
        <w:rPr>
          <w:rFonts w:cs="B Badr"/>
        </w:rPr>
      </w:pPr>
      <w:r w:rsidRPr="005B4801">
        <w:rPr>
          <w:rFonts w:cs="B Badr" w:hint="cs"/>
          <w:rtl/>
        </w:rPr>
        <w:t>اماره‌ی عقلایی است به اعتبار این که زنان قرشی نسبت به سایر زنان کم هستند.</w:t>
      </w:r>
      <w:r w:rsidR="0006621A" w:rsidRPr="005B4801">
        <w:rPr>
          <w:rFonts w:cs="B Badr" w:hint="cs"/>
          <w:rtl/>
        </w:rPr>
        <w:t xml:space="preserve"> در این صورت این اماره‌ی عقلایی در صورتی اعتبار دارد که شارع از آن ردع نکرده باشد و حال آن</w:t>
      </w:r>
      <w:r w:rsidR="00336D4C">
        <w:rPr>
          <w:rFonts w:cs="B Badr" w:hint="cs"/>
          <w:rtl/>
        </w:rPr>
        <w:t xml:space="preserve"> </w:t>
      </w:r>
      <w:r w:rsidR="0006621A" w:rsidRPr="005B4801">
        <w:rPr>
          <w:rFonts w:cs="B Badr" w:hint="cs"/>
          <w:rtl/>
        </w:rPr>
        <w:t>که با اطلاق ادله‌ی اوصاف از آن ردع کرده است.</w:t>
      </w:r>
    </w:p>
    <w:p w:rsidR="0006621A" w:rsidRPr="005B4801" w:rsidRDefault="0006621A" w:rsidP="00626C7C">
      <w:pPr>
        <w:pStyle w:val="ListParagraph"/>
        <w:numPr>
          <w:ilvl w:val="0"/>
          <w:numId w:val="16"/>
        </w:numPr>
        <w:jc w:val="both"/>
        <w:rPr>
          <w:rFonts w:cs="B Badr"/>
          <w:rtl/>
        </w:rPr>
      </w:pPr>
      <w:r w:rsidRPr="005B4801">
        <w:rPr>
          <w:rFonts w:cs="B Badr" w:hint="cs"/>
          <w:rtl/>
        </w:rPr>
        <w:t>اصل عقلایی به مناط اماریت عدم اشتهار باشد، یعنی اشتهار به قرشیت اماره‌ی قرشیت است و عدم اشتهار به قرشیت، اماره‌ی عدم قرشیت است.</w:t>
      </w:r>
      <w:r w:rsidR="007901BE" w:rsidRPr="005B4801">
        <w:rPr>
          <w:rFonts w:cs="B Badr" w:hint="cs"/>
          <w:rtl/>
        </w:rPr>
        <w:t xml:space="preserve"> این اماره هم به خاطر ردع شارع به واسطه‌ی اطلاق ادله‌ی اوصاف حجت نیست. همچنین عدم اشتهار به قرشیت با توجه به عدم ثبت و ضبط انساب، اماره‌ی بر عدم قرشیت نیست. البته در سیادت به خاطر ثبت و ضبط آن اشتهار به سیادت اماره‌ی بر سیادت و عدم اشتهار به سیادت، دلیل بر عدم سیادت می باشد.</w:t>
      </w:r>
    </w:p>
    <w:p w:rsidR="00CB6397" w:rsidRDefault="005B4801" w:rsidP="005B4801">
      <w:pPr>
        <w:pStyle w:val="Heading1"/>
        <w:rPr>
          <w:rtl/>
        </w:rPr>
      </w:pPr>
      <w:bookmarkStart w:id="6" w:name="_Toc27278761"/>
      <w:r>
        <w:rPr>
          <w:rFonts w:hint="cs"/>
          <w:rtl/>
        </w:rPr>
        <w:t>عده‌ی زن مشکوک القرشیه</w:t>
      </w:r>
      <w:bookmarkEnd w:id="6"/>
    </w:p>
    <w:p w:rsidR="00724EB7" w:rsidRDefault="005B4801" w:rsidP="00626C7C">
      <w:pPr>
        <w:jc w:val="both"/>
        <w:rPr>
          <w:rtl/>
        </w:rPr>
      </w:pPr>
      <w:r>
        <w:rPr>
          <w:rFonts w:hint="cs"/>
          <w:rtl/>
        </w:rPr>
        <w:t>اگر شارع خونی را که زن بین پنجاه و شصت سال می بیند، حیض بداند و یائسگی این زن در پن</w:t>
      </w:r>
      <w:r w:rsidR="00336D4C">
        <w:rPr>
          <w:rFonts w:hint="cs"/>
          <w:rtl/>
        </w:rPr>
        <w:t>جاه سال نباشد، به ملازمه‌ی عرفی</w:t>
      </w:r>
      <w:r>
        <w:rPr>
          <w:rFonts w:hint="cs"/>
          <w:rtl/>
        </w:rPr>
        <w:t xml:space="preserve"> باید گفت که این زن </w:t>
      </w:r>
      <w:r w:rsidR="008C0B61">
        <w:rPr>
          <w:rFonts w:hint="cs"/>
          <w:rtl/>
        </w:rPr>
        <w:t xml:space="preserve">در شصت سالگی یائسه می شود، در نتیجه باید در سن پنجاه </w:t>
      </w:r>
      <w:r w:rsidR="00626C7C">
        <w:rPr>
          <w:rFonts w:hint="cs"/>
          <w:rtl/>
        </w:rPr>
        <w:t>تا</w:t>
      </w:r>
      <w:r w:rsidR="008C0B61">
        <w:rPr>
          <w:rFonts w:hint="cs"/>
          <w:rtl/>
        </w:rPr>
        <w:t xml:space="preserve"> شصت سال عده نگه دارد.</w:t>
      </w:r>
    </w:p>
    <w:p w:rsidR="008C0B61" w:rsidRDefault="008C0B61" w:rsidP="00F860D8">
      <w:pPr>
        <w:jc w:val="both"/>
        <w:rPr>
          <w:rtl/>
        </w:rPr>
      </w:pPr>
      <w:r>
        <w:rPr>
          <w:rFonts w:hint="cs"/>
          <w:rtl/>
        </w:rPr>
        <w:t>اما باید توجه داشت که قرشی بودن این زن ثابت نمی شود. در نتیجه اگر نذر کرده باشد که در صورت قرشی بودنش یک درهم صدقه بدهد، با دیدن خون واجد اوصاف در سن پنجاه تا شصت سال که شارع حکم به حیض بودنش کرده است</w:t>
      </w:r>
      <w:r w:rsidR="00F860D8">
        <w:rPr>
          <w:rFonts w:hint="cs"/>
          <w:rtl/>
        </w:rPr>
        <w:t>،</w:t>
      </w:r>
      <w:r w:rsidR="00F860D8" w:rsidRPr="00F860D8">
        <w:rPr>
          <w:rFonts w:hint="cs"/>
          <w:rtl/>
        </w:rPr>
        <w:t xml:space="preserve"> </w:t>
      </w:r>
      <w:r w:rsidR="00F860D8">
        <w:rPr>
          <w:rFonts w:hint="cs"/>
          <w:rtl/>
        </w:rPr>
        <w:t>موضوع این نذر محقق نمی شود</w:t>
      </w:r>
      <w:r w:rsidR="00645C07">
        <w:rPr>
          <w:rFonts w:hint="cs"/>
          <w:rtl/>
        </w:rPr>
        <w:t>.</w:t>
      </w:r>
    </w:p>
    <w:p w:rsidR="00645C07" w:rsidRDefault="00645C07" w:rsidP="002B0DA2">
      <w:pPr>
        <w:jc w:val="both"/>
        <w:rPr>
          <w:rtl/>
        </w:rPr>
      </w:pPr>
      <w:r>
        <w:rPr>
          <w:rFonts w:hint="cs"/>
          <w:rtl/>
        </w:rPr>
        <w:t>در مورد دختری هم که شک می کند نه سالش شده است یا نشده است فقها فرموده اند اگر دمی با اوصاف حیض ببیند، حکم به حیض بودن آن خون می شود و حکم</w:t>
      </w:r>
      <w:r w:rsidR="00C70382">
        <w:rPr>
          <w:rFonts w:hint="cs"/>
          <w:rtl/>
        </w:rPr>
        <w:t xml:space="preserve"> می شود که نه سالش تمام شده است</w:t>
      </w:r>
      <w:r w:rsidR="002B0DA2">
        <w:rPr>
          <w:rFonts w:hint="cs"/>
          <w:rtl/>
        </w:rPr>
        <w:t xml:space="preserve"> و بالغ شده است و همه‌ی احکام بلوغ برای او ثابت می شود.</w:t>
      </w:r>
      <w:r w:rsidR="004533F9">
        <w:rPr>
          <w:rFonts w:hint="cs"/>
          <w:rtl/>
        </w:rPr>
        <w:t xml:space="preserve"> ( زیرا عنوانی که در روایت آمده است «بلغت المحیض» می باشد).</w:t>
      </w:r>
    </w:p>
    <w:p w:rsidR="00FA3489" w:rsidRDefault="00FA3489" w:rsidP="002B0DA2">
      <w:pPr>
        <w:jc w:val="both"/>
        <w:rPr>
          <w:rtl/>
        </w:rPr>
      </w:pPr>
      <w:r>
        <w:rPr>
          <w:rFonts w:hint="cs"/>
          <w:rtl/>
        </w:rPr>
        <w:t>البته اگر علم دارد که نه سالش نشده است حتی اگر خون واجد اوصاف حیض ببیند، به حیض بودن و رسیدن به سن بلوغ حکم نمی شود.</w:t>
      </w:r>
    </w:p>
    <w:p w:rsidR="00724EB7" w:rsidRDefault="004533F9" w:rsidP="004533F9">
      <w:pPr>
        <w:pStyle w:val="Heading1"/>
        <w:rPr>
          <w:rtl/>
        </w:rPr>
      </w:pPr>
      <w:bookmarkStart w:id="7" w:name="_Toc27278762"/>
      <w:r>
        <w:rPr>
          <w:rFonts w:hint="cs"/>
          <w:rtl/>
        </w:rPr>
        <w:t>مساله‌ی پنجم تکمله‌ی عروه</w:t>
      </w:r>
      <w:bookmarkEnd w:id="7"/>
    </w:p>
    <w:p w:rsidR="004533F9" w:rsidRDefault="004533F9" w:rsidP="004533F9">
      <w:pPr>
        <w:jc w:val="both"/>
        <w:rPr>
          <w:rtl/>
        </w:rPr>
      </w:pPr>
      <w:r>
        <w:rPr>
          <w:rFonts w:hint="cs"/>
          <w:rtl/>
        </w:rPr>
        <w:t xml:space="preserve">مرحوم سید یزدی در مساله‌ی پنجم تکمله‌ی عروه می فرماید: </w:t>
      </w:r>
    </w:p>
    <w:p w:rsidR="004533F9" w:rsidRPr="004533F9" w:rsidRDefault="004533F9" w:rsidP="00A07522">
      <w:pPr>
        <w:jc w:val="both"/>
        <w:rPr>
          <w:color w:val="0000FF"/>
          <w:rtl/>
        </w:rPr>
      </w:pPr>
      <w:r w:rsidRPr="00A07522">
        <w:rPr>
          <w:rFonts w:hint="cs"/>
          <w:color w:val="0000FF"/>
          <w:rtl/>
        </w:rPr>
        <w:t>«مسألة 5: إذا ادعت أنّها بلغت حد اليأس فهل يقبل قولها</w:t>
      </w:r>
      <w:r w:rsidRPr="00A07522">
        <w:rPr>
          <w:rFonts w:hint="cs"/>
          <w:color w:val="0000FF"/>
        </w:rPr>
        <w:t>‌</w:t>
      </w:r>
      <w:r w:rsidR="00A07522">
        <w:rPr>
          <w:rFonts w:hint="cs"/>
          <w:color w:val="0000FF"/>
          <w:rtl/>
        </w:rPr>
        <w:t xml:space="preserve"> </w:t>
      </w:r>
      <w:r w:rsidRPr="004533F9">
        <w:rPr>
          <w:rFonts w:hint="cs"/>
          <w:color w:val="0000FF"/>
          <w:rtl/>
        </w:rPr>
        <w:t>لأنّ أمر العدة إلى النساء أو لا لأصالة العدم و رجوع قولها إلى الخبر عن السن فليس من الاخبار بعدم العدة وجهان بل قولان.»</w:t>
      </w:r>
      <w:r>
        <w:rPr>
          <w:rStyle w:val="FootnoteReference"/>
          <w:color w:val="0000FF"/>
          <w:rtl/>
        </w:rPr>
        <w:footnoteReference w:id="2"/>
      </w:r>
    </w:p>
    <w:p w:rsidR="004533F9" w:rsidRDefault="00392733" w:rsidP="00242824">
      <w:pPr>
        <w:jc w:val="both"/>
        <w:rPr>
          <w:rtl/>
        </w:rPr>
      </w:pPr>
      <w:r>
        <w:rPr>
          <w:rFonts w:hint="cs"/>
          <w:rtl/>
        </w:rPr>
        <w:t>مرحوم سید یزدی می فرماید: اگر زن ادعا کند که یائسه شده است، آیا این ادعا مقبول است؟</w:t>
      </w:r>
    </w:p>
    <w:p w:rsidR="00392733" w:rsidRDefault="00392733" w:rsidP="00242824">
      <w:pPr>
        <w:jc w:val="both"/>
        <w:rPr>
          <w:rtl/>
        </w:rPr>
      </w:pPr>
      <w:r>
        <w:rPr>
          <w:rFonts w:hint="cs"/>
          <w:rtl/>
        </w:rPr>
        <w:t>می فرماید: دو وجه وجود دارد:</w:t>
      </w:r>
    </w:p>
    <w:p w:rsidR="00392733" w:rsidRPr="00B84A1A" w:rsidRDefault="00392733" w:rsidP="00392733">
      <w:pPr>
        <w:pStyle w:val="ListParagraph"/>
        <w:numPr>
          <w:ilvl w:val="0"/>
          <w:numId w:val="17"/>
        </w:numPr>
        <w:jc w:val="both"/>
        <w:rPr>
          <w:rFonts w:cs="B Badr"/>
        </w:rPr>
      </w:pPr>
      <w:r w:rsidRPr="00B84A1A">
        <w:rPr>
          <w:rFonts w:cs="B Badr" w:hint="cs"/>
          <w:rtl/>
        </w:rPr>
        <w:t xml:space="preserve">قول </w:t>
      </w:r>
      <w:r w:rsidR="009828BB">
        <w:rPr>
          <w:rFonts w:cs="B Badr" w:hint="cs"/>
          <w:rtl/>
        </w:rPr>
        <w:t>زن پذیرفته می شود، زیرا عده از امور زنانه است.</w:t>
      </w:r>
    </w:p>
    <w:p w:rsidR="00392733" w:rsidRPr="00B84A1A" w:rsidRDefault="00392733" w:rsidP="00392733">
      <w:pPr>
        <w:pStyle w:val="ListParagraph"/>
        <w:numPr>
          <w:ilvl w:val="0"/>
          <w:numId w:val="17"/>
        </w:numPr>
        <w:jc w:val="both"/>
        <w:rPr>
          <w:rFonts w:cs="B Badr"/>
          <w:rtl/>
        </w:rPr>
      </w:pPr>
      <w:r w:rsidRPr="00B84A1A">
        <w:rPr>
          <w:rFonts w:cs="B Badr" w:hint="cs"/>
          <w:rtl/>
        </w:rPr>
        <w:t>قول زن پذیرفته نمی شود، زیرا قول زن در مورد یائسه بودنش در واقع إخبار از سنش می باشد که به سن یائسگی رسیده است و در إخبار از سن</w:t>
      </w:r>
      <w:r w:rsidR="00A368C8">
        <w:rPr>
          <w:rFonts w:cs="B Badr" w:hint="cs"/>
          <w:rtl/>
        </w:rPr>
        <w:t>،</w:t>
      </w:r>
      <w:r w:rsidRPr="00B84A1A">
        <w:rPr>
          <w:rFonts w:cs="B Badr" w:hint="cs"/>
          <w:rtl/>
        </w:rPr>
        <w:t xml:space="preserve"> قول زن حجت نیست</w:t>
      </w:r>
      <w:r w:rsidR="00B84A1A" w:rsidRPr="00B84A1A">
        <w:rPr>
          <w:rFonts w:cs="B Badr" w:hint="cs"/>
          <w:rtl/>
        </w:rPr>
        <w:t>.</w:t>
      </w:r>
    </w:p>
    <w:p w:rsidR="00B84A1A" w:rsidRPr="00B84A1A" w:rsidRDefault="00B84A1A" w:rsidP="00B84A1A">
      <w:pPr>
        <w:jc w:val="both"/>
      </w:pPr>
      <w:r>
        <w:rPr>
          <w:rFonts w:hint="cs"/>
          <w:rtl/>
        </w:rPr>
        <w:t xml:space="preserve">در </w:t>
      </w:r>
      <w:r w:rsidR="00DF5E41">
        <w:rPr>
          <w:rFonts w:hint="cs"/>
          <w:rtl/>
        </w:rPr>
        <w:t>روایت</w:t>
      </w:r>
      <w:r>
        <w:rPr>
          <w:rFonts w:hint="cs"/>
          <w:rtl/>
        </w:rPr>
        <w:t xml:space="preserve"> آمده است: «</w:t>
      </w:r>
      <w:r w:rsidRPr="00B84A1A">
        <w:rPr>
          <w:rFonts w:hint="cs"/>
          <w:rtl/>
        </w:rPr>
        <w:t xml:space="preserve">عَلِيُّ بْنُ إِبْرَاهِيمَ عَنْ أَبِيهِ عَنِ ابْنِ أَبِي عُمَيْرٍ عَنْ جَمِيلٍ عَنْ زُرَارَةَ عَنْ أَبِي جَعْفَرٍ ع قَالَ: </w:t>
      </w:r>
      <w:r w:rsidRPr="00B84A1A">
        <w:rPr>
          <w:rFonts w:hint="cs"/>
          <w:color w:val="008000"/>
          <w:rtl/>
        </w:rPr>
        <w:t>الْعِدَّةُ وَ الْحَيْضُ‏ لِلنِّسَاءِ إِذَا ادَّعَتْ صُدِّقَتْ.</w:t>
      </w:r>
      <w:r>
        <w:rPr>
          <w:rFonts w:hint="cs"/>
          <w:rtl/>
        </w:rPr>
        <w:t>»</w:t>
      </w:r>
      <w:r>
        <w:rPr>
          <w:rStyle w:val="FootnoteReference"/>
          <w:rtl/>
        </w:rPr>
        <w:footnoteReference w:id="3"/>
      </w:r>
    </w:p>
    <w:p w:rsidR="00B84A1A" w:rsidRDefault="00B84A1A" w:rsidP="00A368C8">
      <w:pPr>
        <w:jc w:val="both"/>
        <w:rPr>
          <w:rtl/>
        </w:rPr>
      </w:pPr>
      <w:r>
        <w:rPr>
          <w:rFonts w:hint="cs"/>
          <w:rtl/>
        </w:rPr>
        <w:t>گویا این دلیل به اموری انصراف دارد که زن در آن خصوصیتی داشته باشد، مثل حائض بودن زن. منشأ إخبار از یائسگی در واقع إخبار از سن می باشد و تشخیص سن زن از اموری نیست که به طور متعارف از امور زنانه باشد،</w:t>
      </w:r>
      <w:r w:rsidR="00F811CF">
        <w:rPr>
          <w:rFonts w:hint="cs"/>
          <w:rtl/>
        </w:rPr>
        <w:t xml:space="preserve"> در نتیجه</w:t>
      </w:r>
      <w:r>
        <w:rPr>
          <w:rFonts w:hint="cs"/>
          <w:rtl/>
        </w:rPr>
        <w:t xml:space="preserve"> ادله از </w:t>
      </w:r>
      <w:r w:rsidR="00F811CF">
        <w:rPr>
          <w:rFonts w:hint="cs"/>
          <w:rtl/>
        </w:rPr>
        <w:t>چنین</w:t>
      </w:r>
      <w:r>
        <w:rPr>
          <w:rFonts w:hint="cs"/>
          <w:rtl/>
        </w:rPr>
        <w:t xml:space="preserve"> مورد</w:t>
      </w:r>
      <w:r w:rsidR="00F811CF">
        <w:rPr>
          <w:rFonts w:hint="cs"/>
          <w:rtl/>
        </w:rPr>
        <w:t>ی</w:t>
      </w:r>
      <w:r>
        <w:rPr>
          <w:rFonts w:hint="cs"/>
          <w:rtl/>
        </w:rPr>
        <w:t xml:space="preserve"> </w:t>
      </w:r>
      <w:r w:rsidR="00A368C8">
        <w:rPr>
          <w:rFonts w:hint="cs"/>
          <w:rtl/>
        </w:rPr>
        <w:t xml:space="preserve">انصراف </w:t>
      </w:r>
      <w:r>
        <w:rPr>
          <w:rFonts w:hint="cs"/>
          <w:rtl/>
        </w:rPr>
        <w:t>دارند.</w:t>
      </w:r>
    </w:p>
    <w:p w:rsidR="00B149B3" w:rsidRDefault="00B149B3" w:rsidP="00F811CF">
      <w:pPr>
        <w:jc w:val="both"/>
        <w:rPr>
          <w:rtl/>
        </w:rPr>
      </w:pPr>
      <w:r>
        <w:rPr>
          <w:rFonts w:hint="cs"/>
          <w:rtl/>
        </w:rPr>
        <w:t>احتمالا مرحوم سید در انصراف یا عدم انصراف ادله تأمل دارد که مطلب را به صورت مردد بیان کرده است.</w:t>
      </w:r>
    </w:p>
    <w:p w:rsidR="00724EB7" w:rsidRDefault="003C14EF" w:rsidP="009853E7">
      <w:pPr>
        <w:jc w:val="both"/>
        <w:rPr>
          <w:rtl/>
        </w:rPr>
      </w:pPr>
      <w:r>
        <w:rPr>
          <w:rFonts w:hint="cs"/>
          <w:rtl/>
        </w:rPr>
        <w:t>در جلسه‌ی بعد در مورد اطلاق داشتن و انصراف</w:t>
      </w:r>
      <w:r w:rsidR="00C61535">
        <w:rPr>
          <w:rFonts w:hint="cs"/>
          <w:rtl/>
        </w:rPr>
        <w:t xml:space="preserve"> یا عدم انصراف</w:t>
      </w:r>
      <w:r>
        <w:rPr>
          <w:rFonts w:hint="cs"/>
          <w:rtl/>
        </w:rPr>
        <w:t xml:space="preserve"> روایت</w:t>
      </w:r>
      <w:r w:rsidRPr="003C14EF">
        <w:rPr>
          <w:rFonts w:hint="cs"/>
          <w:color w:val="008000"/>
          <w:rtl/>
        </w:rPr>
        <w:t xml:space="preserve"> </w:t>
      </w:r>
      <w:r>
        <w:rPr>
          <w:rFonts w:hint="cs"/>
          <w:color w:val="008000"/>
          <w:rtl/>
        </w:rPr>
        <w:t>«</w:t>
      </w:r>
      <w:r w:rsidRPr="00B84A1A">
        <w:rPr>
          <w:rFonts w:hint="cs"/>
          <w:color w:val="008000"/>
          <w:rtl/>
        </w:rPr>
        <w:t>الْعِدَّةُ وَ الْحَيْضُ‏ لِلنِّسَاءِ إِذَا ادَّعَتْ صُدِّقَتْ.</w:t>
      </w:r>
      <w:r>
        <w:rPr>
          <w:rFonts w:hint="cs"/>
          <w:rtl/>
        </w:rPr>
        <w:t>»</w:t>
      </w:r>
      <w:r>
        <w:rPr>
          <w:rStyle w:val="FootnoteReference"/>
          <w:rtl/>
        </w:rPr>
        <w:footnoteReference w:id="4"/>
      </w:r>
      <w:r>
        <w:rPr>
          <w:rFonts w:hint="cs"/>
          <w:rtl/>
        </w:rPr>
        <w:t xml:space="preserve"> بحث خواهیم کرد.</w:t>
      </w:r>
    </w:p>
    <w:p w:rsidR="00724EB7" w:rsidRPr="006162A2" w:rsidRDefault="00724EB7" w:rsidP="00242824">
      <w:pPr>
        <w:jc w:val="both"/>
        <w:rPr>
          <w:rtl/>
        </w:rPr>
      </w:pPr>
    </w:p>
    <w:sectPr w:rsidR="00724EB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610" w:rsidRDefault="00467610" w:rsidP="008B750B">
      <w:pPr>
        <w:spacing w:line="240" w:lineRule="auto"/>
      </w:pPr>
      <w:r>
        <w:separator/>
      </w:r>
    </w:p>
  </w:endnote>
  <w:endnote w:type="continuationSeparator" w:id="0">
    <w:p w:rsidR="00467610" w:rsidRDefault="0046761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21239" w:rsidRPr="00021239">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BB2F98" w:rsidP="001B6799">
          <w:pPr>
            <w:pStyle w:val="Footer"/>
            <w:bidi w:val="0"/>
            <w:rPr>
              <w:color w:val="808080" w:themeColor="background1" w:themeShade="80"/>
              <w:rtl/>
            </w:rPr>
          </w:pPr>
          <w:bookmarkStart w:id="15" w:name="BokAdres"/>
          <w:bookmarkEnd w:id="15"/>
          <w:r>
            <w:rPr>
              <w:color w:val="808080" w:themeColor="background1" w:themeShade="80"/>
            </w:rPr>
            <w:t>F1js1_13980924-038_mk3_mfeb.ir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610" w:rsidRDefault="00467610" w:rsidP="008B750B">
      <w:pPr>
        <w:spacing w:line="240" w:lineRule="auto"/>
      </w:pPr>
      <w:r>
        <w:separator/>
      </w:r>
    </w:p>
  </w:footnote>
  <w:footnote w:type="continuationSeparator" w:id="0">
    <w:p w:rsidR="00467610" w:rsidRDefault="00467610" w:rsidP="008B750B">
      <w:pPr>
        <w:spacing w:line="240" w:lineRule="auto"/>
      </w:pPr>
      <w:r>
        <w:continuationSeparator/>
      </w:r>
    </w:p>
  </w:footnote>
  <w:footnote w:id="1">
    <w:p w:rsidR="00C86517" w:rsidRPr="001E3E2B" w:rsidRDefault="00C86517" w:rsidP="00C86517">
      <w:pPr>
        <w:pStyle w:val="FootnoteText"/>
      </w:pPr>
      <w:r w:rsidRPr="001E3E2B">
        <w:footnoteRef/>
      </w:r>
      <w:r w:rsidRPr="001E3E2B">
        <w:rPr>
          <w:rtl/>
        </w:rPr>
        <w:t xml:space="preserve"> </w:t>
      </w:r>
      <w:hyperlink r:id="rId1" w:history="1">
        <w:r w:rsidRPr="001E3E2B">
          <w:rPr>
            <w:rStyle w:val="Hyperlink"/>
            <w:rFonts w:hint="cs"/>
            <w:rtl/>
          </w:rPr>
          <w:t>الکافی،</w:t>
        </w:r>
        <w:r w:rsidRPr="001E3E2B">
          <w:rPr>
            <w:rStyle w:val="Hyperlink"/>
            <w:rtl/>
          </w:rPr>
          <w:t xml:space="preserve"> </w:t>
        </w:r>
        <w:r w:rsidRPr="001E3E2B">
          <w:rPr>
            <w:rStyle w:val="Hyperlink"/>
            <w:rFonts w:hint="cs"/>
            <w:rtl/>
          </w:rPr>
          <w:t>محمد</w:t>
        </w:r>
        <w:r w:rsidRPr="001E3E2B">
          <w:rPr>
            <w:rStyle w:val="Hyperlink"/>
            <w:rtl/>
          </w:rPr>
          <w:t xml:space="preserve"> </w:t>
        </w:r>
        <w:r w:rsidRPr="001E3E2B">
          <w:rPr>
            <w:rStyle w:val="Hyperlink"/>
            <w:rFonts w:hint="cs"/>
            <w:rtl/>
          </w:rPr>
          <w:t>بن</w:t>
        </w:r>
        <w:r w:rsidRPr="001E3E2B">
          <w:rPr>
            <w:rStyle w:val="Hyperlink"/>
            <w:rtl/>
          </w:rPr>
          <w:t xml:space="preserve"> </w:t>
        </w:r>
        <w:r w:rsidRPr="001E3E2B">
          <w:rPr>
            <w:rStyle w:val="Hyperlink"/>
            <w:rFonts w:hint="cs"/>
            <w:rtl/>
          </w:rPr>
          <w:t>یعقوب</w:t>
        </w:r>
        <w:r w:rsidRPr="001E3E2B">
          <w:rPr>
            <w:rStyle w:val="Hyperlink"/>
            <w:rtl/>
          </w:rPr>
          <w:t xml:space="preserve"> </w:t>
        </w:r>
        <w:r w:rsidRPr="001E3E2B">
          <w:rPr>
            <w:rStyle w:val="Hyperlink"/>
            <w:rFonts w:hint="cs"/>
            <w:rtl/>
          </w:rPr>
          <w:t>کلینی،</w:t>
        </w:r>
        <w:r w:rsidRPr="001E3E2B">
          <w:rPr>
            <w:rStyle w:val="Hyperlink"/>
            <w:rtl/>
          </w:rPr>
          <w:t xml:space="preserve"> </w:t>
        </w:r>
        <w:r w:rsidRPr="001E3E2B">
          <w:rPr>
            <w:rStyle w:val="Hyperlink"/>
            <w:rFonts w:hint="cs"/>
            <w:rtl/>
          </w:rPr>
          <w:t>ج</w:t>
        </w:r>
        <w:r w:rsidRPr="001E3E2B">
          <w:rPr>
            <w:rStyle w:val="Hyperlink"/>
            <w:rtl/>
          </w:rPr>
          <w:t>3</w:t>
        </w:r>
        <w:r w:rsidRPr="001E3E2B">
          <w:rPr>
            <w:rStyle w:val="Hyperlink"/>
            <w:rFonts w:hint="cs"/>
            <w:rtl/>
          </w:rPr>
          <w:t>،</w:t>
        </w:r>
        <w:r w:rsidRPr="001E3E2B">
          <w:rPr>
            <w:rStyle w:val="Hyperlink"/>
            <w:rtl/>
          </w:rPr>
          <w:t xml:space="preserve"> </w:t>
        </w:r>
        <w:r w:rsidRPr="001E3E2B">
          <w:rPr>
            <w:rStyle w:val="Hyperlink"/>
            <w:rFonts w:hint="cs"/>
            <w:rtl/>
          </w:rPr>
          <w:t>ص</w:t>
        </w:r>
        <w:r w:rsidRPr="001E3E2B">
          <w:rPr>
            <w:rStyle w:val="Hyperlink"/>
            <w:rtl/>
          </w:rPr>
          <w:t>107.</w:t>
        </w:r>
      </w:hyperlink>
    </w:p>
  </w:footnote>
  <w:footnote w:id="2">
    <w:p w:rsidR="004533F9" w:rsidRPr="004533F9" w:rsidRDefault="004533F9" w:rsidP="004533F9">
      <w:pPr>
        <w:pStyle w:val="FootnoteText"/>
      </w:pPr>
      <w:r w:rsidRPr="004533F9">
        <w:footnoteRef/>
      </w:r>
      <w:r w:rsidRPr="004533F9">
        <w:rPr>
          <w:rtl/>
        </w:rPr>
        <w:t xml:space="preserve"> </w:t>
      </w:r>
      <w:hyperlink r:id="rId2" w:history="1">
        <w:r w:rsidRPr="004533F9">
          <w:rPr>
            <w:rStyle w:val="Hyperlink"/>
            <w:rFonts w:hint="cs"/>
            <w:rtl/>
          </w:rPr>
          <w:t>تکملة</w:t>
        </w:r>
        <w:r w:rsidRPr="004533F9">
          <w:rPr>
            <w:rStyle w:val="Hyperlink"/>
            <w:rtl/>
          </w:rPr>
          <w:t xml:space="preserve"> </w:t>
        </w:r>
        <w:r w:rsidRPr="004533F9">
          <w:rPr>
            <w:rStyle w:val="Hyperlink"/>
            <w:rFonts w:hint="cs"/>
            <w:rtl/>
          </w:rPr>
          <w:t>العروة</w:t>
        </w:r>
        <w:r w:rsidRPr="004533F9">
          <w:rPr>
            <w:rStyle w:val="Hyperlink"/>
            <w:rtl/>
          </w:rPr>
          <w:t xml:space="preserve"> </w:t>
        </w:r>
        <w:r w:rsidRPr="004533F9">
          <w:rPr>
            <w:rStyle w:val="Hyperlink"/>
            <w:rFonts w:hint="cs"/>
            <w:rtl/>
          </w:rPr>
          <w:t>الوثقی،</w:t>
        </w:r>
        <w:r w:rsidRPr="004533F9">
          <w:rPr>
            <w:rStyle w:val="Hyperlink"/>
            <w:rtl/>
          </w:rPr>
          <w:t xml:space="preserve"> </w:t>
        </w:r>
        <w:r w:rsidRPr="004533F9">
          <w:rPr>
            <w:rStyle w:val="Hyperlink"/>
            <w:rFonts w:hint="cs"/>
            <w:rtl/>
          </w:rPr>
          <w:t>السید</w:t>
        </w:r>
        <w:r w:rsidRPr="004533F9">
          <w:rPr>
            <w:rStyle w:val="Hyperlink"/>
            <w:rtl/>
          </w:rPr>
          <w:t xml:space="preserve"> </w:t>
        </w:r>
        <w:r w:rsidRPr="004533F9">
          <w:rPr>
            <w:rStyle w:val="Hyperlink"/>
            <w:rFonts w:hint="cs"/>
            <w:rtl/>
          </w:rPr>
          <w:t>محمد</w:t>
        </w:r>
        <w:r w:rsidRPr="004533F9">
          <w:rPr>
            <w:rStyle w:val="Hyperlink"/>
            <w:rtl/>
          </w:rPr>
          <w:t xml:space="preserve"> </w:t>
        </w:r>
        <w:r w:rsidRPr="004533F9">
          <w:rPr>
            <w:rStyle w:val="Hyperlink"/>
            <w:rFonts w:hint="cs"/>
            <w:rtl/>
          </w:rPr>
          <w:t>کاظم</w:t>
        </w:r>
        <w:r w:rsidRPr="004533F9">
          <w:rPr>
            <w:rStyle w:val="Hyperlink"/>
            <w:rtl/>
          </w:rPr>
          <w:t xml:space="preserve"> </w:t>
        </w:r>
        <w:r w:rsidRPr="004533F9">
          <w:rPr>
            <w:rStyle w:val="Hyperlink"/>
            <w:rFonts w:hint="cs"/>
            <w:rtl/>
          </w:rPr>
          <w:t>الطباطبائی</w:t>
        </w:r>
        <w:r w:rsidRPr="004533F9">
          <w:rPr>
            <w:rStyle w:val="Hyperlink"/>
            <w:rtl/>
          </w:rPr>
          <w:t xml:space="preserve"> </w:t>
        </w:r>
        <w:r w:rsidRPr="004533F9">
          <w:rPr>
            <w:rStyle w:val="Hyperlink"/>
            <w:rFonts w:hint="cs"/>
            <w:rtl/>
          </w:rPr>
          <w:t>الیزدی،</w:t>
        </w:r>
        <w:r w:rsidRPr="004533F9">
          <w:rPr>
            <w:rStyle w:val="Hyperlink"/>
            <w:rtl/>
          </w:rPr>
          <w:t xml:space="preserve"> </w:t>
        </w:r>
        <w:r w:rsidRPr="004533F9">
          <w:rPr>
            <w:rStyle w:val="Hyperlink"/>
            <w:rFonts w:hint="cs"/>
            <w:rtl/>
          </w:rPr>
          <w:t>ج</w:t>
        </w:r>
        <w:r w:rsidRPr="004533F9">
          <w:rPr>
            <w:rStyle w:val="Hyperlink"/>
            <w:rtl/>
          </w:rPr>
          <w:t>1</w:t>
        </w:r>
        <w:r w:rsidRPr="004533F9">
          <w:rPr>
            <w:rStyle w:val="Hyperlink"/>
            <w:rFonts w:hint="cs"/>
            <w:rtl/>
          </w:rPr>
          <w:t>،</w:t>
        </w:r>
        <w:r w:rsidRPr="004533F9">
          <w:rPr>
            <w:rStyle w:val="Hyperlink"/>
            <w:rtl/>
          </w:rPr>
          <w:t xml:space="preserve"> </w:t>
        </w:r>
        <w:r w:rsidRPr="004533F9">
          <w:rPr>
            <w:rStyle w:val="Hyperlink"/>
            <w:rFonts w:hint="cs"/>
            <w:rtl/>
          </w:rPr>
          <w:t>ص</w:t>
        </w:r>
        <w:r w:rsidRPr="004533F9">
          <w:rPr>
            <w:rStyle w:val="Hyperlink"/>
            <w:rtl/>
          </w:rPr>
          <w:t>56.</w:t>
        </w:r>
      </w:hyperlink>
    </w:p>
  </w:footnote>
  <w:footnote w:id="3">
    <w:p w:rsidR="00B84A1A" w:rsidRPr="00B84A1A" w:rsidRDefault="00B84A1A" w:rsidP="00B84A1A">
      <w:pPr>
        <w:pStyle w:val="FootnoteText"/>
      </w:pPr>
      <w:r w:rsidRPr="00B84A1A">
        <w:footnoteRef/>
      </w:r>
      <w:r w:rsidRPr="00B84A1A">
        <w:rPr>
          <w:rtl/>
        </w:rPr>
        <w:t xml:space="preserve"> </w:t>
      </w:r>
      <w:hyperlink r:id="rId3"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4">
    <w:p w:rsidR="003C14EF" w:rsidRPr="00B84A1A" w:rsidRDefault="003C14EF" w:rsidP="003C14EF">
      <w:pPr>
        <w:pStyle w:val="FootnoteText"/>
      </w:pPr>
      <w:r w:rsidRPr="00B84A1A">
        <w:footnoteRef/>
      </w:r>
      <w:r w:rsidRPr="00B84A1A">
        <w:rPr>
          <w:rtl/>
        </w:rPr>
        <w:t xml:space="preserve"> </w:t>
      </w:r>
      <w:hyperlink r:id="rId4"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39"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BB2F98">
      <w:rPr>
        <w:b/>
        <w:bCs/>
        <w:sz w:val="20"/>
        <w:szCs w:val="24"/>
        <w:rtl/>
      </w:rPr>
      <w:t>038</w:t>
    </w:r>
    <w:r w:rsidR="001A4ED8">
      <w:rPr>
        <w:rFonts w:hint="cs"/>
        <w:b/>
        <w:bCs/>
        <w:sz w:val="20"/>
        <w:szCs w:val="24"/>
        <w:rtl/>
      </w:rPr>
      <w:tab/>
    </w:r>
  </w:p>
  <w:p w:rsidR="00021239"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BB2F9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BB2F98">
      <w:rPr>
        <w:rFonts w:hint="cs"/>
        <w:b/>
        <w:bCs/>
        <w:color w:val="632423" w:themeColor="accent2" w:themeShade="80"/>
        <w:sz w:val="20"/>
        <w:szCs w:val="24"/>
        <w:rtl/>
      </w:rPr>
      <w:t>سید</w:t>
    </w:r>
    <w:r w:rsidR="00BB2F98">
      <w:rPr>
        <w:b/>
        <w:bCs/>
        <w:color w:val="632423" w:themeColor="accent2" w:themeShade="80"/>
        <w:sz w:val="20"/>
        <w:szCs w:val="24"/>
        <w:rtl/>
      </w:rPr>
      <w:t xml:space="preserve"> </w:t>
    </w:r>
    <w:r w:rsidR="00BB2F98">
      <w:rPr>
        <w:rFonts w:hint="cs"/>
        <w:b/>
        <w:bCs/>
        <w:color w:val="632423" w:themeColor="accent2" w:themeShade="80"/>
        <w:sz w:val="20"/>
        <w:szCs w:val="24"/>
        <w:rtl/>
      </w:rPr>
      <w:t>محمد</w:t>
    </w:r>
    <w:r w:rsidR="00BB2F98">
      <w:rPr>
        <w:b/>
        <w:bCs/>
        <w:color w:val="632423" w:themeColor="accent2" w:themeShade="80"/>
        <w:sz w:val="20"/>
        <w:szCs w:val="24"/>
        <w:rtl/>
      </w:rPr>
      <w:t xml:space="preserve"> </w:t>
    </w:r>
    <w:r w:rsidR="00BB2F98">
      <w:rPr>
        <w:rFonts w:hint="cs"/>
        <w:b/>
        <w:bCs/>
        <w:color w:val="632423" w:themeColor="accent2" w:themeShade="80"/>
        <w:sz w:val="20"/>
        <w:szCs w:val="24"/>
        <w:rtl/>
      </w:rPr>
      <w:t>جواد</w:t>
    </w:r>
    <w:r w:rsidR="00BB2F98">
      <w:rPr>
        <w:b/>
        <w:bCs/>
        <w:color w:val="632423" w:themeColor="accent2" w:themeShade="80"/>
        <w:sz w:val="20"/>
        <w:szCs w:val="24"/>
        <w:rtl/>
      </w:rPr>
      <w:t xml:space="preserve"> </w:t>
    </w:r>
    <w:r w:rsidR="00BB2F9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021239" w:rsidRDefault="00935A55" w:rsidP="0002123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BB2F98">
      <w:rPr>
        <w:sz w:val="24"/>
        <w:szCs w:val="24"/>
        <w:rtl/>
      </w:rPr>
      <w:t>24 /9 /1398</w:t>
    </w:r>
  </w:p>
  <w:p w:rsidR="00021239" w:rsidRDefault="00935A55" w:rsidP="0002123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BB2F98">
      <w:rPr>
        <w:rFonts w:hint="cs"/>
        <w:color w:val="000000" w:themeColor="text1"/>
        <w:sz w:val="24"/>
        <w:szCs w:val="24"/>
        <w:rtl/>
      </w:rPr>
      <w:t>مساله</w:t>
    </w:r>
    <w:r w:rsidR="00DE2A5C">
      <w:rPr>
        <w:rFonts w:hint="cs"/>
        <w:color w:val="000000" w:themeColor="text1"/>
        <w:sz w:val="24"/>
        <w:szCs w:val="24"/>
        <w:rtl/>
      </w:rPr>
      <w:t>‌</w:t>
    </w:r>
    <w:r w:rsidR="00BB2F98">
      <w:rPr>
        <w:rFonts w:hint="cs"/>
        <w:color w:val="000000" w:themeColor="text1"/>
        <w:sz w:val="24"/>
        <w:szCs w:val="24"/>
        <w:rtl/>
      </w:rPr>
      <w:t>ی</w:t>
    </w:r>
    <w:r w:rsidR="00BB2F98">
      <w:rPr>
        <w:color w:val="000000" w:themeColor="text1"/>
        <w:sz w:val="24"/>
        <w:szCs w:val="24"/>
        <w:rtl/>
      </w:rPr>
      <w:t xml:space="preserve"> </w:t>
    </w:r>
    <w:r w:rsidR="00BB2F98">
      <w:rPr>
        <w:rFonts w:hint="cs"/>
        <w:color w:val="000000" w:themeColor="text1"/>
        <w:sz w:val="24"/>
        <w:szCs w:val="24"/>
        <w:rtl/>
      </w:rPr>
      <w:t>چهارم</w:t>
    </w:r>
    <w:r w:rsidR="00BB2F98">
      <w:rPr>
        <w:color w:val="000000" w:themeColor="text1"/>
        <w:sz w:val="24"/>
        <w:szCs w:val="24"/>
        <w:rtl/>
      </w:rPr>
      <w:t xml:space="preserve"> </w:t>
    </w:r>
    <w:r w:rsidR="00BB2F98">
      <w:rPr>
        <w:rFonts w:hint="cs"/>
        <w:color w:val="000000" w:themeColor="text1"/>
        <w:sz w:val="24"/>
        <w:szCs w:val="24"/>
        <w:rtl/>
      </w:rPr>
      <w:t>تکمله</w:t>
    </w:r>
    <w:r w:rsidR="00DE2A5C">
      <w:rPr>
        <w:rFonts w:hint="cs"/>
        <w:color w:val="000000" w:themeColor="text1"/>
        <w:sz w:val="24"/>
        <w:szCs w:val="24"/>
        <w:rtl/>
      </w:rPr>
      <w:t>‌</w:t>
    </w:r>
    <w:r w:rsidR="00BB2F98">
      <w:rPr>
        <w:rFonts w:hint="cs"/>
        <w:color w:val="000000" w:themeColor="text1"/>
        <w:sz w:val="24"/>
        <w:szCs w:val="24"/>
        <w:rtl/>
      </w:rPr>
      <w:t>ی</w:t>
    </w:r>
    <w:r w:rsidR="00BB2F98">
      <w:rPr>
        <w:color w:val="000000" w:themeColor="text1"/>
        <w:sz w:val="24"/>
        <w:szCs w:val="24"/>
        <w:rtl/>
      </w:rPr>
      <w:t xml:space="preserve"> </w:t>
    </w:r>
    <w:r w:rsidR="00BB2F98">
      <w:rPr>
        <w:rFonts w:hint="cs"/>
        <w:color w:val="000000" w:themeColor="text1"/>
        <w:sz w:val="24"/>
        <w:szCs w:val="24"/>
        <w:rtl/>
      </w:rPr>
      <w:t>عروه</w:t>
    </w:r>
  </w:p>
  <w:p w:rsidR="00021239" w:rsidRDefault="00935A55" w:rsidP="0002123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7030A0"/>
        <w:sz w:val="24"/>
        <w:szCs w:val="24"/>
        <w:rtl/>
      </w:rPr>
    </w:pP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614C8F">
      <w:rPr>
        <w:rFonts w:hint="cs"/>
        <w:sz w:val="24"/>
        <w:szCs w:val="24"/>
        <w:rtl/>
      </w:rPr>
      <w:t>مرکز فقهی امام محمد باقر علیه السلام</w:t>
    </w:r>
    <w:r w:rsidR="001B6799">
      <w:rPr>
        <w:rFonts w:hint="cs"/>
        <w:sz w:val="24"/>
        <w:szCs w:val="24"/>
        <w:rtl/>
      </w:rPr>
      <w:tab/>
    </w:r>
  </w:p>
  <w:p w:rsidR="00FA3B17" w:rsidRPr="00F16B53" w:rsidRDefault="00935A55" w:rsidP="0002123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BB2F98">
      <w:rPr>
        <w:rFonts w:hint="cs"/>
        <w:sz w:val="24"/>
        <w:szCs w:val="24"/>
        <w:rtl/>
      </w:rPr>
      <w:t>شک</w:t>
    </w:r>
    <w:r w:rsidR="00BB2F98">
      <w:rPr>
        <w:sz w:val="24"/>
        <w:szCs w:val="24"/>
        <w:rtl/>
      </w:rPr>
      <w:t xml:space="preserve"> </w:t>
    </w:r>
    <w:r w:rsidR="00BB2F98">
      <w:rPr>
        <w:rFonts w:hint="cs"/>
        <w:sz w:val="24"/>
        <w:szCs w:val="24"/>
        <w:rtl/>
      </w:rPr>
      <w:t>در</w:t>
    </w:r>
    <w:r w:rsidR="00BB2F98">
      <w:rPr>
        <w:sz w:val="24"/>
        <w:szCs w:val="24"/>
        <w:rtl/>
      </w:rPr>
      <w:t xml:space="preserve"> </w:t>
    </w:r>
    <w:r w:rsidR="00BB2F98">
      <w:rPr>
        <w:rFonts w:hint="cs"/>
        <w:sz w:val="24"/>
        <w:szCs w:val="24"/>
        <w:rtl/>
      </w:rPr>
      <w:t>قرشی</w:t>
    </w:r>
    <w:r w:rsidR="00BB2F98">
      <w:rPr>
        <w:sz w:val="24"/>
        <w:szCs w:val="24"/>
        <w:rtl/>
      </w:rPr>
      <w:t xml:space="preserve"> </w:t>
    </w:r>
    <w:r w:rsidR="00BB2F98">
      <w:rPr>
        <w:rFonts w:hint="cs"/>
        <w:sz w:val="24"/>
        <w:szCs w:val="24"/>
        <w:rtl/>
      </w:rPr>
      <w:t>بودن</w:t>
    </w:r>
    <w:r w:rsidR="00BB2F98">
      <w:rPr>
        <w:sz w:val="24"/>
        <w:szCs w:val="24"/>
        <w:rtl/>
      </w:rPr>
      <w:t xml:space="preserve"> </w:t>
    </w:r>
    <w:r w:rsidR="00BB2F98">
      <w:rPr>
        <w:rFonts w:hint="cs"/>
        <w:sz w:val="24"/>
        <w:szCs w:val="24"/>
        <w:rtl/>
      </w:rPr>
      <w:t>زن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C4649"/>
    <w:multiLevelType w:val="hybridMultilevel"/>
    <w:tmpl w:val="FE0846AA"/>
    <w:lvl w:ilvl="0" w:tplc="FCE8E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C306E"/>
    <w:multiLevelType w:val="hybridMultilevel"/>
    <w:tmpl w:val="163E86CC"/>
    <w:lvl w:ilvl="0" w:tplc="09B24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1239"/>
    <w:rsid w:val="00025777"/>
    <w:rsid w:val="00025B70"/>
    <w:rsid w:val="000353D7"/>
    <w:rsid w:val="00055496"/>
    <w:rsid w:val="00055D87"/>
    <w:rsid w:val="0006621A"/>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204F"/>
    <w:rsid w:val="001837E9"/>
    <w:rsid w:val="00187DFA"/>
    <w:rsid w:val="001A1BC1"/>
    <w:rsid w:val="001A1EA5"/>
    <w:rsid w:val="001A2574"/>
    <w:rsid w:val="001A27D7"/>
    <w:rsid w:val="001A294E"/>
    <w:rsid w:val="001A4ED8"/>
    <w:rsid w:val="001A609A"/>
    <w:rsid w:val="001B2488"/>
    <w:rsid w:val="001B6799"/>
    <w:rsid w:val="001C1362"/>
    <w:rsid w:val="001D2E9A"/>
    <w:rsid w:val="001D597F"/>
    <w:rsid w:val="001E3FD4"/>
    <w:rsid w:val="001E7B62"/>
    <w:rsid w:val="0020241A"/>
    <w:rsid w:val="00203821"/>
    <w:rsid w:val="00211632"/>
    <w:rsid w:val="0021630D"/>
    <w:rsid w:val="0024121B"/>
    <w:rsid w:val="00242824"/>
    <w:rsid w:val="00247D2F"/>
    <w:rsid w:val="00256560"/>
    <w:rsid w:val="0027605E"/>
    <w:rsid w:val="00281E00"/>
    <w:rsid w:val="00282502"/>
    <w:rsid w:val="002873D1"/>
    <w:rsid w:val="00294A52"/>
    <w:rsid w:val="002B0DA2"/>
    <w:rsid w:val="002B575F"/>
    <w:rsid w:val="002B729B"/>
    <w:rsid w:val="002C23B5"/>
    <w:rsid w:val="002C53A2"/>
    <w:rsid w:val="002D0040"/>
    <w:rsid w:val="002D2FA8"/>
    <w:rsid w:val="002E220F"/>
    <w:rsid w:val="00307311"/>
    <w:rsid w:val="0032100F"/>
    <w:rsid w:val="0033402C"/>
    <w:rsid w:val="0033578E"/>
    <w:rsid w:val="00336D4C"/>
    <w:rsid w:val="00340521"/>
    <w:rsid w:val="00345C73"/>
    <w:rsid w:val="00354A99"/>
    <w:rsid w:val="00360311"/>
    <w:rsid w:val="00361922"/>
    <w:rsid w:val="0037339B"/>
    <w:rsid w:val="00386C11"/>
    <w:rsid w:val="00392733"/>
    <w:rsid w:val="00397466"/>
    <w:rsid w:val="003A6148"/>
    <w:rsid w:val="003C14EF"/>
    <w:rsid w:val="003C33F6"/>
    <w:rsid w:val="003C3D2E"/>
    <w:rsid w:val="003C43A5"/>
    <w:rsid w:val="003E1C5C"/>
    <w:rsid w:val="003E6650"/>
    <w:rsid w:val="003F5B46"/>
    <w:rsid w:val="00401363"/>
    <w:rsid w:val="00402E47"/>
    <w:rsid w:val="00425015"/>
    <w:rsid w:val="00430994"/>
    <w:rsid w:val="00441B6D"/>
    <w:rsid w:val="004533F9"/>
    <w:rsid w:val="004556EF"/>
    <w:rsid w:val="00462B07"/>
    <w:rsid w:val="00465BD2"/>
    <w:rsid w:val="00467610"/>
    <w:rsid w:val="004715C8"/>
    <w:rsid w:val="004769D6"/>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4801"/>
    <w:rsid w:val="005B7BCA"/>
    <w:rsid w:val="005C0DAE"/>
    <w:rsid w:val="005C188E"/>
    <w:rsid w:val="005D2349"/>
    <w:rsid w:val="005E1B60"/>
    <w:rsid w:val="005E5507"/>
    <w:rsid w:val="005E607B"/>
    <w:rsid w:val="005F0A8D"/>
    <w:rsid w:val="005F5EB5"/>
    <w:rsid w:val="00601229"/>
    <w:rsid w:val="00601C22"/>
    <w:rsid w:val="00603B67"/>
    <w:rsid w:val="00614C8F"/>
    <w:rsid w:val="006162A2"/>
    <w:rsid w:val="00620ACB"/>
    <w:rsid w:val="006240DA"/>
    <w:rsid w:val="00626C7C"/>
    <w:rsid w:val="0063256E"/>
    <w:rsid w:val="00633F04"/>
    <w:rsid w:val="00635219"/>
    <w:rsid w:val="00635EC0"/>
    <w:rsid w:val="00640B58"/>
    <w:rsid w:val="00645A4C"/>
    <w:rsid w:val="00645C07"/>
    <w:rsid w:val="00645EB0"/>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4EB7"/>
    <w:rsid w:val="00731724"/>
    <w:rsid w:val="0073474B"/>
    <w:rsid w:val="00735511"/>
    <w:rsid w:val="00737208"/>
    <w:rsid w:val="00744DE6"/>
    <w:rsid w:val="00762452"/>
    <w:rsid w:val="007639E0"/>
    <w:rsid w:val="00775507"/>
    <w:rsid w:val="00783473"/>
    <w:rsid w:val="0078594B"/>
    <w:rsid w:val="007863C8"/>
    <w:rsid w:val="007901BE"/>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0B61"/>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28BB"/>
    <w:rsid w:val="009846A7"/>
    <w:rsid w:val="009853E7"/>
    <w:rsid w:val="0098794D"/>
    <w:rsid w:val="0099497B"/>
    <w:rsid w:val="009A43BA"/>
    <w:rsid w:val="009B0D05"/>
    <w:rsid w:val="009B4CA6"/>
    <w:rsid w:val="009B79F8"/>
    <w:rsid w:val="009C66D5"/>
    <w:rsid w:val="009D13FD"/>
    <w:rsid w:val="009D266A"/>
    <w:rsid w:val="009F7E07"/>
    <w:rsid w:val="00A01522"/>
    <w:rsid w:val="00A07522"/>
    <w:rsid w:val="00A10A11"/>
    <w:rsid w:val="00A13C6A"/>
    <w:rsid w:val="00A17B09"/>
    <w:rsid w:val="00A368C8"/>
    <w:rsid w:val="00A4077E"/>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49B3"/>
    <w:rsid w:val="00B2292F"/>
    <w:rsid w:val="00B43169"/>
    <w:rsid w:val="00B436B7"/>
    <w:rsid w:val="00B501A8"/>
    <w:rsid w:val="00B55AE4"/>
    <w:rsid w:val="00B70B46"/>
    <w:rsid w:val="00B739B0"/>
    <w:rsid w:val="00B814A3"/>
    <w:rsid w:val="00B84A1A"/>
    <w:rsid w:val="00B857A2"/>
    <w:rsid w:val="00B96F38"/>
    <w:rsid w:val="00BA3094"/>
    <w:rsid w:val="00BA45D9"/>
    <w:rsid w:val="00BB2F9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1535"/>
    <w:rsid w:val="00C63FFE"/>
    <w:rsid w:val="00C70382"/>
    <w:rsid w:val="00C86517"/>
    <w:rsid w:val="00C90A02"/>
    <w:rsid w:val="00C91EB6"/>
    <w:rsid w:val="00CA10B0"/>
    <w:rsid w:val="00CA2F8E"/>
    <w:rsid w:val="00CA3EE2"/>
    <w:rsid w:val="00CA7FD5"/>
    <w:rsid w:val="00CB3287"/>
    <w:rsid w:val="00CB33E2"/>
    <w:rsid w:val="00CB4E68"/>
    <w:rsid w:val="00CB6397"/>
    <w:rsid w:val="00CC2733"/>
    <w:rsid w:val="00CD0050"/>
    <w:rsid w:val="00CE7481"/>
    <w:rsid w:val="00CF0A8F"/>
    <w:rsid w:val="00D048CE"/>
    <w:rsid w:val="00D10998"/>
    <w:rsid w:val="00D15CBD"/>
    <w:rsid w:val="00D221CB"/>
    <w:rsid w:val="00D23391"/>
    <w:rsid w:val="00D31805"/>
    <w:rsid w:val="00D552B9"/>
    <w:rsid w:val="00D6323B"/>
    <w:rsid w:val="00D735B2"/>
    <w:rsid w:val="00D74021"/>
    <w:rsid w:val="00D76D01"/>
    <w:rsid w:val="00D922A9"/>
    <w:rsid w:val="00D9394A"/>
    <w:rsid w:val="00DA3140"/>
    <w:rsid w:val="00DB0CBB"/>
    <w:rsid w:val="00DB67CC"/>
    <w:rsid w:val="00DC3783"/>
    <w:rsid w:val="00DE1070"/>
    <w:rsid w:val="00DE2A5C"/>
    <w:rsid w:val="00DF5E41"/>
    <w:rsid w:val="00E00219"/>
    <w:rsid w:val="00E0316B"/>
    <w:rsid w:val="00E038A6"/>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1CF"/>
    <w:rsid w:val="00F842AD"/>
    <w:rsid w:val="00F860D8"/>
    <w:rsid w:val="00F914EB"/>
    <w:rsid w:val="00F91B85"/>
    <w:rsid w:val="00F938E7"/>
    <w:rsid w:val="00FA0A53"/>
    <w:rsid w:val="00FA3489"/>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647890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9003431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690833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714035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01/&#1604;&#1604;&#1606;&#1587;&#1575;&#1569;" TargetMode="External"/><Relationship Id="rId2" Type="http://schemas.openxmlformats.org/officeDocument/2006/relationships/hyperlink" Target="http://lib.eshia.ir/10081/1/56/&#1575;&#1583;&#1593;&#1578;" TargetMode="External"/><Relationship Id="rId1" Type="http://schemas.openxmlformats.org/officeDocument/2006/relationships/hyperlink" Target="http://lib.eshia.ir/11005/3/107/&#1591;&#1585;&#1740;&#1601;" TargetMode="External"/><Relationship Id="rId4" Type="http://schemas.openxmlformats.org/officeDocument/2006/relationships/hyperlink" Target="http://lib.eshia.ir/11005/6/101/&#1604;&#1604;&#1606;&#1587;&#1575;&#1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04C1-AB8C-4D58-8DA3-38C69110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TotalTime>
  <Pages>4</Pages>
  <Words>824</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5514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2019-12-16T03:32:00Z</cp:lastPrinted>
  <dcterms:created xsi:type="dcterms:W3CDTF">2019-12-16T03:32:00Z</dcterms:created>
  <dcterms:modified xsi:type="dcterms:W3CDTF">2019-12-25T16:40:00Z</dcterms:modified>
  <cp:contentStatus>ویرایش 2.5</cp:contentStatus>
  <cp:version>2.7</cp:version>
</cp:coreProperties>
</file>