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C2" w:rsidRDefault="001432C2" w:rsidP="001432C2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1432C2" w:rsidRDefault="001432C2" w:rsidP="001432C2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جلسه20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3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– 1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8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/09/ 1398 متن تکمله‌ی عروه/ اقوال فقها در عده/کتاب العدد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</w:t>
      </w:r>
      <w:r w:rsidR="00195E74">
        <w:rPr>
          <w:rStyle w:val="Emphasis"/>
          <w:rFonts w:hint="cs"/>
          <w:b/>
          <w:bCs w:val="0"/>
          <w:rtl/>
        </w:rPr>
        <w:t>‌ی</w:t>
      </w:r>
      <w:r w:rsidRPr="009C66D5">
        <w:rPr>
          <w:rStyle w:val="Emphasis"/>
          <w:rFonts w:hint="cs"/>
          <w:b/>
          <w:bCs w:val="0"/>
          <w:rtl/>
        </w:rPr>
        <w:t xml:space="preserve"> مباحث گذشته:</w:t>
      </w:r>
    </w:p>
    <w:p w:rsidR="00EF71FD" w:rsidRDefault="00A649B3" w:rsidP="008351CD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مرحوم آقای خویی در مورد سن یا</w:t>
      </w:r>
      <w:r w:rsidR="00EF71FD">
        <w:rPr>
          <w:rFonts w:hint="cs"/>
          <w:rtl/>
        </w:rPr>
        <w:t>ئسگی زن سه فتوای مختلف دارد.</w:t>
      </w:r>
    </w:p>
    <w:p w:rsidR="003A6148" w:rsidRDefault="00A649B3" w:rsidP="008351CD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ابتدا در مورد زن غیر قرشی فتوای به پنجاه سال داده و در مورد زن قرشی</w:t>
      </w:r>
      <w:r w:rsidR="00B96BFD">
        <w:rPr>
          <w:rFonts w:hint="cs"/>
          <w:rtl/>
        </w:rPr>
        <w:t xml:space="preserve"> در سن پنجاه تا شصت</w:t>
      </w:r>
      <w:r>
        <w:rPr>
          <w:rFonts w:hint="cs"/>
          <w:rtl/>
        </w:rPr>
        <w:t xml:space="preserve"> </w:t>
      </w:r>
      <w:r w:rsidR="00EF71FD">
        <w:rPr>
          <w:rFonts w:hint="cs"/>
          <w:rtl/>
        </w:rPr>
        <w:t>احتیاط در فتوا کرده است.</w:t>
      </w:r>
    </w:p>
    <w:p w:rsidR="00EF71FD" w:rsidRDefault="00EF71FD" w:rsidP="008351CD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سپس در مورد زن قرشی فتوای به شصت</w:t>
      </w:r>
      <w:r w:rsidR="00B339F0">
        <w:rPr>
          <w:rFonts w:hint="cs"/>
          <w:rtl/>
        </w:rPr>
        <w:t xml:space="preserve"> سال</w:t>
      </w:r>
      <w:r>
        <w:rPr>
          <w:rFonts w:hint="cs"/>
          <w:rtl/>
        </w:rPr>
        <w:t xml:space="preserve"> داده و در مورد زن غیر قرشی</w:t>
      </w:r>
      <w:r w:rsidR="00B96BFD">
        <w:rPr>
          <w:rFonts w:hint="cs"/>
          <w:rtl/>
        </w:rPr>
        <w:t xml:space="preserve"> در سن پنجاه تا شصت</w:t>
      </w:r>
      <w:r>
        <w:rPr>
          <w:rFonts w:hint="cs"/>
          <w:rtl/>
        </w:rPr>
        <w:t xml:space="preserve"> احتیاط در فتوا کرده است.</w:t>
      </w:r>
    </w:p>
    <w:p w:rsidR="00846980" w:rsidRDefault="00846980" w:rsidP="008351CD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در نظر نهایی در زن قرشی و غیر قرشی</w:t>
      </w:r>
      <w:r w:rsidR="007D17E2">
        <w:rPr>
          <w:rFonts w:hint="cs"/>
          <w:rtl/>
        </w:rPr>
        <w:t xml:space="preserve"> در سن پنجاه تا شصت</w:t>
      </w:r>
      <w:r>
        <w:rPr>
          <w:rFonts w:hint="cs"/>
          <w:rtl/>
        </w:rPr>
        <w:t xml:space="preserve"> احتیاط کرده است.</w:t>
      </w:r>
    </w:p>
    <w:p w:rsidR="00B96BFD" w:rsidRDefault="00E914B5" w:rsidP="008351CD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قاعده‌</w:t>
      </w:r>
      <w:r w:rsidR="007D17E2">
        <w:rPr>
          <w:rFonts w:hint="cs"/>
          <w:rtl/>
        </w:rPr>
        <w:t>ی اولیه اقتضا</w:t>
      </w:r>
      <w:r>
        <w:rPr>
          <w:rFonts w:hint="cs"/>
          <w:rtl/>
        </w:rPr>
        <w:t>ء</w:t>
      </w:r>
      <w:r w:rsidR="007D17E2">
        <w:rPr>
          <w:rFonts w:hint="cs"/>
          <w:rtl/>
        </w:rPr>
        <w:t xml:space="preserve"> می کند که شصت سال ملاک باشد، زیرا عمومات حیض بودن خون واجد صفات، پس از شصت سال قطعا تخصیص خورده است، در سن پنجاه تا شصت</w:t>
      </w:r>
      <w:r w:rsidR="00E81D33">
        <w:rPr>
          <w:rFonts w:hint="cs"/>
          <w:rtl/>
        </w:rPr>
        <w:t xml:space="preserve"> سال</w:t>
      </w:r>
      <w:r w:rsidR="007D17E2">
        <w:rPr>
          <w:rFonts w:hint="cs"/>
          <w:rtl/>
        </w:rPr>
        <w:t xml:space="preserve"> تخصیص آن معلوم نیست، اصل</w:t>
      </w:r>
      <w:r w:rsidR="007D1320">
        <w:rPr>
          <w:rFonts w:hint="cs"/>
          <w:rtl/>
        </w:rPr>
        <w:t>،</w:t>
      </w:r>
      <w:r w:rsidR="007D17E2">
        <w:rPr>
          <w:rFonts w:hint="cs"/>
          <w:rtl/>
        </w:rPr>
        <w:t xml:space="preserve"> عدم تخصیص</w:t>
      </w:r>
      <w:r w:rsidR="000C3FB2">
        <w:rPr>
          <w:rFonts w:hint="cs"/>
          <w:rtl/>
        </w:rPr>
        <w:t>ِ</w:t>
      </w:r>
      <w:r w:rsidR="007D17E2">
        <w:rPr>
          <w:rFonts w:hint="cs"/>
          <w:rtl/>
        </w:rPr>
        <w:t xml:space="preserve"> آن است، پس حکم می کنیم که خون واجد صفات، حیض است.</w:t>
      </w:r>
    </w:p>
    <w:p w:rsidR="00434DE0" w:rsidRDefault="00434DE0" w:rsidP="008351CD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اشکال می شود که ادله‌ی صفات نسبت به یائسه تخصیص خورده است، در نتیجه شبهه‌ی مصداقیه‌ی مخصص است که نمی توان به عام تمسک کرد.</w:t>
      </w:r>
    </w:p>
    <w:p w:rsidR="0061134A" w:rsidRDefault="0061134A" w:rsidP="008351CD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گفته شد این مورد شبهه‌ی مصداقیه ای است که ناشی از شبهه‌ی حکمیه است، زیرا نمی دانیم شارع مقدس سن</w:t>
      </w:r>
      <w:r w:rsidR="000B7B24">
        <w:rPr>
          <w:rFonts w:hint="cs"/>
          <w:rtl/>
        </w:rPr>
        <w:t xml:space="preserve"> یائسگی را چه سنی قرار داده است و در جایی که شبهه‌ی مصداقیه ناشی از شبهه‌ی حکمیه باشد، می توان به عام تمسک کرد.</w:t>
      </w:r>
    </w:p>
    <w:p w:rsidR="00247D2F" w:rsidRPr="003A6148" w:rsidRDefault="00247D2F" w:rsidP="003A6148">
      <w:pPr>
        <w:pBdr>
          <w:bottom w:val="double" w:sz="6" w:space="1" w:color="auto"/>
        </w:pBdr>
      </w:pPr>
    </w:p>
    <w:p w:rsidR="008F5B4D" w:rsidRDefault="008F5B4D" w:rsidP="003A6148"/>
    <w:p w:rsidR="003E6650" w:rsidRPr="001A27D7" w:rsidRDefault="002D4920" w:rsidP="002D4920">
      <w:pPr>
        <w:pStyle w:val="Heading1"/>
        <w:rPr>
          <w:rtl/>
        </w:rPr>
      </w:pPr>
      <w:bookmarkStart w:id="0" w:name="_Toc26758643"/>
      <w:bookmarkStart w:id="1" w:name="_Toc26759637"/>
      <w:bookmarkStart w:id="2" w:name="_Toc26836386"/>
      <w:r>
        <w:rPr>
          <w:rFonts w:hint="cs"/>
          <w:rtl/>
        </w:rPr>
        <w:t>شبهه‌ی مصداقیه</w:t>
      </w:r>
      <w:bookmarkEnd w:id="0"/>
      <w:bookmarkEnd w:id="1"/>
      <w:bookmarkEnd w:id="2"/>
    </w:p>
    <w:p w:rsidR="001A1EA5" w:rsidRDefault="002D4920" w:rsidP="00E548AF">
      <w:pPr>
        <w:jc w:val="both"/>
        <w:rPr>
          <w:rtl/>
        </w:rPr>
      </w:pPr>
      <w:r>
        <w:rPr>
          <w:rFonts w:hint="cs"/>
          <w:rtl/>
        </w:rPr>
        <w:t>مرحوم آقای روحانی در منتقی الاصول</w:t>
      </w:r>
      <w:r w:rsidR="00DF5F86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از مرحوم آقا ضیاء چنین نقل کرده </w:t>
      </w:r>
      <w:r w:rsidR="00E548AF">
        <w:rPr>
          <w:rFonts w:hint="cs"/>
          <w:rtl/>
        </w:rPr>
        <w:t>است</w:t>
      </w:r>
      <w:r>
        <w:rPr>
          <w:rFonts w:hint="cs"/>
          <w:rtl/>
        </w:rPr>
        <w:t xml:space="preserve"> که باید بین شبهه‌ی مصداقیه ای که ناشی از شبهه‌ی حکمیه </w:t>
      </w:r>
      <w:r w:rsidR="003336F2">
        <w:rPr>
          <w:rFonts w:hint="cs"/>
          <w:rtl/>
        </w:rPr>
        <w:t>است با غیر آن تفصیل قائل شد.</w:t>
      </w:r>
    </w:p>
    <w:p w:rsidR="003E4B8B" w:rsidRDefault="007E3777" w:rsidP="003336F2">
      <w:pPr>
        <w:jc w:val="both"/>
        <w:rPr>
          <w:rtl/>
        </w:rPr>
      </w:pPr>
      <w:r>
        <w:rPr>
          <w:rFonts w:hint="cs"/>
          <w:rtl/>
        </w:rPr>
        <w:t>مثلا دلیلی داریم: اقیموا الصلاة</w:t>
      </w:r>
    </w:p>
    <w:p w:rsidR="007E3777" w:rsidRDefault="007E3777" w:rsidP="003336F2">
      <w:pPr>
        <w:jc w:val="both"/>
        <w:rPr>
          <w:rtl/>
        </w:rPr>
      </w:pPr>
      <w:r>
        <w:rPr>
          <w:rFonts w:hint="cs"/>
          <w:rtl/>
        </w:rPr>
        <w:t>در دلیل دیگر چنین آمده است: لا تصلِّ فی النجس</w:t>
      </w:r>
    </w:p>
    <w:p w:rsidR="007E3777" w:rsidRDefault="007E3777" w:rsidP="003336F2">
      <w:pPr>
        <w:jc w:val="both"/>
        <w:rPr>
          <w:rtl/>
        </w:rPr>
      </w:pPr>
      <w:r>
        <w:rPr>
          <w:rFonts w:hint="cs"/>
          <w:rtl/>
        </w:rPr>
        <w:t>دلیل اول با دلیل دوم تخصیص</w:t>
      </w:r>
      <w:r w:rsidR="00B31CE0">
        <w:rPr>
          <w:rFonts w:hint="cs"/>
          <w:rtl/>
        </w:rPr>
        <w:t xml:space="preserve"> ( تقیید)</w:t>
      </w:r>
      <w:r>
        <w:rPr>
          <w:rFonts w:hint="cs"/>
          <w:rtl/>
        </w:rPr>
        <w:t xml:space="preserve"> خورده است.</w:t>
      </w:r>
    </w:p>
    <w:p w:rsidR="00381D52" w:rsidRDefault="00E548AF" w:rsidP="00E84A0F">
      <w:pPr>
        <w:jc w:val="both"/>
        <w:rPr>
          <w:rtl/>
        </w:rPr>
      </w:pPr>
      <w:r>
        <w:rPr>
          <w:rFonts w:hint="cs"/>
          <w:rtl/>
        </w:rPr>
        <w:lastRenderedPageBreak/>
        <w:t>بر اساس این مبنا</w:t>
      </w:r>
      <w:r w:rsidR="00381D52">
        <w:rPr>
          <w:rFonts w:hint="cs"/>
          <w:rtl/>
        </w:rPr>
        <w:t xml:space="preserve"> که در شبهات حکمیه اصالة الطهارة جاری نباشد، اگر حیوانی که متولد از گوسفند و خوک است و یک طرف بدنش گوسفند است و طرف دیگرش خوک است، در نتیجه نمی دانیم ملحق به گوسفند است </w:t>
      </w:r>
      <w:r w:rsidR="000547BD">
        <w:rPr>
          <w:rFonts w:hint="cs"/>
          <w:rtl/>
        </w:rPr>
        <w:t>و</w:t>
      </w:r>
      <w:r w:rsidR="00381D52">
        <w:rPr>
          <w:rFonts w:hint="cs"/>
          <w:rtl/>
        </w:rPr>
        <w:t xml:space="preserve"> حلال گوشت </w:t>
      </w:r>
      <w:r w:rsidR="000547BD">
        <w:rPr>
          <w:rFonts w:hint="cs"/>
          <w:rtl/>
        </w:rPr>
        <w:t>می باشد</w:t>
      </w:r>
      <w:r w:rsidR="00381D52">
        <w:rPr>
          <w:rFonts w:hint="cs"/>
          <w:rtl/>
        </w:rPr>
        <w:t xml:space="preserve"> یا ملحق به خوک است و حرام گوشت </w:t>
      </w:r>
      <w:r w:rsidR="000547BD">
        <w:rPr>
          <w:rFonts w:hint="cs"/>
          <w:rtl/>
        </w:rPr>
        <w:t>می باشد</w:t>
      </w:r>
      <w:r w:rsidR="00E84A0F">
        <w:rPr>
          <w:rFonts w:hint="cs"/>
          <w:rtl/>
        </w:rPr>
        <w:t xml:space="preserve">، </w:t>
      </w:r>
      <w:r w:rsidR="00381D52">
        <w:rPr>
          <w:rFonts w:hint="cs"/>
          <w:rtl/>
        </w:rPr>
        <w:t xml:space="preserve">این مورد شبهه‌ی حکمیه است و اصالة الطهارة </w:t>
      </w:r>
      <w:r w:rsidR="000547BD">
        <w:rPr>
          <w:rFonts w:hint="cs"/>
          <w:rtl/>
        </w:rPr>
        <w:t xml:space="preserve">در آن </w:t>
      </w:r>
      <w:r w:rsidR="00381D52">
        <w:rPr>
          <w:rFonts w:hint="cs"/>
          <w:rtl/>
        </w:rPr>
        <w:t>جاری نمی شود.</w:t>
      </w:r>
      <w:r w:rsidR="00F15F04">
        <w:rPr>
          <w:rFonts w:hint="cs"/>
          <w:rtl/>
        </w:rPr>
        <w:t xml:space="preserve"> حال آیا می توان در لباسی که با پوست این </w:t>
      </w:r>
      <w:r w:rsidR="00DF46F5">
        <w:rPr>
          <w:rFonts w:hint="cs"/>
          <w:rtl/>
        </w:rPr>
        <w:t>حیوان تهیه شده است، نماز خواند؟</w:t>
      </w:r>
    </w:p>
    <w:p w:rsidR="00DF46F5" w:rsidRDefault="00DF46F5" w:rsidP="003336F2">
      <w:pPr>
        <w:jc w:val="both"/>
        <w:rPr>
          <w:rtl/>
        </w:rPr>
      </w:pPr>
      <w:r>
        <w:rPr>
          <w:rFonts w:hint="cs"/>
          <w:rtl/>
        </w:rPr>
        <w:t>از کلمات آقا ضیاء چنین بر می آید که در شبهات مصداقیه ای که ناشی از شبهات حکمیه باشد، می توان به عام تمسک کرد.</w:t>
      </w:r>
    </w:p>
    <w:p w:rsidR="007215B5" w:rsidRDefault="007215B5" w:rsidP="00961F55">
      <w:pPr>
        <w:jc w:val="both"/>
        <w:rPr>
          <w:rtl/>
        </w:rPr>
      </w:pPr>
      <w:r>
        <w:rPr>
          <w:rFonts w:hint="cs"/>
          <w:rtl/>
        </w:rPr>
        <w:t xml:space="preserve">مرحوم آقای روحانی اشکال کرده </w:t>
      </w:r>
      <w:r w:rsidR="00961F55">
        <w:rPr>
          <w:rFonts w:hint="cs"/>
          <w:rtl/>
        </w:rPr>
        <w:t>است</w:t>
      </w:r>
      <w:r>
        <w:rPr>
          <w:rFonts w:hint="cs"/>
          <w:rtl/>
        </w:rPr>
        <w:t xml:space="preserve"> که در چنین مواردی هم نمی توان به عام تمسک کرد.</w:t>
      </w:r>
    </w:p>
    <w:p w:rsidR="001A27ED" w:rsidRDefault="001A27ED" w:rsidP="003336F2">
      <w:pPr>
        <w:jc w:val="both"/>
        <w:rPr>
          <w:rtl/>
        </w:rPr>
      </w:pPr>
      <w:r>
        <w:rPr>
          <w:rFonts w:hint="cs"/>
          <w:rtl/>
        </w:rPr>
        <w:t>به نظر ما هم کلام مرحوم آقای روحانی صحیح است.</w:t>
      </w:r>
      <w:r w:rsidR="00066479">
        <w:rPr>
          <w:rStyle w:val="FootnoteReference"/>
          <w:rtl/>
        </w:rPr>
        <w:footnoteReference w:id="2"/>
      </w:r>
      <w:r w:rsidR="00DF5F86">
        <w:rPr>
          <w:rFonts w:hint="cs"/>
          <w:rtl/>
        </w:rPr>
        <w:t xml:space="preserve"> یعنی بین شبهه‌ی مصداقیه ای که ناشی از شبهه‌ی حکمیه باشد و شبهه‌ی مصداقیه ای که شک در آن ناشی از امور خارجی باشد، فرقی نیست و تمسک به عام در هیچ کدام جائز نیست.</w:t>
      </w:r>
    </w:p>
    <w:p w:rsidR="008351CD" w:rsidRDefault="00563235" w:rsidP="008351CD">
      <w:pPr>
        <w:jc w:val="both"/>
        <w:rPr>
          <w:rtl/>
        </w:rPr>
      </w:pPr>
      <w:r>
        <w:rPr>
          <w:rFonts w:hint="cs"/>
          <w:rtl/>
        </w:rPr>
        <w:t>در نتیجه مطلبی که جلسه‌ی گذشته بیان شد، صحیح نیست.</w:t>
      </w:r>
    </w:p>
    <w:p w:rsidR="008351CD" w:rsidRDefault="00A7112F" w:rsidP="008351CD">
      <w:pPr>
        <w:jc w:val="both"/>
        <w:rPr>
          <w:rtl/>
        </w:rPr>
      </w:pPr>
      <w:r>
        <w:rPr>
          <w:rFonts w:hint="cs"/>
          <w:rtl/>
        </w:rPr>
        <w:t>همچنین شبهه‌ی مصداقیه قرار دادن مورد بحث ما صحیح نیست.</w:t>
      </w:r>
    </w:p>
    <w:p w:rsidR="008351CD" w:rsidRDefault="005656F1" w:rsidP="005656F1">
      <w:pPr>
        <w:jc w:val="both"/>
        <w:rPr>
          <w:rtl/>
        </w:rPr>
      </w:pPr>
      <w:r>
        <w:rPr>
          <w:rFonts w:hint="cs"/>
          <w:rtl/>
        </w:rPr>
        <w:t>دلیل عام چنین بود: «الدم الذی تراه المراة واجدا للاوصاف او فی ایام عادتها فهو حیض»</w:t>
      </w:r>
    </w:p>
    <w:p w:rsidR="008351CD" w:rsidRDefault="001A7033" w:rsidP="00DE6563">
      <w:pPr>
        <w:jc w:val="both"/>
        <w:rPr>
          <w:rtl/>
        </w:rPr>
      </w:pPr>
      <w:r>
        <w:rPr>
          <w:rFonts w:hint="cs"/>
          <w:rtl/>
        </w:rPr>
        <w:t>آن چه در جلسه‌ی گذشته گفتیم این بود که یائسه زنی است که زن های مماثل او حیض نمی بینند.</w:t>
      </w:r>
      <w:r w:rsidR="00945954">
        <w:rPr>
          <w:rFonts w:hint="cs"/>
          <w:rtl/>
        </w:rPr>
        <w:t xml:space="preserve"> تعبیر «مثلها لا تحیض» که در روایات ما آمده است، اشاره به ضابطه‌ی ثبوتی </w:t>
      </w:r>
      <w:r w:rsidR="00DE6563">
        <w:rPr>
          <w:rFonts w:hint="cs"/>
          <w:rtl/>
        </w:rPr>
        <w:t>یائسه</w:t>
      </w:r>
      <w:r w:rsidR="00945954">
        <w:rPr>
          <w:rFonts w:hint="cs"/>
          <w:rtl/>
        </w:rPr>
        <w:t xml:space="preserve"> می باشد.</w:t>
      </w:r>
    </w:p>
    <w:p w:rsidR="0089391D" w:rsidRDefault="0089391D" w:rsidP="00D96206">
      <w:pPr>
        <w:jc w:val="both"/>
        <w:rPr>
          <w:rtl/>
        </w:rPr>
      </w:pPr>
      <w:r>
        <w:rPr>
          <w:rFonts w:hint="cs"/>
          <w:rtl/>
        </w:rPr>
        <w:t xml:space="preserve">اما </w:t>
      </w:r>
      <w:r w:rsidR="00CB540B">
        <w:rPr>
          <w:rFonts w:hint="cs"/>
          <w:rtl/>
        </w:rPr>
        <w:t xml:space="preserve">اثباتا چنین نیست بلکه اثباتا </w:t>
      </w:r>
      <w:r w:rsidR="00D96206">
        <w:rPr>
          <w:rFonts w:hint="cs"/>
          <w:rtl/>
        </w:rPr>
        <w:t>مفهوم</w:t>
      </w:r>
      <w:r>
        <w:rPr>
          <w:rFonts w:hint="cs"/>
          <w:rtl/>
        </w:rPr>
        <w:t xml:space="preserve"> </w:t>
      </w:r>
      <w:r w:rsidR="00D96206">
        <w:rPr>
          <w:rFonts w:hint="cs"/>
          <w:rtl/>
        </w:rPr>
        <w:t>عرفی</w:t>
      </w:r>
      <w:r>
        <w:rPr>
          <w:rFonts w:hint="cs"/>
          <w:rtl/>
        </w:rPr>
        <w:t xml:space="preserve"> </w:t>
      </w:r>
      <w:r w:rsidR="00D96206">
        <w:rPr>
          <w:rFonts w:hint="cs"/>
          <w:rtl/>
        </w:rPr>
        <w:t>یائسه</w:t>
      </w:r>
      <w:r w:rsidR="00961F55">
        <w:rPr>
          <w:rFonts w:hint="cs"/>
          <w:rtl/>
        </w:rPr>
        <w:t>،</w:t>
      </w:r>
      <w:r>
        <w:rPr>
          <w:rFonts w:hint="cs"/>
          <w:rtl/>
        </w:rPr>
        <w:t xml:space="preserve"> زنی است که به سنی رسیده که شارع خونی را که این زن می بیند، حیض نمی داند.</w:t>
      </w:r>
    </w:p>
    <w:p w:rsidR="008351CD" w:rsidRDefault="008F52E8" w:rsidP="008F52E8">
      <w:pPr>
        <w:jc w:val="both"/>
        <w:rPr>
          <w:rtl/>
        </w:rPr>
      </w:pPr>
      <w:r>
        <w:rPr>
          <w:rFonts w:hint="cs"/>
          <w:rtl/>
        </w:rPr>
        <w:t>این مفهوم نمی تواند مقید ادله‌ی اماریت خون حیض باشد،</w:t>
      </w:r>
      <w:r w:rsidR="007047D1">
        <w:rPr>
          <w:rFonts w:hint="cs"/>
          <w:rtl/>
        </w:rPr>
        <w:t xml:space="preserve"> یعنی</w:t>
      </w:r>
      <w:r>
        <w:rPr>
          <w:rFonts w:hint="cs"/>
          <w:rtl/>
        </w:rPr>
        <w:t xml:space="preserve"> نمی توان گفت خون واجد صفات، حیض است مگر در سنی که شارع مقدس در آن سن حکم به حیض بودن آن خون نکرده است.</w:t>
      </w:r>
    </w:p>
    <w:p w:rsidR="00671886" w:rsidRDefault="00671886" w:rsidP="00671886">
      <w:pPr>
        <w:jc w:val="both"/>
        <w:rPr>
          <w:rtl/>
        </w:rPr>
      </w:pPr>
      <w:r>
        <w:rPr>
          <w:rFonts w:hint="cs"/>
          <w:rtl/>
        </w:rPr>
        <w:t xml:space="preserve">استثناء عدم شیء از شیء صحیح نیست ( هذه المراة حائض الا ان یکون الشارع </w:t>
      </w:r>
      <w:r w:rsidR="006533C3">
        <w:rPr>
          <w:rFonts w:hint="cs"/>
          <w:rtl/>
        </w:rPr>
        <w:t xml:space="preserve">قد </w:t>
      </w:r>
      <w:r>
        <w:rPr>
          <w:rFonts w:hint="cs"/>
          <w:rtl/>
        </w:rPr>
        <w:t>حکم بانها غیر حائض).</w:t>
      </w:r>
    </w:p>
    <w:p w:rsidR="00671886" w:rsidRDefault="00D26A08" w:rsidP="008634A9">
      <w:pPr>
        <w:jc w:val="both"/>
        <w:rPr>
          <w:rtl/>
        </w:rPr>
      </w:pPr>
      <w:r>
        <w:rPr>
          <w:rFonts w:hint="cs"/>
          <w:rtl/>
        </w:rPr>
        <w:t>استثناء به صورت مفهوم کلی امکان ندارد، در واقع مصداق های یائسه استثناء شده است، مثلا زن پنجاه ساله</w:t>
      </w:r>
      <w:r w:rsidR="008634A9">
        <w:rPr>
          <w:rFonts w:hint="cs"/>
          <w:rtl/>
        </w:rPr>
        <w:t>‌ی</w:t>
      </w:r>
      <w:r>
        <w:rPr>
          <w:rFonts w:hint="cs"/>
          <w:rtl/>
        </w:rPr>
        <w:t xml:space="preserve"> غیر قرشی استثناء شده است، زن شصت ساله</w:t>
      </w:r>
      <w:r w:rsidR="008634A9">
        <w:rPr>
          <w:rFonts w:hint="cs"/>
          <w:rtl/>
        </w:rPr>
        <w:t>‌ی</w:t>
      </w:r>
      <w:r>
        <w:rPr>
          <w:rFonts w:hint="cs"/>
          <w:rtl/>
        </w:rPr>
        <w:t xml:space="preserve"> قرشی استثناء شده است.</w:t>
      </w:r>
    </w:p>
    <w:p w:rsidR="008351CD" w:rsidRDefault="00D26A08" w:rsidP="008351CD">
      <w:pPr>
        <w:jc w:val="both"/>
        <w:rPr>
          <w:rtl/>
        </w:rPr>
      </w:pPr>
      <w:r>
        <w:rPr>
          <w:rFonts w:hint="cs"/>
          <w:rtl/>
        </w:rPr>
        <w:t>بنابراین در فاصله‌ی پنجاه تا شصت سال اگر شک کنیم که این زن از ادله‌ی حیض بودن خون واجد اوصاف استثناء شده است، باید به عمومات ( الدم الواجد للاوصاف حیض) تمسک کرد.</w:t>
      </w:r>
    </w:p>
    <w:p w:rsidR="007D3725" w:rsidRDefault="00F9376E" w:rsidP="008351CD">
      <w:pPr>
        <w:jc w:val="both"/>
        <w:rPr>
          <w:rtl/>
        </w:rPr>
      </w:pPr>
      <w:r>
        <w:rPr>
          <w:rFonts w:hint="cs"/>
          <w:rtl/>
        </w:rPr>
        <w:t>در نتیجه کلام مرحوم آقای خویی در فتوای دوم صحیح است.</w:t>
      </w:r>
    </w:p>
    <w:p w:rsidR="008351CD" w:rsidRDefault="00F9376E" w:rsidP="00862341">
      <w:pPr>
        <w:jc w:val="both"/>
        <w:rPr>
          <w:rtl/>
        </w:rPr>
      </w:pPr>
      <w:r>
        <w:rPr>
          <w:rFonts w:hint="cs"/>
          <w:rtl/>
        </w:rPr>
        <w:t>اما این که ایشان در فتوای نهایی در حاشیه</w:t>
      </w:r>
      <w:r w:rsidR="00A65B6C">
        <w:rPr>
          <w:rFonts w:hint="cs"/>
          <w:rtl/>
        </w:rPr>
        <w:t>‌ی</w:t>
      </w:r>
      <w:r>
        <w:rPr>
          <w:rFonts w:hint="cs"/>
          <w:rtl/>
        </w:rPr>
        <w:t xml:space="preserve"> عروه قائل به احتیاط شده است به دلیل عدم اصرارش به فتوا دادن به چیزی است که از نظر علمی به آن رسیده است</w:t>
      </w:r>
      <w:r w:rsidR="00DF05BF">
        <w:rPr>
          <w:rFonts w:hint="cs"/>
          <w:rtl/>
        </w:rPr>
        <w:t xml:space="preserve"> و</w:t>
      </w:r>
      <w:r w:rsidR="00862341">
        <w:rPr>
          <w:rFonts w:hint="cs"/>
          <w:rtl/>
        </w:rPr>
        <w:t xml:space="preserve"> در موارد زی</w:t>
      </w:r>
      <w:r w:rsidR="00DF05BF">
        <w:rPr>
          <w:rFonts w:hint="cs"/>
          <w:rtl/>
        </w:rPr>
        <w:t>ادی در مقام افتاء احتیاط می کند و</w:t>
      </w:r>
      <w:r w:rsidR="00862341">
        <w:rPr>
          <w:rFonts w:hint="cs"/>
          <w:rtl/>
        </w:rPr>
        <w:t xml:space="preserve"> در عروه هم اگر متن مطابق احتیاط باشد معمولا حاشیه نزده است.</w:t>
      </w:r>
    </w:p>
    <w:p w:rsidR="008351CD" w:rsidRDefault="002F5903" w:rsidP="00E1577E">
      <w:pPr>
        <w:pStyle w:val="Heading1"/>
        <w:rPr>
          <w:rtl/>
        </w:rPr>
      </w:pPr>
      <w:bookmarkStart w:id="3" w:name="_Toc26758644"/>
      <w:bookmarkStart w:id="4" w:name="_Toc26759638"/>
      <w:bookmarkStart w:id="5" w:name="_Toc26836387"/>
      <w:r>
        <w:rPr>
          <w:rFonts w:hint="cs"/>
          <w:rtl/>
        </w:rPr>
        <w:t xml:space="preserve">عدم کفایت انتساب به </w:t>
      </w:r>
      <w:r w:rsidR="00E1577E">
        <w:rPr>
          <w:rFonts w:hint="cs"/>
          <w:rtl/>
        </w:rPr>
        <w:t>مادر</w:t>
      </w:r>
      <w:r>
        <w:rPr>
          <w:rFonts w:hint="cs"/>
          <w:rtl/>
        </w:rPr>
        <w:t xml:space="preserve"> در قرشی بودن زن</w:t>
      </w:r>
      <w:bookmarkEnd w:id="3"/>
      <w:bookmarkEnd w:id="4"/>
      <w:bookmarkEnd w:id="5"/>
    </w:p>
    <w:p w:rsidR="00747992" w:rsidRPr="00A87521" w:rsidRDefault="00086045" w:rsidP="00A87521">
      <w:pPr>
        <w:jc w:val="both"/>
        <w:rPr>
          <w:color w:val="000080"/>
        </w:rPr>
      </w:pPr>
      <w:r>
        <w:rPr>
          <w:rFonts w:hint="cs"/>
          <w:rtl/>
        </w:rPr>
        <w:t>شیخ انصاری چنین آورده است</w:t>
      </w:r>
      <w:r w:rsidR="001B7CFF">
        <w:rPr>
          <w:rFonts w:hint="cs"/>
          <w:rtl/>
        </w:rPr>
        <w:t>: «</w:t>
      </w:r>
      <w:r w:rsidR="00B5746E" w:rsidRPr="00B5746E">
        <w:rPr>
          <w:rFonts w:ascii="Noor_Lotus" w:eastAsia="Times New Roman" w:hAnsi="Noor_Lotus" w:cs="Noor_Lotus" w:hint="cs"/>
          <w:color w:val="000000"/>
          <w:sz w:val="27"/>
          <w:szCs w:val="27"/>
          <w:rtl/>
        </w:rPr>
        <w:t xml:space="preserve"> </w:t>
      </w:r>
      <w:r w:rsidR="00B5746E" w:rsidRPr="00B5746E">
        <w:rPr>
          <w:rFonts w:hint="cs"/>
          <w:color w:val="000080"/>
          <w:rtl/>
        </w:rPr>
        <w:t>و لا عبرة بالانتساب إليها بالأُمّ على المشهور كما في الروض لأنّه المتبادر عرفاً، و لصحّة السلب عن المنتسب بالأُمّ، مع أنّ الوارد في النصّ قوله عليه السلام: «إلّا أن تكون امرأة من قريش»، و هذا أظهر من لفظ «</w:t>
      </w:r>
      <w:r w:rsidR="00A87521">
        <w:rPr>
          <w:rFonts w:hint="cs"/>
          <w:color w:val="000080"/>
          <w:rtl/>
        </w:rPr>
        <w:t>القرشي» و «القرشيّة» فيما ذكرنا</w:t>
      </w:r>
      <w:r w:rsidR="001B7CFF">
        <w:rPr>
          <w:rFonts w:hint="cs"/>
          <w:color w:val="000080"/>
          <w:rtl/>
        </w:rPr>
        <w:t>»</w:t>
      </w:r>
      <w:r w:rsidR="00A61112">
        <w:rPr>
          <w:rStyle w:val="FootnoteReference"/>
          <w:color w:val="000080"/>
          <w:rtl/>
        </w:rPr>
        <w:footnoteReference w:id="3"/>
      </w:r>
    </w:p>
    <w:p w:rsidR="00E920E5" w:rsidRDefault="001B7CFF" w:rsidP="00066A69">
      <w:pPr>
        <w:jc w:val="both"/>
        <w:rPr>
          <w:rtl/>
        </w:rPr>
      </w:pPr>
      <w:r>
        <w:rPr>
          <w:rFonts w:hint="cs"/>
          <w:rtl/>
        </w:rPr>
        <w:t>می فرماید حتی</w:t>
      </w:r>
      <w:r w:rsidR="00086045">
        <w:rPr>
          <w:rFonts w:hint="cs"/>
          <w:rtl/>
        </w:rPr>
        <w:t xml:space="preserve"> اگر بپذیریم </w:t>
      </w:r>
      <w:r w:rsidR="00066A69">
        <w:rPr>
          <w:rFonts w:hint="cs"/>
          <w:rtl/>
        </w:rPr>
        <w:t>بر منتسب به مادر هم قرشی بودن صادق است</w:t>
      </w:r>
      <w:r w:rsidR="00086045">
        <w:rPr>
          <w:rFonts w:hint="cs"/>
          <w:rtl/>
        </w:rPr>
        <w:t xml:space="preserve">، در مورد دلیل که می فرماید: «الا ان تکون امراة من قریش»، منتسب به ام، صدق </w:t>
      </w:r>
      <w:r>
        <w:rPr>
          <w:rFonts w:hint="cs"/>
          <w:rtl/>
        </w:rPr>
        <w:t>«</w:t>
      </w:r>
      <w:r w:rsidR="00086045">
        <w:rPr>
          <w:rFonts w:hint="cs"/>
          <w:rtl/>
        </w:rPr>
        <w:t>امراة من قریش</w:t>
      </w:r>
      <w:r>
        <w:rPr>
          <w:rFonts w:hint="cs"/>
          <w:rtl/>
        </w:rPr>
        <w:t>»</w:t>
      </w:r>
      <w:r w:rsidR="00086045">
        <w:rPr>
          <w:rFonts w:hint="cs"/>
          <w:rtl/>
        </w:rPr>
        <w:t xml:space="preserve"> نمی کند.</w:t>
      </w:r>
    </w:p>
    <w:p w:rsidR="00282AED" w:rsidRDefault="00282AED" w:rsidP="00086045">
      <w:pPr>
        <w:jc w:val="both"/>
        <w:rPr>
          <w:rtl/>
        </w:rPr>
      </w:pPr>
      <w:r>
        <w:rPr>
          <w:rFonts w:hint="cs"/>
          <w:rtl/>
        </w:rPr>
        <w:t xml:space="preserve">وجه فرق گذاشتن بین قرشی بودن و </w:t>
      </w:r>
      <w:r w:rsidR="001B7CFF">
        <w:rPr>
          <w:rFonts w:hint="cs"/>
          <w:rtl/>
        </w:rPr>
        <w:t>«</w:t>
      </w:r>
      <w:r>
        <w:rPr>
          <w:rFonts w:hint="cs"/>
          <w:rtl/>
        </w:rPr>
        <w:t>امراة من قریش</w:t>
      </w:r>
      <w:r w:rsidR="001B7CFF">
        <w:rPr>
          <w:rFonts w:hint="cs"/>
          <w:rtl/>
        </w:rPr>
        <w:t>»</w:t>
      </w:r>
      <w:r>
        <w:rPr>
          <w:rFonts w:hint="cs"/>
          <w:rtl/>
        </w:rPr>
        <w:t xml:space="preserve"> مشخص نیست.</w:t>
      </w:r>
    </w:p>
    <w:p w:rsidR="00812C86" w:rsidRDefault="00F821AF" w:rsidP="00086045">
      <w:pPr>
        <w:jc w:val="both"/>
        <w:rPr>
          <w:rtl/>
        </w:rPr>
      </w:pPr>
      <w:r>
        <w:rPr>
          <w:rFonts w:hint="cs"/>
          <w:rtl/>
        </w:rPr>
        <w:t>آیت الله والد در کتاب خمس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 xml:space="preserve"> مفصل به این بحث پرداخته اند.</w:t>
      </w:r>
    </w:p>
    <w:p w:rsidR="00E920E5" w:rsidRDefault="00E73226" w:rsidP="008351CD">
      <w:pPr>
        <w:jc w:val="both"/>
        <w:rPr>
          <w:rtl/>
        </w:rPr>
      </w:pPr>
      <w:r>
        <w:rPr>
          <w:rFonts w:hint="cs"/>
          <w:rtl/>
        </w:rPr>
        <w:t>نظام قبائل در آن زمان بر اساس انتساب به پدر تنظیم می شد.</w:t>
      </w:r>
      <w:r w:rsidR="002A5A77">
        <w:rPr>
          <w:rFonts w:hint="cs"/>
          <w:rtl/>
        </w:rPr>
        <w:t xml:space="preserve"> هیچ کتاب نسبی وجود ندارد که انتسابات امی در آن آمده باشد.</w:t>
      </w:r>
      <w:r w:rsidR="00BD276C">
        <w:rPr>
          <w:rFonts w:hint="cs"/>
          <w:rtl/>
        </w:rPr>
        <w:t xml:space="preserve"> در نتیجه در چنین فضایی لفظ قرشی به منسوب از جانب پدر انصراف دارد.</w:t>
      </w:r>
    </w:p>
    <w:p w:rsidR="00034C32" w:rsidRDefault="00034C32" w:rsidP="00A87521">
      <w:pPr>
        <w:jc w:val="both"/>
        <w:rPr>
          <w:rtl/>
        </w:rPr>
      </w:pPr>
      <w:r>
        <w:rPr>
          <w:rFonts w:hint="cs"/>
          <w:rtl/>
        </w:rPr>
        <w:t>با توجه به این که نسبت های امی</w:t>
      </w:r>
      <w:r w:rsidR="004B2889">
        <w:rPr>
          <w:rFonts w:hint="cs"/>
          <w:rtl/>
        </w:rPr>
        <w:t xml:space="preserve"> حفظ نمی شد، اگر احکام شارع برای منتسب به ام هم بود، شارع مقدس باید تذکر می داد که نسبت های امی را حفظ کنید. </w:t>
      </w:r>
      <w:r w:rsidR="00BB72F9">
        <w:rPr>
          <w:rFonts w:hint="cs"/>
          <w:rtl/>
        </w:rPr>
        <w:t xml:space="preserve">با توجه به این که </w:t>
      </w:r>
      <w:r w:rsidR="004B2889">
        <w:rPr>
          <w:rFonts w:hint="cs"/>
          <w:rtl/>
        </w:rPr>
        <w:t>عمل خارجی عرف</w:t>
      </w:r>
      <w:r w:rsidR="00A87521">
        <w:rPr>
          <w:rFonts w:hint="cs"/>
          <w:rtl/>
        </w:rPr>
        <w:t>،</w:t>
      </w:r>
      <w:r w:rsidR="004B2889">
        <w:rPr>
          <w:rFonts w:hint="cs"/>
          <w:rtl/>
        </w:rPr>
        <w:t xml:space="preserve"> </w:t>
      </w:r>
      <w:r w:rsidR="00A87521">
        <w:rPr>
          <w:rFonts w:hint="cs"/>
          <w:rtl/>
        </w:rPr>
        <w:t xml:space="preserve">تخطئه‌ </w:t>
      </w:r>
      <w:r w:rsidR="004B2889">
        <w:rPr>
          <w:rFonts w:hint="cs"/>
          <w:rtl/>
        </w:rPr>
        <w:t>ن</w:t>
      </w:r>
      <w:r w:rsidR="00BB72F9">
        <w:rPr>
          <w:rFonts w:hint="cs"/>
          <w:rtl/>
        </w:rPr>
        <w:t>شده است، نشان می دهد که شارع مقدس احکام را برای منتسبین به ام قرار نداده است.</w:t>
      </w:r>
    </w:p>
    <w:p w:rsidR="002F5903" w:rsidRDefault="000E5EF3" w:rsidP="000E5EF3">
      <w:pPr>
        <w:pStyle w:val="Heading1"/>
        <w:rPr>
          <w:rtl/>
        </w:rPr>
      </w:pPr>
      <w:bookmarkStart w:id="7" w:name="_Toc26758645"/>
      <w:bookmarkStart w:id="8" w:name="_Toc26759639"/>
      <w:bookmarkStart w:id="9" w:name="_Toc26836388"/>
      <w:r>
        <w:rPr>
          <w:rFonts w:hint="cs"/>
          <w:rtl/>
        </w:rPr>
        <w:t>شک در قرشی بودن زن</w:t>
      </w:r>
      <w:bookmarkEnd w:id="7"/>
      <w:bookmarkEnd w:id="8"/>
      <w:bookmarkEnd w:id="9"/>
    </w:p>
    <w:p w:rsidR="002F5903" w:rsidRDefault="000E5EF3" w:rsidP="000E5EF3">
      <w:pPr>
        <w:jc w:val="both"/>
        <w:rPr>
          <w:rtl/>
        </w:rPr>
      </w:pPr>
      <w:r>
        <w:rPr>
          <w:rFonts w:hint="cs"/>
          <w:rtl/>
        </w:rPr>
        <w:t>مرحوم حاج آقا رضا همدانی می فرماید: مسلم است در موارد شک</w:t>
      </w:r>
      <w:r w:rsidR="005C7338">
        <w:rPr>
          <w:rFonts w:hint="cs"/>
          <w:rtl/>
        </w:rPr>
        <w:t xml:space="preserve"> در قرشی بودن زن</w:t>
      </w:r>
      <w:r>
        <w:rPr>
          <w:rFonts w:hint="cs"/>
          <w:rtl/>
        </w:rPr>
        <w:t>، حکم به عدم قرشیت می شود</w:t>
      </w:r>
      <w:r w:rsidR="003E2DC5">
        <w:rPr>
          <w:rFonts w:hint="cs"/>
          <w:rtl/>
        </w:rPr>
        <w:t>.</w:t>
      </w:r>
      <w:r w:rsidR="00EA126C">
        <w:rPr>
          <w:rFonts w:hint="cs"/>
          <w:rtl/>
        </w:rPr>
        <w:t xml:space="preserve"> سپس توضیحاتی در این مورد می دهد.</w:t>
      </w:r>
    </w:p>
    <w:p w:rsidR="00EA126C" w:rsidRDefault="00EA126C" w:rsidP="000E5EF3">
      <w:pPr>
        <w:jc w:val="both"/>
        <w:rPr>
          <w:rtl/>
        </w:rPr>
      </w:pPr>
      <w:r>
        <w:rPr>
          <w:rFonts w:hint="cs"/>
          <w:rtl/>
        </w:rPr>
        <w:t>مرحوم آقای خویی به استصحاب عدم ازلی تمسک می کند.</w:t>
      </w:r>
    </w:p>
    <w:p w:rsidR="00455249" w:rsidRDefault="00455249" w:rsidP="000E5EF3">
      <w:pPr>
        <w:jc w:val="both"/>
        <w:rPr>
          <w:rtl/>
        </w:rPr>
      </w:pPr>
      <w:r>
        <w:rPr>
          <w:rFonts w:hint="cs"/>
          <w:rtl/>
        </w:rPr>
        <w:t>در دلیل آمده است که هر گاه زن به پنجاه سال رسید یائسه می شود مگر آن</w:t>
      </w:r>
      <w:r w:rsidR="00511162">
        <w:rPr>
          <w:rFonts w:hint="cs"/>
          <w:rtl/>
        </w:rPr>
        <w:t xml:space="preserve"> </w:t>
      </w:r>
      <w:r>
        <w:rPr>
          <w:rFonts w:hint="cs"/>
          <w:rtl/>
        </w:rPr>
        <w:t>که از قریش باشد.</w:t>
      </w:r>
    </w:p>
    <w:p w:rsidR="00455249" w:rsidRDefault="00455249" w:rsidP="009B62E1">
      <w:pPr>
        <w:jc w:val="both"/>
        <w:rPr>
          <w:rtl/>
        </w:rPr>
      </w:pPr>
      <w:r>
        <w:rPr>
          <w:rFonts w:hint="cs"/>
          <w:rtl/>
        </w:rPr>
        <w:t>یک عنوان وجودی</w:t>
      </w:r>
      <w:r w:rsidR="00C56823">
        <w:rPr>
          <w:rFonts w:hint="cs"/>
          <w:rtl/>
        </w:rPr>
        <w:t xml:space="preserve"> ( قرشی بودن)</w:t>
      </w:r>
      <w:r>
        <w:rPr>
          <w:rFonts w:hint="cs"/>
          <w:rtl/>
        </w:rPr>
        <w:t xml:space="preserve"> استثناء شده است.</w:t>
      </w:r>
      <w:r w:rsidR="009B62E1">
        <w:rPr>
          <w:rFonts w:hint="cs"/>
          <w:rtl/>
        </w:rPr>
        <w:t xml:space="preserve"> مستثنی منه زنی است که از قریش نباشد و این عنوان وجودی</w:t>
      </w:r>
      <w:r w:rsidR="000B2D45">
        <w:rPr>
          <w:rFonts w:hint="cs"/>
          <w:rtl/>
        </w:rPr>
        <w:t xml:space="preserve"> (قرشی بودن)</w:t>
      </w:r>
      <w:r w:rsidR="009B62E1">
        <w:rPr>
          <w:rFonts w:hint="cs"/>
          <w:rtl/>
        </w:rPr>
        <w:t xml:space="preserve"> در حق او صدق نکند.</w:t>
      </w:r>
    </w:p>
    <w:p w:rsidR="000B2D45" w:rsidRDefault="000B2D45" w:rsidP="009B62E1">
      <w:pPr>
        <w:jc w:val="both"/>
        <w:rPr>
          <w:rtl/>
        </w:rPr>
      </w:pPr>
      <w:r>
        <w:rPr>
          <w:rFonts w:hint="cs"/>
          <w:rtl/>
        </w:rPr>
        <w:t>زنی که در مورد قرشی بودنش شک داریم، قبل از تولدش عنوان قرشی بودن در مورد او صدق نمی کرد ( سالبه در سالبه به انتفاء موضوع هم صدق می کند)</w:t>
      </w:r>
      <w:r w:rsidR="004E1415">
        <w:rPr>
          <w:rFonts w:hint="cs"/>
          <w:rtl/>
        </w:rPr>
        <w:t xml:space="preserve"> و به عدم قرشیت یقین داشتیم، بعد از تولدش در مورد قرشی بودنش شک می کنیم، عدم قرشیت را استصحاب می کنیم</w:t>
      </w:r>
      <w:r w:rsidR="00DA297D">
        <w:rPr>
          <w:rFonts w:hint="cs"/>
          <w:rtl/>
        </w:rPr>
        <w:t>.</w:t>
      </w:r>
    </w:p>
    <w:p w:rsidR="00DA297D" w:rsidRDefault="00DA297D" w:rsidP="009B62E1">
      <w:pPr>
        <w:jc w:val="both"/>
        <w:rPr>
          <w:rtl/>
        </w:rPr>
      </w:pPr>
      <w:r>
        <w:rPr>
          <w:rFonts w:hint="cs"/>
          <w:rtl/>
        </w:rPr>
        <w:t xml:space="preserve">سپس می فرماید: این مطلب که در صورت شک در قرشی بودن زن، حکم به عدم قرشیت او می شود، مسلم است و اجماعی می باشد. به همین دلیل استاد ما </w:t>
      </w:r>
      <w:r w:rsidR="00132201">
        <w:rPr>
          <w:rFonts w:hint="cs"/>
          <w:rtl/>
        </w:rPr>
        <w:t xml:space="preserve">مرحوم </w:t>
      </w:r>
      <w:r>
        <w:rPr>
          <w:rFonts w:hint="cs"/>
          <w:rtl/>
        </w:rPr>
        <w:t>نائینی که استصحاب عدم ازلی را جاری نمی داند، حکم به عدم قرشیت را پذیرفته است.</w:t>
      </w:r>
    </w:p>
    <w:p w:rsidR="00DA297D" w:rsidRDefault="00DA297D" w:rsidP="009B62E1">
      <w:pPr>
        <w:jc w:val="both"/>
        <w:rPr>
          <w:rtl/>
        </w:rPr>
      </w:pPr>
      <w:r>
        <w:rPr>
          <w:rFonts w:hint="cs"/>
          <w:rtl/>
        </w:rPr>
        <w:t>سپس اشکال می کند که اگر قائل به اسصحاب عدم ازلی نباشیم نمی توانیم حکم به عدم قرشیت کنیم زیرا ممکن است اجماع مدرکی باشد و بعضی به خاطر همین استصحاب عدم ازلی قائل به عدم ق</w:t>
      </w:r>
      <w:r w:rsidR="002E5CC1">
        <w:rPr>
          <w:rFonts w:hint="cs"/>
          <w:rtl/>
        </w:rPr>
        <w:t>رشیت شده باشند، در این صورت اجماع حجت نیست.</w:t>
      </w:r>
    </w:p>
    <w:p w:rsidR="00D92CA3" w:rsidRPr="006162A2" w:rsidRDefault="00D92CA3" w:rsidP="008351CD">
      <w:pPr>
        <w:jc w:val="both"/>
        <w:rPr>
          <w:rtl/>
        </w:rPr>
      </w:pPr>
    </w:p>
    <w:sectPr w:rsidR="00D92CA3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49" w:rsidRDefault="00707449" w:rsidP="008B750B">
      <w:pPr>
        <w:spacing w:line="240" w:lineRule="auto"/>
      </w:pPr>
      <w:r>
        <w:separator/>
      </w:r>
    </w:p>
  </w:endnote>
  <w:endnote w:type="continuationSeparator" w:id="0">
    <w:p w:rsidR="00707449" w:rsidRDefault="00707449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Noor_Lotus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291"/>
      <w:gridCol w:w="2213"/>
      <w:gridCol w:w="4700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432C2" w:rsidRPr="001432C2">
            <w:rPr>
              <w:noProof/>
              <w:rtl/>
              <w:lang w:val="fa-IR"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270E7C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7" w:name="BokAdres"/>
          <w:bookmarkEnd w:id="17"/>
          <w:r>
            <w:rPr>
              <w:color w:val="808080" w:themeColor="background1" w:themeShade="80"/>
            </w:rPr>
            <w:t>F1js1_13980918-035_mk3_mfeb.ir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49" w:rsidRDefault="00707449" w:rsidP="008B750B">
      <w:pPr>
        <w:spacing w:line="240" w:lineRule="auto"/>
      </w:pPr>
      <w:r>
        <w:separator/>
      </w:r>
    </w:p>
  </w:footnote>
  <w:footnote w:type="continuationSeparator" w:id="0">
    <w:p w:rsidR="00707449" w:rsidRDefault="00707449" w:rsidP="008B750B">
      <w:pPr>
        <w:spacing w:line="240" w:lineRule="auto"/>
      </w:pPr>
      <w:r>
        <w:continuationSeparator/>
      </w:r>
    </w:p>
  </w:footnote>
  <w:footnote w:id="1">
    <w:p w:rsidR="00DF5F86" w:rsidRPr="00DF5F86" w:rsidRDefault="00DF5F86" w:rsidP="004D27D3">
      <w:pPr>
        <w:pStyle w:val="FootnoteText"/>
      </w:pPr>
      <w:r w:rsidRPr="00DF5F86">
        <w:footnoteRef/>
      </w:r>
      <w:r w:rsidRPr="00DF5F86">
        <w:rPr>
          <w:rtl/>
        </w:rPr>
        <w:t xml:space="preserve"> </w:t>
      </w:r>
      <w:hyperlink r:id="rId1" w:history="1">
        <w:r w:rsidRPr="00DF5F86">
          <w:rPr>
            <w:rStyle w:val="Hyperlink"/>
            <w:rFonts w:hint="cs"/>
            <w:rtl/>
          </w:rPr>
          <w:t>منتقی</w:t>
        </w:r>
        <w:r w:rsidRPr="00DF5F86">
          <w:rPr>
            <w:rStyle w:val="Hyperlink"/>
            <w:rtl/>
          </w:rPr>
          <w:t xml:space="preserve"> </w:t>
        </w:r>
        <w:r w:rsidRPr="00DF5F86">
          <w:rPr>
            <w:rStyle w:val="Hyperlink"/>
            <w:rFonts w:hint="cs"/>
            <w:rtl/>
          </w:rPr>
          <w:t>الاصول،</w:t>
        </w:r>
        <w:r w:rsidRPr="00DF5F86">
          <w:rPr>
            <w:rStyle w:val="Hyperlink"/>
            <w:rtl/>
          </w:rPr>
          <w:t xml:space="preserve"> </w:t>
        </w:r>
        <w:r w:rsidRPr="00DF5F86">
          <w:rPr>
            <w:rStyle w:val="Hyperlink"/>
            <w:rFonts w:hint="cs"/>
            <w:rtl/>
          </w:rPr>
          <w:t>سید</w:t>
        </w:r>
        <w:r w:rsidRPr="00DF5F86">
          <w:rPr>
            <w:rStyle w:val="Hyperlink"/>
            <w:rtl/>
          </w:rPr>
          <w:t xml:space="preserve"> </w:t>
        </w:r>
        <w:r w:rsidRPr="00DF5F86">
          <w:rPr>
            <w:rStyle w:val="Hyperlink"/>
            <w:rFonts w:hint="cs"/>
            <w:rtl/>
          </w:rPr>
          <w:t>محمد</w:t>
        </w:r>
        <w:r w:rsidRPr="00DF5F86">
          <w:rPr>
            <w:rStyle w:val="Hyperlink"/>
            <w:rtl/>
          </w:rPr>
          <w:t xml:space="preserve"> </w:t>
        </w:r>
        <w:r w:rsidRPr="00DF5F86">
          <w:rPr>
            <w:rStyle w:val="Hyperlink"/>
            <w:rFonts w:hint="cs"/>
            <w:rtl/>
          </w:rPr>
          <w:t>حسینی</w:t>
        </w:r>
        <w:r w:rsidRPr="00DF5F86">
          <w:rPr>
            <w:rStyle w:val="Hyperlink"/>
            <w:rtl/>
          </w:rPr>
          <w:t xml:space="preserve"> </w:t>
        </w:r>
        <w:r w:rsidRPr="00DF5F86">
          <w:rPr>
            <w:rStyle w:val="Hyperlink"/>
            <w:rFonts w:hint="cs"/>
            <w:rtl/>
          </w:rPr>
          <w:t>روحانی،</w:t>
        </w:r>
        <w:r w:rsidRPr="00DF5F86">
          <w:rPr>
            <w:rStyle w:val="Hyperlink"/>
            <w:rtl/>
          </w:rPr>
          <w:t xml:space="preserve"> </w:t>
        </w:r>
        <w:r w:rsidRPr="00DF5F86">
          <w:rPr>
            <w:rStyle w:val="Hyperlink"/>
            <w:rFonts w:hint="cs"/>
            <w:rtl/>
          </w:rPr>
          <w:t>ج</w:t>
        </w:r>
        <w:r w:rsidRPr="00DF5F86">
          <w:rPr>
            <w:rStyle w:val="Hyperlink"/>
            <w:rtl/>
          </w:rPr>
          <w:t>3</w:t>
        </w:r>
        <w:r w:rsidRPr="00DF5F86">
          <w:rPr>
            <w:rStyle w:val="Hyperlink"/>
            <w:rFonts w:hint="cs"/>
            <w:rtl/>
          </w:rPr>
          <w:t>،</w:t>
        </w:r>
        <w:r w:rsidRPr="00DF5F86">
          <w:rPr>
            <w:rStyle w:val="Hyperlink"/>
            <w:rtl/>
          </w:rPr>
          <w:t xml:space="preserve"> </w:t>
        </w:r>
        <w:r w:rsidRPr="00DF5F86">
          <w:rPr>
            <w:rStyle w:val="Hyperlink"/>
            <w:rFonts w:hint="cs"/>
            <w:rtl/>
          </w:rPr>
          <w:t>ص</w:t>
        </w:r>
        <w:r w:rsidRPr="00DF5F86">
          <w:rPr>
            <w:rStyle w:val="Hyperlink"/>
            <w:rtl/>
          </w:rPr>
          <w:t>329.</w:t>
        </w:r>
      </w:hyperlink>
    </w:p>
  </w:footnote>
  <w:footnote w:id="2">
    <w:p w:rsidR="00066479" w:rsidRDefault="00066479">
      <w:pPr>
        <w:pStyle w:val="FootnoteText"/>
      </w:pPr>
      <w:r w:rsidRPr="00DF5F86">
        <w:rPr>
          <w:rStyle w:val="FootnoteReference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دروس فی علم الاصول، سید محمد جواد شبیری، ج 1، جلسه 64، ص 310</w:t>
      </w:r>
    </w:p>
  </w:footnote>
  <w:footnote w:id="3">
    <w:p w:rsidR="00A61112" w:rsidRDefault="00A61112" w:rsidP="00A6111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61112">
        <w:rPr>
          <w:rFonts w:hint="cs"/>
          <w:rtl/>
        </w:rPr>
        <w:t xml:space="preserve">كتاب </w:t>
      </w:r>
      <w:r w:rsidRPr="00A61112">
        <w:rPr>
          <w:rFonts w:hint="cs"/>
          <w:rtl/>
        </w:rPr>
        <w:t>الطهارة (للشيخ الأنصاري)، ج‌3، ص: 150‌</w:t>
      </w:r>
    </w:p>
  </w:footnote>
  <w:footnote w:id="4">
    <w:p w:rsidR="00F821AF" w:rsidRDefault="00F821A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کتاب </w:t>
      </w:r>
      <w:r>
        <w:rPr>
          <w:rFonts w:hint="cs"/>
          <w:rtl/>
        </w:rPr>
        <w:t>خمس، ج 6، درس 71 الی 76</w:t>
      </w:r>
      <w:bookmarkStart w:id="6" w:name="_GoBack"/>
      <w:bookmarkEnd w:id="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2C2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b/>
        <w:bCs/>
        <w:color w:val="632423" w:themeColor="accent2" w:themeShade="80"/>
        <w:sz w:val="20"/>
        <w:szCs w:val="24"/>
        <w:rtl/>
      </w:rPr>
    </w:pP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0" w:name="BokNum"/>
    <w:bookmarkEnd w:id="10"/>
    <w:r w:rsidR="00270E7C">
      <w:rPr>
        <w:b/>
        <w:bCs/>
        <w:sz w:val="20"/>
        <w:szCs w:val="24"/>
        <w:rtl/>
      </w:rPr>
      <w:t>035</w:t>
    </w:r>
    <w:r w:rsidR="001A4ED8">
      <w:rPr>
        <w:rFonts w:hint="cs"/>
        <w:b/>
        <w:bCs/>
        <w:sz w:val="20"/>
        <w:szCs w:val="24"/>
        <w:rtl/>
      </w:rPr>
      <w:tab/>
    </w:r>
  </w:p>
  <w:p w:rsidR="001432C2" w:rsidRDefault="0021630D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rFonts w:cs="Alaem"/>
        <w:b/>
        <w:bCs/>
        <w:color w:val="632423" w:themeColor="accent2" w:themeShade="80"/>
        <w:sz w:val="14"/>
        <w:szCs w:val="14"/>
        <w:rtl/>
      </w:rPr>
    </w:pP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1" w:name="Bokdars"/>
    <w:bookmarkEnd w:id="11"/>
    <w:r w:rsidR="00270E7C">
      <w:rPr>
        <w:rFonts w:hint="cs"/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2" w:name="Bokostad"/>
    <w:bookmarkEnd w:id="12"/>
    <w:r w:rsidR="00270E7C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270E7C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270E7C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270E7C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270E7C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270E7C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270E7C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</w:p>
  <w:p w:rsidR="001432C2" w:rsidRDefault="00935A55" w:rsidP="001432C2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3" w:name="BokTarikh"/>
    <w:bookmarkEnd w:id="13"/>
    <w:r w:rsidR="00270E7C">
      <w:rPr>
        <w:sz w:val="24"/>
        <w:szCs w:val="24"/>
        <w:rtl/>
      </w:rPr>
      <w:t>18 /9 /1398</w:t>
    </w:r>
  </w:p>
  <w:p w:rsidR="001432C2" w:rsidRDefault="00935A55" w:rsidP="001432C2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000000" w:themeColor="text1"/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4" w:name="BokSabj"/>
    <w:bookmarkEnd w:id="14"/>
    <w:r w:rsidR="00270E7C">
      <w:rPr>
        <w:rFonts w:hint="cs"/>
        <w:color w:val="000000" w:themeColor="text1"/>
        <w:sz w:val="24"/>
        <w:szCs w:val="24"/>
        <w:rtl/>
      </w:rPr>
      <w:t>سن</w:t>
    </w:r>
    <w:r w:rsidR="00270E7C">
      <w:rPr>
        <w:color w:val="000000" w:themeColor="text1"/>
        <w:sz w:val="24"/>
        <w:szCs w:val="24"/>
        <w:rtl/>
      </w:rPr>
      <w:t xml:space="preserve"> </w:t>
    </w:r>
    <w:r w:rsidR="00270E7C">
      <w:rPr>
        <w:rFonts w:hint="cs"/>
        <w:color w:val="000000" w:themeColor="text1"/>
        <w:sz w:val="24"/>
        <w:szCs w:val="24"/>
        <w:rtl/>
      </w:rPr>
      <w:t>یائسگی</w:t>
    </w:r>
    <w:r w:rsidR="00270E7C">
      <w:rPr>
        <w:color w:val="000000" w:themeColor="text1"/>
        <w:sz w:val="24"/>
        <w:szCs w:val="24"/>
        <w:rtl/>
      </w:rPr>
      <w:t xml:space="preserve"> </w:t>
    </w:r>
    <w:r w:rsidR="00270E7C">
      <w:rPr>
        <w:rFonts w:hint="cs"/>
        <w:color w:val="000000" w:themeColor="text1"/>
        <w:sz w:val="24"/>
        <w:szCs w:val="24"/>
        <w:rtl/>
      </w:rPr>
      <w:t>زن</w:t>
    </w:r>
  </w:p>
  <w:p w:rsidR="001432C2" w:rsidRDefault="00935A55" w:rsidP="001432C2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5" w:name="Bokmoqarer"/>
    <w:bookmarkEnd w:id="15"/>
    <w:r w:rsidR="003E6060">
      <w:rPr>
        <w:rFonts w:hint="cs"/>
        <w:sz w:val="24"/>
        <w:szCs w:val="24"/>
        <w:rtl/>
      </w:rPr>
      <w:t>مرکز فقهی امام محمد باقر علیه السلام</w:t>
    </w:r>
  </w:p>
  <w:p w:rsidR="00FA3B17" w:rsidRPr="00F16B53" w:rsidRDefault="00935A55" w:rsidP="001432C2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6" w:name="BokSabj2"/>
    <w:bookmarkEnd w:id="16"/>
    <w:r w:rsidR="00270E7C">
      <w:rPr>
        <w:rFonts w:hint="cs"/>
        <w:sz w:val="24"/>
        <w:szCs w:val="24"/>
        <w:rtl/>
      </w:rPr>
      <w:t>شک</w:t>
    </w:r>
    <w:r w:rsidR="00270E7C">
      <w:rPr>
        <w:sz w:val="24"/>
        <w:szCs w:val="24"/>
        <w:rtl/>
      </w:rPr>
      <w:t xml:space="preserve"> </w:t>
    </w:r>
    <w:r w:rsidR="00270E7C">
      <w:rPr>
        <w:rFonts w:hint="cs"/>
        <w:sz w:val="24"/>
        <w:szCs w:val="24"/>
        <w:rtl/>
      </w:rPr>
      <w:t>در</w:t>
    </w:r>
    <w:r w:rsidR="00270E7C">
      <w:rPr>
        <w:sz w:val="24"/>
        <w:szCs w:val="24"/>
        <w:rtl/>
      </w:rPr>
      <w:t xml:space="preserve"> </w:t>
    </w:r>
    <w:r w:rsidR="00270E7C">
      <w:rPr>
        <w:rFonts w:hint="cs"/>
        <w:sz w:val="24"/>
        <w:szCs w:val="24"/>
        <w:rtl/>
      </w:rPr>
      <w:t>قرشی</w:t>
    </w:r>
    <w:r w:rsidR="00270E7C">
      <w:rPr>
        <w:sz w:val="24"/>
        <w:szCs w:val="24"/>
        <w:rtl/>
      </w:rPr>
      <w:t xml:space="preserve"> </w:t>
    </w:r>
    <w:r w:rsidR="00270E7C">
      <w:rPr>
        <w:rFonts w:hint="cs"/>
        <w:sz w:val="24"/>
        <w:szCs w:val="24"/>
        <w:rtl/>
      </w:rPr>
      <w:t>بودن</w:t>
    </w:r>
    <w:r w:rsidR="00270E7C">
      <w:rPr>
        <w:sz w:val="24"/>
        <w:szCs w:val="24"/>
        <w:rtl/>
      </w:rPr>
      <w:t xml:space="preserve"> </w:t>
    </w:r>
    <w:r w:rsidR="00270E7C">
      <w:rPr>
        <w:rFonts w:hint="cs"/>
        <w:sz w:val="24"/>
        <w:szCs w:val="24"/>
        <w:rtl/>
      </w:rPr>
      <w:t>زن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72A3"/>
    <w:rsid w:val="00025777"/>
    <w:rsid w:val="00025B70"/>
    <w:rsid w:val="00034C32"/>
    <w:rsid w:val="000353D7"/>
    <w:rsid w:val="000547BD"/>
    <w:rsid w:val="00055496"/>
    <w:rsid w:val="00066479"/>
    <w:rsid w:val="00066A69"/>
    <w:rsid w:val="00080A41"/>
    <w:rsid w:val="0008299B"/>
    <w:rsid w:val="00086045"/>
    <w:rsid w:val="000913AA"/>
    <w:rsid w:val="00094847"/>
    <w:rsid w:val="00096C63"/>
    <w:rsid w:val="000B2D45"/>
    <w:rsid w:val="000B5DB5"/>
    <w:rsid w:val="000B7090"/>
    <w:rsid w:val="000B7B24"/>
    <w:rsid w:val="000C3947"/>
    <w:rsid w:val="000C3FB2"/>
    <w:rsid w:val="000D2A37"/>
    <w:rsid w:val="000D30E9"/>
    <w:rsid w:val="000D6818"/>
    <w:rsid w:val="000E335E"/>
    <w:rsid w:val="000E5EF3"/>
    <w:rsid w:val="000F16CF"/>
    <w:rsid w:val="000F5BAC"/>
    <w:rsid w:val="00102585"/>
    <w:rsid w:val="00114AB7"/>
    <w:rsid w:val="00116B2B"/>
    <w:rsid w:val="00124E3D"/>
    <w:rsid w:val="00127E95"/>
    <w:rsid w:val="00130659"/>
    <w:rsid w:val="00132201"/>
    <w:rsid w:val="001347C7"/>
    <w:rsid w:val="001356B0"/>
    <w:rsid w:val="001432C2"/>
    <w:rsid w:val="00151937"/>
    <w:rsid w:val="00181844"/>
    <w:rsid w:val="001837E9"/>
    <w:rsid w:val="00187DFA"/>
    <w:rsid w:val="00195E74"/>
    <w:rsid w:val="001A1BC1"/>
    <w:rsid w:val="001A1EA5"/>
    <w:rsid w:val="001A2574"/>
    <w:rsid w:val="001A27D7"/>
    <w:rsid w:val="001A27ED"/>
    <w:rsid w:val="001A294E"/>
    <w:rsid w:val="001A4ED8"/>
    <w:rsid w:val="001A7033"/>
    <w:rsid w:val="001B2488"/>
    <w:rsid w:val="001B6799"/>
    <w:rsid w:val="001B7CFF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0E7C"/>
    <w:rsid w:val="0027605E"/>
    <w:rsid w:val="00281E00"/>
    <w:rsid w:val="00282AED"/>
    <w:rsid w:val="00294A52"/>
    <w:rsid w:val="002A5A77"/>
    <w:rsid w:val="002B575F"/>
    <w:rsid w:val="002B729B"/>
    <w:rsid w:val="002C23B5"/>
    <w:rsid w:val="002C53A2"/>
    <w:rsid w:val="002D0040"/>
    <w:rsid w:val="002D2FA8"/>
    <w:rsid w:val="002D4920"/>
    <w:rsid w:val="002E220F"/>
    <w:rsid w:val="002E5CC1"/>
    <w:rsid w:val="002F5903"/>
    <w:rsid w:val="00307311"/>
    <w:rsid w:val="0032100F"/>
    <w:rsid w:val="003336F2"/>
    <w:rsid w:val="0033402C"/>
    <w:rsid w:val="00340521"/>
    <w:rsid w:val="00345C73"/>
    <w:rsid w:val="00354A99"/>
    <w:rsid w:val="00360311"/>
    <w:rsid w:val="00361922"/>
    <w:rsid w:val="0037339B"/>
    <w:rsid w:val="00381D52"/>
    <w:rsid w:val="00386C11"/>
    <w:rsid w:val="00397466"/>
    <w:rsid w:val="003A6148"/>
    <w:rsid w:val="003C33F6"/>
    <w:rsid w:val="003C3D2E"/>
    <w:rsid w:val="003C43A5"/>
    <w:rsid w:val="003E1C5C"/>
    <w:rsid w:val="003E2DC5"/>
    <w:rsid w:val="003E4B8B"/>
    <w:rsid w:val="003E6060"/>
    <w:rsid w:val="003E6650"/>
    <w:rsid w:val="003F5B46"/>
    <w:rsid w:val="00401363"/>
    <w:rsid w:val="00402E47"/>
    <w:rsid w:val="00425015"/>
    <w:rsid w:val="00430994"/>
    <w:rsid w:val="00434DE0"/>
    <w:rsid w:val="00441B6D"/>
    <w:rsid w:val="00455249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B2889"/>
    <w:rsid w:val="004D27D3"/>
    <w:rsid w:val="004D2DD7"/>
    <w:rsid w:val="004D75C5"/>
    <w:rsid w:val="004E1415"/>
    <w:rsid w:val="004E2186"/>
    <w:rsid w:val="004E66FB"/>
    <w:rsid w:val="004F470A"/>
    <w:rsid w:val="004F4C59"/>
    <w:rsid w:val="00500C8F"/>
    <w:rsid w:val="00501909"/>
    <w:rsid w:val="005050F2"/>
    <w:rsid w:val="00507BBB"/>
    <w:rsid w:val="00511162"/>
    <w:rsid w:val="00511E9C"/>
    <w:rsid w:val="005128DF"/>
    <w:rsid w:val="0051592A"/>
    <w:rsid w:val="005206FE"/>
    <w:rsid w:val="005257ED"/>
    <w:rsid w:val="005306F8"/>
    <w:rsid w:val="0054023D"/>
    <w:rsid w:val="005426BF"/>
    <w:rsid w:val="0056213C"/>
    <w:rsid w:val="00563235"/>
    <w:rsid w:val="005656F1"/>
    <w:rsid w:val="00580C24"/>
    <w:rsid w:val="00590D6F"/>
    <w:rsid w:val="005968EF"/>
    <w:rsid w:val="00596C1E"/>
    <w:rsid w:val="005A2E26"/>
    <w:rsid w:val="005B7BCA"/>
    <w:rsid w:val="005C0DAE"/>
    <w:rsid w:val="005C188E"/>
    <w:rsid w:val="005C7338"/>
    <w:rsid w:val="005D2349"/>
    <w:rsid w:val="005E1B60"/>
    <w:rsid w:val="005E5507"/>
    <w:rsid w:val="005E607B"/>
    <w:rsid w:val="005F0A8D"/>
    <w:rsid w:val="005F5933"/>
    <w:rsid w:val="00601229"/>
    <w:rsid w:val="00603B67"/>
    <w:rsid w:val="0061134A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533C3"/>
    <w:rsid w:val="00660A29"/>
    <w:rsid w:val="00671886"/>
    <w:rsid w:val="00695519"/>
    <w:rsid w:val="006A4134"/>
    <w:rsid w:val="006A5DDA"/>
    <w:rsid w:val="006A6701"/>
    <w:rsid w:val="006B21F4"/>
    <w:rsid w:val="006B3753"/>
    <w:rsid w:val="006B381D"/>
    <w:rsid w:val="006B7AD6"/>
    <w:rsid w:val="006C50FD"/>
    <w:rsid w:val="006C5466"/>
    <w:rsid w:val="006D1DD4"/>
    <w:rsid w:val="006D343E"/>
    <w:rsid w:val="006D4014"/>
    <w:rsid w:val="006D44C1"/>
    <w:rsid w:val="006E5651"/>
    <w:rsid w:val="006E5B85"/>
    <w:rsid w:val="006F026A"/>
    <w:rsid w:val="0070265B"/>
    <w:rsid w:val="007047D1"/>
    <w:rsid w:val="00704813"/>
    <w:rsid w:val="00707449"/>
    <w:rsid w:val="007215B5"/>
    <w:rsid w:val="0072290D"/>
    <w:rsid w:val="00723D6D"/>
    <w:rsid w:val="00724537"/>
    <w:rsid w:val="00731724"/>
    <w:rsid w:val="00732006"/>
    <w:rsid w:val="0073474B"/>
    <w:rsid w:val="00735511"/>
    <w:rsid w:val="00737208"/>
    <w:rsid w:val="00744DE6"/>
    <w:rsid w:val="00747992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6D9E"/>
    <w:rsid w:val="007D1320"/>
    <w:rsid w:val="007D17E2"/>
    <w:rsid w:val="007D1C43"/>
    <w:rsid w:val="007D3725"/>
    <w:rsid w:val="007D6C53"/>
    <w:rsid w:val="007E1564"/>
    <w:rsid w:val="007E1E87"/>
    <w:rsid w:val="007E3777"/>
    <w:rsid w:val="007E5B3F"/>
    <w:rsid w:val="007F2257"/>
    <w:rsid w:val="0080091D"/>
    <w:rsid w:val="00804108"/>
    <w:rsid w:val="00804FC4"/>
    <w:rsid w:val="00812C86"/>
    <w:rsid w:val="00816367"/>
    <w:rsid w:val="00816A0B"/>
    <w:rsid w:val="00824B22"/>
    <w:rsid w:val="00830C53"/>
    <w:rsid w:val="008351CD"/>
    <w:rsid w:val="00837FAA"/>
    <w:rsid w:val="00841F77"/>
    <w:rsid w:val="00846980"/>
    <w:rsid w:val="0085276D"/>
    <w:rsid w:val="00862341"/>
    <w:rsid w:val="00863390"/>
    <w:rsid w:val="008634A9"/>
    <w:rsid w:val="0086385C"/>
    <w:rsid w:val="00871916"/>
    <w:rsid w:val="0089391D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2E8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5954"/>
    <w:rsid w:val="0094720F"/>
    <w:rsid w:val="00953B28"/>
    <w:rsid w:val="00954322"/>
    <w:rsid w:val="00957CAA"/>
    <w:rsid w:val="00961F55"/>
    <w:rsid w:val="0096778A"/>
    <w:rsid w:val="00977656"/>
    <w:rsid w:val="009846A7"/>
    <w:rsid w:val="0098794D"/>
    <w:rsid w:val="0099497B"/>
    <w:rsid w:val="009A43BA"/>
    <w:rsid w:val="009B0D05"/>
    <w:rsid w:val="009B4CA6"/>
    <w:rsid w:val="009B62E1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112"/>
    <w:rsid w:val="00A61AC8"/>
    <w:rsid w:val="00A6366F"/>
    <w:rsid w:val="00A649B3"/>
    <w:rsid w:val="00A65B6C"/>
    <w:rsid w:val="00A65D4C"/>
    <w:rsid w:val="00A70512"/>
    <w:rsid w:val="00A7112F"/>
    <w:rsid w:val="00A87521"/>
    <w:rsid w:val="00AA1F60"/>
    <w:rsid w:val="00AA40D7"/>
    <w:rsid w:val="00AB5F7D"/>
    <w:rsid w:val="00AC0C50"/>
    <w:rsid w:val="00AC6FE2"/>
    <w:rsid w:val="00AE5FA4"/>
    <w:rsid w:val="00AF3925"/>
    <w:rsid w:val="00B1296B"/>
    <w:rsid w:val="00B2292F"/>
    <w:rsid w:val="00B31CE0"/>
    <w:rsid w:val="00B339F0"/>
    <w:rsid w:val="00B351C8"/>
    <w:rsid w:val="00B4204C"/>
    <w:rsid w:val="00B43169"/>
    <w:rsid w:val="00B501A8"/>
    <w:rsid w:val="00B55AE4"/>
    <w:rsid w:val="00B5746E"/>
    <w:rsid w:val="00B70B46"/>
    <w:rsid w:val="00B739B0"/>
    <w:rsid w:val="00B814A3"/>
    <w:rsid w:val="00B96BFD"/>
    <w:rsid w:val="00B96F38"/>
    <w:rsid w:val="00BB72F9"/>
    <w:rsid w:val="00BC716B"/>
    <w:rsid w:val="00BD0E74"/>
    <w:rsid w:val="00BD276C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6823"/>
    <w:rsid w:val="00C57B5C"/>
    <w:rsid w:val="00C57C7C"/>
    <w:rsid w:val="00C61049"/>
    <w:rsid w:val="00C63FFE"/>
    <w:rsid w:val="00C90F8C"/>
    <w:rsid w:val="00C91EB6"/>
    <w:rsid w:val="00CA10B0"/>
    <w:rsid w:val="00CA2F8E"/>
    <w:rsid w:val="00CA3EE2"/>
    <w:rsid w:val="00CA7FD5"/>
    <w:rsid w:val="00CB3287"/>
    <w:rsid w:val="00CB33E2"/>
    <w:rsid w:val="00CB4E68"/>
    <w:rsid w:val="00CB540B"/>
    <w:rsid w:val="00CC2733"/>
    <w:rsid w:val="00CD0050"/>
    <w:rsid w:val="00CE7481"/>
    <w:rsid w:val="00CF0A8F"/>
    <w:rsid w:val="00D048CE"/>
    <w:rsid w:val="00D10998"/>
    <w:rsid w:val="00D15CBD"/>
    <w:rsid w:val="00D221CB"/>
    <w:rsid w:val="00D23391"/>
    <w:rsid w:val="00D26A08"/>
    <w:rsid w:val="00D31805"/>
    <w:rsid w:val="00D552B9"/>
    <w:rsid w:val="00D735B2"/>
    <w:rsid w:val="00D74021"/>
    <w:rsid w:val="00D76D01"/>
    <w:rsid w:val="00D922A9"/>
    <w:rsid w:val="00D92A06"/>
    <w:rsid w:val="00D92CA3"/>
    <w:rsid w:val="00D9394A"/>
    <w:rsid w:val="00D96206"/>
    <w:rsid w:val="00DA297D"/>
    <w:rsid w:val="00DB0CBB"/>
    <w:rsid w:val="00DB67CC"/>
    <w:rsid w:val="00DC3783"/>
    <w:rsid w:val="00DE1070"/>
    <w:rsid w:val="00DE6563"/>
    <w:rsid w:val="00DF05BF"/>
    <w:rsid w:val="00DF46F5"/>
    <w:rsid w:val="00DF5F86"/>
    <w:rsid w:val="00E00219"/>
    <w:rsid w:val="00E0316B"/>
    <w:rsid w:val="00E1577E"/>
    <w:rsid w:val="00E21037"/>
    <w:rsid w:val="00E25E10"/>
    <w:rsid w:val="00E50B41"/>
    <w:rsid w:val="00E5219B"/>
    <w:rsid w:val="00E52D07"/>
    <w:rsid w:val="00E548AF"/>
    <w:rsid w:val="00E5518B"/>
    <w:rsid w:val="00E609FE"/>
    <w:rsid w:val="00E630BE"/>
    <w:rsid w:val="00E73226"/>
    <w:rsid w:val="00E75920"/>
    <w:rsid w:val="00E80D96"/>
    <w:rsid w:val="00E81D33"/>
    <w:rsid w:val="00E84A0F"/>
    <w:rsid w:val="00E871FA"/>
    <w:rsid w:val="00E914B5"/>
    <w:rsid w:val="00E920E5"/>
    <w:rsid w:val="00E936A4"/>
    <w:rsid w:val="00E954BB"/>
    <w:rsid w:val="00EA126C"/>
    <w:rsid w:val="00EA1723"/>
    <w:rsid w:val="00EA45E7"/>
    <w:rsid w:val="00EB78E3"/>
    <w:rsid w:val="00EB7BE3"/>
    <w:rsid w:val="00EC1C4B"/>
    <w:rsid w:val="00EC735A"/>
    <w:rsid w:val="00ED5F38"/>
    <w:rsid w:val="00EF27FE"/>
    <w:rsid w:val="00EF71FD"/>
    <w:rsid w:val="00F07FB6"/>
    <w:rsid w:val="00F149D0"/>
    <w:rsid w:val="00F15F04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43966"/>
    <w:rsid w:val="00F47BD6"/>
    <w:rsid w:val="00F60F1F"/>
    <w:rsid w:val="00F64141"/>
    <w:rsid w:val="00F67508"/>
    <w:rsid w:val="00F71FC9"/>
    <w:rsid w:val="00F73B48"/>
    <w:rsid w:val="00F74F51"/>
    <w:rsid w:val="00F821AF"/>
    <w:rsid w:val="00F842AD"/>
    <w:rsid w:val="00F914EB"/>
    <w:rsid w:val="00F91B85"/>
    <w:rsid w:val="00F9376E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3050/3/329/&#1705;&#1575;&#1604;&#1581;&#1740;&#1608;&#1575;&#1606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5C50-CD82-451F-8714-1533F11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2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5582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4</cp:revision>
  <cp:lastPrinted>2019-12-10T10:24:00Z</cp:lastPrinted>
  <dcterms:created xsi:type="dcterms:W3CDTF">2019-12-10T10:24:00Z</dcterms:created>
  <dcterms:modified xsi:type="dcterms:W3CDTF">2019-12-12T05:32:00Z</dcterms:modified>
  <cp:contentStatus>ویرایش 2.5</cp:contentStatus>
  <cp:version>2.7</cp:version>
</cp:coreProperties>
</file>