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3F" w:rsidRDefault="0028203F" w:rsidP="0028203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8203F" w:rsidRDefault="0028203F" w:rsidP="0028203F">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480C46">
        <w:rPr>
          <w:rStyle w:val="Emphasis"/>
          <w:rFonts w:hint="cs"/>
          <w:b/>
          <w:bCs w:val="0"/>
          <w:rtl/>
        </w:rPr>
        <w:t>‌ی</w:t>
      </w:r>
      <w:r w:rsidRPr="009C66D5">
        <w:rPr>
          <w:rStyle w:val="Emphasis"/>
          <w:rFonts w:hint="cs"/>
          <w:b/>
          <w:bCs w:val="0"/>
          <w:rtl/>
        </w:rPr>
        <w:t xml:space="preserve"> مباحث گذشته:</w:t>
      </w:r>
    </w:p>
    <w:p w:rsidR="003A6148" w:rsidRDefault="00D9066F" w:rsidP="00D9066F">
      <w:pPr>
        <w:pBdr>
          <w:bottom w:val="double" w:sz="6" w:space="1" w:color="auto"/>
        </w:pBdr>
        <w:rPr>
          <w:rtl/>
        </w:rPr>
      </w:pPr>
      <w:r>
        <w:rPr>
          <w:rFonts w:hint="cs"/>
          <w:rtl/>
        </w:rPr>
        <w:t xml:space="preserve">از مجموع ادله به این نتیجه رسیدیم که سن یائسگی زن غیر قرشی پنجاه </w:t>
      </w:r>
      <w:r w:rsidR="00413CDF">
        <w:rPr>
          <w:rFonts w:hint="cs"/>
          <w:rtl/>
        </w:rPr>
        <w:t xml:space="preserve">سال </w:t>
      </w:r>
      <w:r>
        <w:rPr>
          <w:rFonts w:hint="cs"/>
          <w:rtl/>
        </w:rPr>
        <w:t>و زن قرشی شصت سال می باشد.</w:t>
      </w:r>
    </w:p>
    <w:p w:rsidR="00247D2F" w:rsidRPr="003A6148" w:rsidRDefault="00247D2F" w:rsidP="003A6148">
      <w:pPr>
        <w:pBdr>
          <w:bottom w:val="double" w:sz="6" w:space="1" w:color="auto"/>
        </w:pBdr>
      </w:pPr>
    </w:p>
    <w:p w:rsidR="008F5B4D" w:rsidRDefault="008F5B4D" w:rsidP="00480C46">
      <w:pPr>
        <w:jc w:val="both"/>
      </w:pPr>
    </w:p>
    <w:p w:rsidR="003E6650" w:rsidRPr="001A27D7" w:rsidRDefault="00480C46" w:rsidP="00480C46">
      <w:pPr>
        <w:pStyle w:val="Heading1"/>
        <w:rPr>
          <w:rtl/>
        </w:rPr>
      </w:pPr>
      <w:bookmarkStart w:id="0" w:name="_Toc26721242"/>
      <w:bookmarkStart w:id="1" w:name="_Toc26726051"/>
      <w:bookmarkStart w:id="2" w:name="_Toc26749120"/>
      <w:r>
        <w:rPr>
          <w:rFonts w:hint="cs"/>
          <w:rtl/>
        </w:rPr>
        <w:t>فتواهای مرحوم آقای خویی</w:t>
      </w:r>
      <w:r w:rsidR="009C3B60">
        <w:rPr>
          <w:rFonts w:hint="cs"/>
          <w:rtl/>
        </w:rPr>
        <w:t xml:space="preserve"> در سن یائسگی زن</w:t>
      </w:r>
      <w:bookmarkEnd w:id="0"/>
      <w:bookmarkEnd w:id="1"/>
      <w:bookmarkEnd w:id="2"/>
    </w:p>
    <w:p w:rsidR="001A1EA5" w:rsidRDefault="00480C46" w:rsidP="00480C46">
      <w:pPr>
        <w:pStyle w:val="Heading2"/>
        <w:rPr>
          <w:rtl/>
        </w:rPr>
      </w:pPr>
      <w:bookmarkStart w:id="3" w:name="_Toc26721243"/>
      <w:bookmarkStart w:id="4" w:name="_Toc26726052"/>
      <w:bookmarkStart w:id="5" w:name="_Toc26749121"/>
      <w:r>
        <w:rPr>
          <w:rFonts w:hint="cs"/>
          <w:rtl/>
        </w:rPr>
        <w:t>فتوای اول</w:t>
      </w:r>
      <w:r w:rsidR="00BF20BD">
        <w:rPr>
          <w:rFonts w:hint="cs"/>
          <w:rtl/>
        </w:rPr>
        <w:t xml:space="preserve"> ( احتیاط در قرشی)</w:t>
      </w:r>
      <w:bookmarkEnd w:id="3"/>
      <w:bookmarkEnd w:id="4"/>
      <w:bookmarkEnd w:id="5"/>
    </w:p>
    <w:p w:rsidR="00B31F42" w:rsidRPr="00B31F42" w:rsidRDefault="00B31F42" w:rsidP="00B31F42">
      <w:pPr>
        <w:spacing w:line="240" w:lineRule="auto"/>
        <w:rPr>
          <w:rFonts w:ascii="Noor_Titr" w:eastAsia="Times New Roman" w:hAnsi="Noor_Titr"/>
          <w:color w:val="000000"/>
          <w:sz w:val="28"/>
        </w:rPr>
      </w:pPr>
      <w:r w:rsidRPr="00B31F42">
        <w:rPr>
          <w:rFonts w:ascii="Noor_Lotus" w:eastAsia="Times New Roman" w:hAnsi="Noor_Lotus" w:hint="cs"/>
          <w:color w:val="000000"/>
          <w:sz w:val="28"/>
          <w:rtl/>
        </w:rPr>
        <w:t>مرحوم سید در عروه چنین آورده است: «</w:t>
      </w:r>
      <w:r w:rsidRPr="00B31F42">
        <w:rPr>
          <w:rFonts w:ascii="Noor_Lotus" w:eastAsia="Times New Roman" w:hAnsi="Noor_Lotus" w:hint="cs"/>
          <w:color w:val="0000FF"/>
          <w:sz w:val="28"/>
          <w:rtl/>
        </w:rPr>
        <w:t>و اليأس ببلوغ ستين سنة في القرشية و خمسين في غيرها</w:t>
      </w:r>
      <w:r w:rsidRPr="00B31F42">
        <w:rPr>
          <w:rFonts w:ascii="Noor_Lotus" w:eastAsia="Times New Roman" w:hAnsi="Noor_Lotus" w:hint="cs"/>
          <w:color w:val="000000"/>
          <w:sz w:val="28"/>
          <w:rtl/>
        </w:rPr>
        <w:t>»</w:t>
      </w:r>
      <w:r>
        <w:rPr>
          <w:rStyle w:val="FootnoteReference"/>
          <w:rFonts w:ascii="Noor_Lotus" w:eastAsia="Times New Roman" w:hAnsi="Noor_Lotus"/>
          <w:color w:val="000000"/>
          <w:sz w:val="28"/>
          <w:rtl/>
        </w:rPr>
        <w:footnoteReference w:id="1"/>
      </w:r>
    </w:p>
    <w:p w:rsidR="00A772BD" w:rsidRDefault="00A772BD" w:rsidP="00397675">
      <w:pPr>
        <w:jc w:val="both"/>
        <w:rPr>
          <w:color w:val="000080"/>
          <w:rtl/>
        </w:rPr>
      </w:pPr>
      <w:r>
        <w:rPr>
          <w:rFonts w:hint="cs"/>
          <w:rtl/>
        </w:rPr>
        <w:t>مرحوم آقای خویی در حاشیه</w:t>
      </w:r>
      <w:r w:rsidR="00BE0A01">
        <w:rPr>
          <w:rFonts w:hint="cs"/>
          <w:rtl/>
        </w:rPr>
        <w:t>،</w:t>
      </w:r>
      <w:r w:rsidR="00397675">
        <w:rPr>
          <w:rFonts w:hint="cs"/>
          <w:rtl/>
        </w:rPr>
        <w:t xml:space="preserve"> ذیل «القرشیة»</w:t>
      </w:r>
      <w:r>
        <w:rPr>
          <w:rFonts w:hint="cs"/>
          <w:rtl/>
        </w:rPr>
        <w:t xml:space="preserve"> می فرماید: «</w:t>
      </w:r>
      <w:r w:rsidR="00397675" w:rsidRPr="00397675">
        <w:rPr>
          <w:rFonts w:hint="cs"/>
          <w:color w:val="000080"/>
          <w:rtl/>
        </w:rPr>
        <w:t>فيه إشكال، و الأحوط لها الجمع بين تروك الحائض و أ</w:t>
      </w:r>
      <w:r w:rsidR="00397675">
        <w:rPr>
          <w:rFonts w:hint="cs"/>
          <w:color w:val="000080"/>
          <w:rtl/>
        </w:rPr>
        <w:t>فعال المستحاضة فيما بين الحدّين</w:t>
      </w:r>
      <w:r>
        <w:rPr>
          <w:rFonts w:hint="cs"/>
          <w:color w:val="000080"/>
          <w:rtl/>
        </w:rPr>
        <w:t>»</w:t>
      </w:r>
      <w:r w:rsidR="00397675">
        <w:rPr>
          <w:rStyle w:val="FootnoteReference"/>
          <w:color w:val="000080"/>
          <w:rtl/>
        </w:rPr>
        <w:footnoteReference w:id="2"/>
      </w:r>
    </w:p>
    <w:p w:rsidR="00D40AF5" w:rsidRPr="00397675" w:rsidRDefault="00D40AF5" w:rsidP="003C6EA9">
      <w:pPr>
        <w:jc w:val="both"/>
        <w:rPr>
          <w:color w:val="000080"/>
        </w:rPr>
      </w:pPr>
      <w:r w:rsidRPr="0060748B">
        <w:rPr>
          <w:rFonts w:hint="cs"/>
          <w:rtl/>
        </w:rPr>
        <w:t>در</w:t>
      </w:r>
      <w:r w:rsidR="00812278">
        <w:rPr>
          <w:rFonts w:hint="cs"/>
          <w:rtl/>
        </w:rPr>
        <w:t xml:space="preserve"> چاپ قدیم</w:t>
      </w:r>
      <w:r w:rsidRPr="0060748B">
        <w:rPr>
          <w:rFonts w:hint="cs"/>
          <w:rtl/>
        </w:rPr>
        <w:t xml:space="preserve"> منهاج الصالحین</w:t>
      </w:r>
      <w:r w:rsidR="004D1AE9">
        <w:rPr>
          <w:rFonts w:hint="cs"/>
          <w:rtl/>
        </w:rPr>
        <w:t xml:space="preserve"> ( چاپ بیستم)</w:t>
      </w:r>
      <w:r w:rsidRPr="0060748B">
        <w:rPr>
          <w:rFonts w:hint="cs"/>
          <w:rtl/>
        </w:rPr>
        <w:t xml:space="preserve"> چنین آورده است: </w:t>
      </w:r>
      <w:r>
        <w:rPr>
          <w:rFonts w:hint="cs"/>
          <w:color w:val="000080"/>
          <w:rtl/>
        </w:rPr>
        <w:t>«</w:t>
      </w:r>
      <w:r w:rsidRPr="00D40AF5">
        <w:rPr>
          <w:rFonts w:hint="cs"/>
          <w:color w:val="000080"/>
          <w:rtl/>
        </w:rPr>
        <w:t xml:space="preserve">يتحقق اليأس ببلوغ خمسين سنة في غير القرشية و </w:t>
      </w:r>
      <w:r w:rsidR="004D1AE9">
        <w:rPr>
          <w:rFonts w:hint="cs"/>
          <w:color w:val="000080"/>
          <w:rtl/>
        </w:rPr>
        <w:t>الأحوط</w:t>
      </w:r>
      <w:r w:rsidRPr="00D40AF5">
        <w:rPr>
          <w:rFonts w:hint="cs"/>
          <w:color w:val="000080"/>
          <w:rtl/>
        </w:rPr>
        <w:t xml:space="preserve"> في القرشية </w:t>
      </w:r>
      <w:r w:rsidR="00D5097C">
        <w:rPr>
          <w:rFonts w:hint="cs"/>
          <w:color w:val="000080"/>
          <w:rtl/>
        </w:rPr>
        <w:t>الجمع بين تروك الحائض</w:t>
      </w:r>
      <w:r w:rsidRPr="00D40AF5">
        <w:rPr>
          <w:rFonts w:hint="cs"/>
          <w:color w:val="000080"/>
          <w:rtl/>
        </w:rPr>
        <w:t xml:space="preserve"> و أ</w:t>
      </w:r>
      <w:r w:rsidR="00D5097C">
        <w:rPr>
          <w:rFonts w:hint="cs"/>
          <w:color w:val="000080"/>
          <w:rtl/>
        </w:rPr>
        <w:t>فعال المستحاضة بعد بلوغها خمسين</w:t>
      </w:r>
      <w:r w:rsidRPr="00D40AF5">
        <w:rPr>
          <w:rFonts w:hint="cs"/>
          <w:color w:val="000080"/>
          <w:rtl/>
        </w:rPr>
        <w:t xml:space="preserve"> و قبل بلوغه</w:t>
      </w:r>
      <w:r w:rsidR="0092500F">
        <w:rPr>
          <w:rFonts w:hint="cs"/>
          <w:color w:val="000080"/>
          <w:rtl/>
        </w:rPr>
        <w:t>ا ستين إذا كان الدم بصفات الحيض</w:t>
      </w:r>
      <w:r w:rsidRPr="00D40AF5">
        <w:rPr>
          <w:rFonts w:hint="cs"/>
          <w:color w:val="000080"/>
          <w:rtl/>
        </w:rPr>
        <w:t xml:space="preserve"> أو أنها رأته أيام عادتها</w:t>
      </w:r>
      <w:r>
        <w:rPr>
          <w:rFonts w:hint="cs"/>
          <w:color w:val="000080"/>
          <w:rtl/>
        </w:rPr>
        <w:t>»</w:t>
      </w:r>
    </w:p>
    <w:p w:rsidR="00480C46" w:rsidRDefault="00B97CA6" w:rsidP="007961D2">
      <w:pPr>
        <w:jc w:val="both"/>
        <w:rPr>
          <w:rtl/>
        </w:rPr>
      </w:pPr>
      <w:r>
        <w:rPr>
          <w:rFonts w:hint="cs"/>
          <w:rtl/>
        </w:rPr>
        <w:t xml:space="preserve">مرحوم آقای خویی </w:t>
      </w:r>
      <w:r w:rsidR="00D5614A">
        <w:rPr>
          <w:rFonts w:hint="cs"/>
          <w:rtl/>
        </w:rPr>
        <w:t xml:space="preserve">در غیر قرشی به پنجاه سال فتوا می دهد اما در قرشی </w:t>
      </w:r>
      <w:r w:rsidR="00035A37">
        <w:rPr>
          <w:rFonts w:hint="cs"/>
          <w:rtl/>
        </w:rPr>
        <w:t xml:space="preserve">تردید کرده است و </w:t>
      </w:r>
      <w:r w:rsidR="002C4E2D">
        <w:rPr>
          <w:rFonts w:hint="cs"/>
          <w:rtl/>
        </w:rPr>
        <w:t>در فتوا دادن احتیاط کرده است</w:t>
      </w:r>
      <w:r w:rsidR="00FD078E">
        <w:rPr>
          <w:rFonts w:hint="cs"/>
          <w:rtl/>
        </w:rPr>
        <w:t xml:space="preserve"> ( نه فتوا</w:t>
      </w:r>
      <w:r w:rsidR="007961D2">
        <w:rPr>
          <w:rFonts w:hint="cs"/>
          <w:rtl/>
        </w:rPr>
        <w:t>ی به احتیاط</w:t>
      </w:r>
      <w:r w:rsidR="00FD078E">
        <w:rPr>
          <w:rFonts w:hint="cs"/>
          <w:rtl/>
        </w:rPr>
        <w:t xml:space="preserve"> که در موارد علم اجمالی می باشد).</w:t>
      </w:r>
    </w:p>
    <w:p w:rsidR="00BD3B27" w:rsidRDefault="00E01BE7" w:rsidP="00480C46">
      <w:pPr>
        <w:jc w:val="both"/>
        <w:rPr>
          <w:rtl/>
        </w:rPr>
      </w:pPr>
      <w:r>
        <w:rPr>
          <w:rFonts w:hint="cs"/>
          <w:rtl/>
        </w:rPr>
        <w:t>البته بعدها</w:t>
      </w:r>
      <w:r w:rsidR="001A54DB">
        <w:rPr>
          <w:rFonts w:hint="cs"/>
          <w:rtl/>
        </w:rPr>
        <w:t>،</w:t>
      </w:r>
      <w:r>
        <w:rPr>
          <w:rFonts w:hint="cs"/>
          <w:rtl/>
        </w:rPr>
        <w:t xml:space="preserve"> هم حاشیه‌ی عروه و هم منهاج الصالحین تغییر کرده است.</w:t>
      </w:r>
    </w:p>
    <w:p w:rsidR="004872C8" w:rsidRDefault="004872C8" w:rsidP="004872C8">
      <w:pPr>
        <w:pStyle w:val="Heading3"/>
        <w:rPr>
          <w:rtl/>
        </w:rPr>
      </w:pPr>
      <w:bookmarkStart w:id="6" w:name="_Toc26721244"/>
      <w:bookmarkStart w:id="7" w:name="_Toc26726053"/>
      <w:bookmarkStart w:id="8" w:name="_Toc26749122"/>
      <w:r>
        <w:rPr>
          <w:rFonts w:hint="cs"/>
          <w:rtl/>
        </w:rPr>
        <w:lastRenderedPageBreak/>
        <w:t>وجه فتوای اول</w:t>
      </w:r>
      <w:bookmarkEnd w:id="6"/>
      <w:bookmarkEnd w:id="7"/>
      <w:bookmarkEnd w:id="8"/>
    </w:p>
    <w:p w:rsidR="00A029EB" w:rsidRDefault="00A029EB" w:rsidP="00A029EB">
      <w:pPr>
        <w:rPr>
          <w:rtl/>
        </w:rPr>
      </w:pPr>
      <w:r>
        <w:rPr>
          <w:rFonts w:hint="cs"/>
          <w:rtl/>
        </w:rPr>
        <w:t>مرحوم آقای خویی مرسلات ابن ابی</w:t>
      </w:r>
      <w:r w:rsidR="00B55C00">
        <w:rPr>
          <w:rFonts w:hint="cs"/>
          <w:rtl/>
        </w:rPr>
        <w:t xml:space="preserve"> عمیر و بزنطی را حجت نمی دا</w:t>
      </w:r>
      <w:r>
        <w:rPr>
          <w:rFonts w:hint="cs"/>
          <w:rtl/>
        </w:rPr>
        <w:t>ند.</w:t>
      </w:r>
    </w:p>
    <w:p w:rsidR="003C6EA9" w:rsidRDefault="00A029EB" w:rsidP="00CB6EB4">
      <w:pPr>
        <w:jc w:val="both"/>
        <w:rPr>
          <w:rtl/>
        </w:rPr>
      </w:pPr>
      <w:r>
        <w:rPr>
          <w:rFonts w:hint="cs"/>
          <w:rtl/>
        </w:rPr>
        <w:t>همچنین</w:t>
      </w:r>
      <w:r w:rsidR="00B97CA6">
        <w:rPr>
          <w:rFonts w:hint="cs"/>
          <w:rtl/>
        </w:rPr>
        <w:t xml:space="preserve"> سابقا</w:t>
      </w:r>
      <w:r>
        <w:rPr>
          <w:rFonts w:hint="cs"/>
          <w:rtl/>
        </w:rPr>
        <w:t xml:space="preserve"> به طریق شیخ طوسی به علی بن الحسن بن فضال </w:t>
      </w:r>
      <w:r w:rsidR="000E6D49">
        <w:rPr>
          <w:rFonts w:hint="cs"/>
          <w:rtl/>
        </w:rPr>
        <w:t>اشکال می کرد، در نتیجه</w:t>
      </w:r>
      <w:r w:rsidR="00CB6EB4">
        <w:rPr>
          <w:rFonts w:hint="cs"/>
          <w:rtl/>
        </w:rPr>
        <w:t xml:space="preserve"> نقل شصت سال روایت عبدالرحمن بن الحجاج</w:t>
      </w:r>
      <w:r w:rsidR="000E6D49">
        <w:rPr>
          <w:rFonts w:hint="cs"/>
          <w:rtl/>
        </w:rPr>
        <w:t xml:space="preserve"> کنار می رود.</w:t>
      </w:r>
    </w:p>
    <w:p w:rsidR="00B55C00" w:rsidRDefault="00B55C00" w:rsidP="00A029EB">
      <w:pPr>
        <w:rPr>
          <w:color w:val="008000"/>
          <w:rtl/>
        </w:rPr>
      </w:pPr>
      <w:r>
        <w:rPr>
          <w:rFonts w:hint="cs"/>
          <w:rtl/>
        </w:rPr>
        <w:t>تنها روایت معتبری که باقی می ماند، این روایت از عبدالرحمن بن الحجاج است:</w:t>
      </w:r>
      <w:r w:rsidRPr="00B55C00">
        <w:rPr>
          <w:rFonts w:hint="cs"/>
          <w:rtl/>
        </w:rPr>
        <w:t xml:space="preserve"> </w:t>
      </w:r>
      <w:r w:rsidRPr="00714BB9">
        <w:rPr>
          <w:rFonts w:hint="cs"/>
          <w:rtl/>
        </w:rPr>
        <w:t xml:space="preserve">مُحَمَّدُ بْنُ إِسْمَاعِيلَ عَنِ الْفَضْلِ بْنِ شَاذَانَ عَنْ صَفْوَانَ بْنِ يَحْيَى عَنْ عَبْدِ الرَّحْمَنِ بْنِ الْحَجَّاجِ عَنْ أَبِي عَبْدِ اللَّهِ ع قَالَ: </w:t>
      </w:r>
      <w:r w:rsidRPr="00714BB9">
        <w:rPr>
          <w:rFonts w:hint="cs"/>
          <w:color w:val="008000"/>
          <w:rtl/>
        </w:rPr>
        <w:t>حَدُّ الَّتِي قَدْ يَئِسَتْ مِنَ الْمَحِيضِ خَمْسُونَ سَنَةً.</w:t>
      </w:r>
      <w:r>
        <w:rPr>
          <w:rStyle w:val="FootnoteReference"/>
          <w:color w:val="008000"/>
          <w:rtl/>
        </w:rPr>
        <w:footnoteReference w:id="3"/>
      </w:r>
    </w:p>
    <w:p w:rsidR="00870A8A" w:rsidRDefault="003C60D6" w:rsidP="00A029EB">
      <w:pPr>
        <w:rPr>
          <w:rtl/>
        </w:rPr>
      </w:pPr>
      <w:r>
        <w:rPr>
          <w:rFonts w:hint="cs"/>
          <w:rtl/>
        </w:rPr>
        <w:t>طبق این روایت سن یائسگی زن پنجاه سال است.</w:t>
      </w:r>
    </w:p>
    <w:p w:rsidR="008D013B" w:rsidRDefault="008D013B" w:rsidP="008D013B">
      <w:pPr>
        <w:rPr>
          <w:rtl/>
        </w:rPr>
      </w:pPr>
      <w:r>
        <w:rPr>
          <w:rFonts w:hint="cs"/>
          <w:rtl/>
        </w:rPr>
        <w:t>اما در مورد زن قرشی به جهت این که فتوای</w:t>
      </w:r>
      <w:r w:rsidRPr="008D013B">
        <w:rPr>
          <w:rFonts w:hint="cs"/>
          <w:rtl/>
        </w:rPr>
        <w:t xml:space="preserve"> </w:t>
      </w:r>
      <w:r>
        <w:rPr>
          <w:rFonts w:hint="cs"/>
          <w:rtl/>
        </w:rPr>
        <w:t>مشهور پنجاه سال نمی باشد، مرحوم آقای خویی احتیاط کرده است.</w:t>
      </w:r>
    </w:p>
    <w:p w:rsidR="008D013B" w:rsidRPr="003C6EA9" w:rsidRDefault="008D013B" w:rsidP="008D013B">
      <w:pPr>
        <w:rPr>
          <w:rtl/>
        </w:rPr>
      </w:pPr>
      <w:r>
        <w:rPr>
          <w:rFonts w:hint="cs"/>
          <w:rtl/>
        </w:rPr>
        <w:t>نتیجه این که مرحوم آقای خویی در زن غیر قرشی فتوای به پنجاه سال می دهد و در زن قرشی احتیاط در فتوا می کند.</w:t>
      </w:r>
    </w:p>
    <w:p w:rsidR="00BD3B27" w:rsidRDefault="00BD3B27" w:rsidP="00BD3B27">
      <w:pPr>
        <w:pStyle w:val="Heading2"/>
        <w:rPr>
          <w:rtl/>
        </w:rPr>
      </w:pPr>
      <w:bookmarkStart w:id="9" w:name="_Toc26721245"/>
      <w:bookmarkStart w:id="10" w:name="_Toc26726054"/>
      <w:bookmarkStart w:id="11" w:name="_Toc26749123"/>
      <w:r>
        <w:rPr>
          <w:rFonts w:hint="cs"/>
          <w:rtl/>
        </w:rPr>
        <w:t>فتوای دوم</w:t>
      </w:r>
      <w:r w:rsidR="00BF20BD">
        <w:rPr>
          <w:rFonts w:hint="cs"/>
          <w:rtl/>
        </w:rPr>
        <w:t xml:space="preserve"> ( احتیاط در غیر قرشی)</w:t>
      </w:r>
      <w:bookmarkEnd w:id="9"/>
      <w:bookmarkEnd w:id="10"/>
      <w:bookmarkEnd w:id="11"/>
    </w:p>
    <w:p w:rsidR="00DA5ED1" w:rsidRPr="00DA5ED1" w:rsidRDefault="00DA5ED1" w:rsidP="00DA5ED1">
      <w:pPr>
        <w:jc w:val="both"/>
        <w:rPr>
          <w:color w:val="000080"/>
        </w:rPr>
      </w:pPr>
      <w:r>
        <w:rPr>
          <w:rFonts w:hint="cs"/>
          <w:color w:val="000080"/>
          <w:rtl/>
        </w:rPr>
        <w:t>«</w:t>
      </w:r>
      <w:r w:rsidRPr="00DA5ED1">
        <w:rPr>
          <w:rFonts w:hint="cs"/>
          <w:color w:val="000080"/>
          <w:rtl/>
        </w:rPr>
        <w:t>و أمّا ما تراه بين الستّين و الخمسين فمقتضى الإطلاقات الدالّة على أنّ كلّ دم واجد لأوصاف الحيض حيض، أو أنّ ما تراه المرأة في أيّام عادتها حيض، هو الحكم بالحيضيّة، إلّا أنّ المشهور حيث لم يلتزموا بالحيضيّة بين الحدّين في غير القرشيّة فلا بدّ فيه من الاحتياط بالجمع بين تروك الحائض و أفعال المستحاضة</w:t>
      </w:r>
      <w:r>
        <w:rPr>
          <w:rFonts w:hint="cs"/>
          <w:color w:val="000080"/>
          <w:rtl/>
        </w:rPr>
        <w:t>»</w:t>
      </w:r>
      <w:r>
        <w:rPr>
          <w:rStyle w:val="FootnoteReference"/>
          <w:color w:val="000080"/>
          <w:rtl/>
        </w:rPr>
        <w:footnoteReference w:id="4"/>
      </w:r>
    </w:p>
    <w:p w:rsidR="00480C46" w:rsidRDefault="00403CAA" w:rsidP="00403CAA">
      <w:pPr>
        <w:pStyle w:val="Heading3"/>
        <w:rPr>
          <w:rtl/>
        </w:rPr>
      </w:pPr>
      <w:bookmarkStart w:id="12" w:name="_Toc26721246"/>
      <w:bookmarkStart w:id="13" w:name="_Toc26726055"/>
      <w:bookmarkStart w:id="14" w:name="_Toc26749124"/>
      <w:r>
        <w:rPr>
          <w:rFonts w:hint="cs"/>
          <w:rtl/>
        </w:rPr>
        <w:t>وجه فتوای دوم</w:t>
      </w:r>
      <w:bookmarkEnd w:id="12"/>
      <w:bookmarkEnd w:id="13"/>
      <w:bookmarkEnd w:id="14"/>
    </w:p>
    <w:p w:rsidR="00480C46" w:rsidRDefault="00224E3E" w:rsidP="00480C46">
      <w:pPr>
        <w:jc w:val="both"/>
        <w:rPr>
          <w:rtl/>
        </w:rPr>
      </w:pPr>
      <w:r>
        <w:rPr>
          <w:rFonts w:hint="cs"/>
          <w:rtl/>
        </w:rPr>
        <w:t>بعد از فتوای اول، مرحوم آقای خویی طریق شیخ به علی بن الحسن بن فضال را از طریق تعویض سند، تصحیح کرده و در نتیجه روایت عبدالرحمن بن الحجاج که در یک نقل شصت سال را ذکر کرده بود، تصحیح شد و در نتیجه با روایت عبدالرحمن بن الحجاج که پنجاه سال را ذکر کرده بود ( و در وجه فتوای اول ذکر شد) تعارض کرده و تساقط می کنند و روایتی برای مساله باقی نمی ماند.</w:t>
      </w:r>
    </w:p>
    <w:p w:rsidR="008B4AFF" w:rsidRDefault="00414D8D" w:rsidP="00037342">
      <w:pPr>
        <w:jc w:val="both"/>
        <w:rPr>
          <w:rtl/>
        </w:rPr>
      </w:pPr>
      <w:r>
        <w:rPr>
          <w:rFonts w:hint="cs"/>
          <w:rtl/>
        </w:rPr>
        <w:t xml:space="preserve">مقتضای اطلاقات این است که خونی که زن در پنجاه </w:t>
      </w:r>
      <w:r w:rsidR="00037342">
        <w:rPr>
          <w:rFonts w:hint="cs"/>
          <w:rtl/>
        </w:rPr>
        <w:t>تا</w:t>
      </w:r>
      <w:r>
        <w:rPr>
          <w:rFonts w:hint="cs"/>
          <w:rtl/>
        </w:rPr>
        <w:t xml:space="preserve"> شصت سالگی می بیند، حیض است، اما مشهور در زن غیر قرشی خونی را که در سن پنجاه تا شصت سال</w:t>
      </w:r>
      <w:r w:rsidR="00051EDB">
        <w:rPr>
          <w:rFonts w:hint="cs"/>
          <w:rtl/>
        </w:rPr>
        <w:t>گی</w:t>
      </w:r>
      <w:r>
        <w:rPr>
          <w:rFonts w:hint="cs"/>
          <w:rtl/>
        </w:rPr>
        <w:t xml:space="preserve"> می بیند، حیض ندانسته اند، در نتیجه زن غیر قرشی در سن پنجاه تا شصت سال</w:t>
      </w:r>
      <w:r w:rsidR="00051EDB">
        <w:rPr>
          <w:rFonts w:hint="cs"/>
          <w:rtl/>
        </w:rPr>
        <w:t>گی</w:t>
      </w:r>
      <w:r>
        <w:rPr>
          <w:rFonts w:hint="cs"/>
          <w:rtl/>
        </w:rPr>
        <w:t xml:space="preserve"> باید احتیاط کند و بین تروک حائض و افعال مستحاضه جمع کند.</w:t>
      </w:r>
    </w:p>
    <w:p w:rsidR="00B67FB1" w:rsidRDefault="00B67FB1" w:rsidP="00037342">
      <w:pPr>
        <w:jc w:val="both"/>
        <w:rPr>
          <w:rtl/>
        </w:rPr>
      </w:pPr>
      <w:r>
        <w:rPr>
          <w:rFonts w:hint="cs"/>
          <w:rtl/>
        </w:rPr>
        <w:t xml:space="preserve">ظاهر این عبارت فتوای به احتیاط است اما روش مرحوم آقای خویی این است که </w:t>
      </w:r>
      <w:r w:rsidR="00305B6B">
        <w:rPr>
          <w:rFonts w:hint="cs"/>
          <w:rtl/>
        </w:rPr>
        <w:t>در تحرز از مخالفت مشهور، احتیاط در فتوا می کنند ( نه فتوای به احتیاط)</w:t>
      </w:r>
      <w:r w:rsidR="00644CA7">
        <w:rPr>
          <w:rFonts w:hint="cs"/>
          <w:rtl/>
        </w:rPr>
        <w:t>.</w:t>
      </w:r>
    </w:p>
    <w:p w:rsidR="00D40AF5" w:rsidRDefault="00D40AF5" w:rsidP="00591EF9">
      <w:pPr>
        <w:pStyle w:val="Heading2"/>
        <w:rPr>
          <w:rtl/>
        </w:rPr>
      </w:pPr>
      <w:bookmarkStart w:id="15" w:name="_Toc26721247"/>
      <w:bookmarkStart w:id="16" w:name="_Toc26726056"/>
      <w:bookmarkStart w:id="17" w:name="_Toc26749125"/>
      <w:r>
        <w:rPr>
          <w:rFonts w:hint="cs"/>
          <w:rtl/>
        </w:rPr>
        <w:t>فتوای سوم</w:t>
      </w:r>
      <w:r w:rsidR="005741D8">
        <w:rPr>
          <w:rFonts w:hint="cs"/>
          <w:rtl/>
        </w:rPr>
        <w:t xml:space="preserve"> ( </w:t>
      </w:r>
      <w:r w:rsidR="00591EF9">
        <w:rPr>
          <w:rFonts w:hint="cs"/>
          <w:rtl/>
        </w:rPr>
        <w:t>احتیاط در قرشی و غیر قرشی</w:t>
      </w:r>
      <w:r w:rsidR="005741D8">
        <w:rPr>
          <w:rFonts w:hint="cs"/>
          <w:rtl/>
        </w:rPr>
        <w:t>)</w:t>
      </w:r>
      <w:bookmarkEnd w:id="15"/>
      <w:bookmarkEnd w:id="16"/>
      <w:bookmarkEnd w:id="17"/>
    </w:p>
    <w:p w:rsidR="00955CAE" w:rsidRPr="00955CAE" w:rsidRDefault="00B7438E" w:rsidP="00955CAE">
      <w:pPr>
        <w:jc w:val="both"/>
      </w:pPr>
      <w:r>
        <w:rPr>
          <w:rFonts w:hint="cs"/>
          <w:rtl/>
        </w:rPr>
        <w:t xml:space="preserve">مرحوم آقای خویی </w:t>
      </w:r>
      <w:r w:rsidR="00955CAE">
        <w:rPr>
          <w:rFonts w:hint="cs"/>
          <w:rtl/>
        </w:rPr>
        <w:t>در موسوعه چنین آورده است: «</w:t>
      </w:r>
      <w:r w:rsidR="00955CAE" w:rsidRPr="001C73D6">
        <w:rPr>
          <w:rFonts w:hint="cs"/>
          <w:color w:val="000080"/>
          <w:rtl/>
        </w:rPr>
        <w:t>فيما ذكر إشكال و الأحوط للقرشيّة و غيرها الجمع بين تروك الحائض و أفعال المستحاضة فيما بين الحدّين</w:t>
      </w:r>
      <w:r w:rsidR="00955CAE">
        <w:rPr>
          <w:rFonts w:hint="cs"/>
          <w:rtl/>
        </w:rPr>
        <w:t>»</w:t>
      </w:r>
      <w:r w:rsidR="001C73D6">
        <w:rPr>
          <w:rStyle w:val="FootnoteReference"/>
          <w:rtl/>
        </w:rPr>
        <w:footnoteReference w:id="5"/>
      </w:r>
    </w:p>
    <w:p w:rsidR="008B4AFF" w:rsidRPr="008B4AFF" w:rsidRDefault="00F1692D" w:rsidP="008B4AFF">
      <w:pPr>
        <w:jc w:val="both"/>
      </w:pPr>
      <w:r>
        <w:rPr>
          <w:rFonts w:hint="cs"/>
          <w:rtl/>
        </w:rPr>
        <w:t xml:space="preserve">و </w:t>
      </w:r>
      <w:r w:rsidR="008B4AFF">
        <w:rPr>
          <w:rFonts w:hint="cs"/>
          <w:rtl/>
        </w:rPr>
        <w:t xml:space="preserve">در منهاج الصالحین چنین آورده است: </w:t>
      </w:r>
      <w:r w:rsidR="008B4AFF" w:rsidRPr="008B4AFF">
        <w:rPr>
          <w:rFonts w:hint="cs"/>
          <w:color w:val="000080"/>
          <w:rtl/>
        </w:rPr>
        <w:t>«و يتحقق اليأس ببلوغ خمسين سنة في غير القرشية على المشهور و لكن الأحوط، في القرشية و غيرها الجمع بين تروك الحائض، و أفعال المستحاضة بعد بلوغها خمسين، و قبل بلوغها ستين إذا كان الدم بصفات الحيض، أو أنها رأته أيام عادتها»</w:t>
      </w:r>
      <w:r w:rsidR="008B4AFF">
        <w:rPr>
          <w:rStyle w:val="FootnoteReference"/>
          <w:color w:val="000080"/>
          <w:rtl/>
        </w:rPr>
        <w:footnoteReference w:id="6"/>
      </w:r>
    </w:p>
    <w:p w:rsidR="00480C46" w:rsidRDefault="00644CA7" w:rsidP="00644CA7">
      <w:pPr>
        <w:pStyle w:val="Heading3"/>
        <w:rPr>
          <w:rtl/>
        </w:rPr>
      </w:pPr>
      <w:bookmarkStart w:id="19" w:name="_Toc26721248"/>
      <w:bookmarkStart w:id="20" w:name="_Toc26726057"/>
      <w:bookmarkStart w:id="21" w:name="_Toc26749126"/>
      <w:r>
        <w:rPr>
          <w:rFonts w:hint="cs"/>
          <w:rtl/>
        </w:rPr>
        <w:t>وجه فتوای سوم</w:t>
      </w:r>
      <w:bookmarkEnd w:id="19"/>
      <w:bookmarkEnd w:id="20"/>
      <w:bookmarkEnd w:id="21"/>
    </w:p>
    <w:p w:rsidR="00644CA7" w:rsidRDefault="00644CA7" w:rsidP="00480C46">
      <w:pPr>
        <w:jc w:val="both"/>
        <w:rPr>
          <w:rtl/>
        </w:rPr>
      </w:pPr>
      <w:r>
        <w:rPr>
          <w:rFonts w:hint="cs"/>
          <w:rtl/>
        </w:rPr>
        <w:t>همان طور که در وجه فتوای دوم گفته شد، روایت خاص در مساله نداریم.</w:t>
      </w:r>
    </w:p>
    <w:p w:rsidR="00644CA7" w:rsidRDefault="00644CA7" w:rsidP="004377DD">
      <w:pPr>
        <w:jc w:val="both"/>
        <w:rPr>
          <w:rtl/>
        </w:rPr>
      </w:pPr>
      <w:r>
        <w:rPr>
          <w:rFonts w:hint="cs"/>
          <w:rtl/>
        </w:rPr>
        <w:t xml:space="preserve">در مورد زن قرشی و غیر قرشی در سن پنجاه تا شصت سال در مورد یائسگی او شک </w:t>
      </w:r>
      <w:r w:rsidR="004377DD">
        <w:rPr>
          <w:rFonts w:hint="cs"/>
          <w:rtl/>
        </w:rPr>
        <w:t>وجود دارد</w:t>
      </w:r>
      <w:r w:rsidR="00596BB6">
        <w:rPr>
          <w:rFonts w:hint="cs"/>
          <w:rtl/>
        </w:rPr>
        <w:t>، در نتیجه باید احتیاط کند، زیرا علم اجمالی داریم خونی که زن می بیند یا حیض است و یا استحاضه می باشد، در نتیجه یا باید افعال مستحاضه را انجام دهد یا تروک حائض را ترک کند، در نتیجه باید فتوای به احتیاط داد.</w:t>
      </w:r>
    </w:p>
    <w:p w:rsidR="00B0520A" w:rsidRDefault="00B0520A" w:rsidP="0014596C">
      <w:pPr>
        <w:jc w:val="both"/>
        <w:rPr>
          <w:rtl/>
        </w:rPr>
      </w:pPr>
      <w:r>
        <w:rPr>
          <w:rFonts w:hint="cs"/>
          <w:rtl/>
        </w:rPr>
        <w:t>ظاهر رساله های فار</w:t>
      </w:r>
      <w:r w:rsidR="00B935BF">
        <w:rPr>
          <w:rFonts w:hint="cs"/>
          <w:rtl/>
        </w:rPr>
        <w:t xml:space="preserve">سی مرحوم آقای خویی و آقای تبریزی، </w:t>
      </w:r>
      <w:r w:rsidR="00DE59A4">
        <w:rPr>
          <w:rFonts w:hint="cs"/>
          <w:rtl/>
        </w:rPr>
        <w:t xml:space="preserve">در مورد زن قرشی و غیر قرشی، </w:t>
      </w:r>
      <w:r w:rsidR="00B935BF">
        <w:rPr>
          <w:rFonts w:hint="cs"/>
          <w:rtl/>
        </w:rPr>
        <w:t>فتوای به احتیاط است</w:t>
      </w:r>
      <w:r w:rsidR="0066081C">
        <w:rPr>
          <w:rFonts w:hint="cs"/>
          <w:rtl/>
        </w:rPr>
        <w:t>.</w:t>
      </w:r>
    </w:p>
    <w:p w:rsidR="0069150C" w:rsidRDefault="0069150C" w:rsidP="0069150C">
      <w:pPr>
        <w:jc w:val="both"/>
        <w:rPr>
          <w:rtl/>
        </w:rPr>
      </w:pPr>
      <w:r>
        <w:rPr>
          <w:rFonts w:hint="cs"/>
          <w:rtl/>
        </w:rPr>
        <w:t>اما به نظر می رسد این تقریب صحیح نباشد.</w:t>
      </w:r>
    </w:p>
    <w:p w:rsidR="0069150C" w:rsidRDefault="0069150C" w:rsidP="0069150C">
      <w:pPr>
        <w:jc w:val="both"/>
        <w:rPr>
          <w:rtl/>
        </w:rPr>
      </w:pPr>
      <w:r>
        <w:rPr>
          <w:rFonts w:hint="cs"/>
          <w:rtl/>
        </w:rPr>
        <w:t>در نکته‌ی سوم تقریب دیگری را بیان خواهیم کرد.</w:t>
      </w:r>
    </w:p>
    <w:p w:rsidR="008B4AFF" w:rsidRDefault="00D733F3" w:rsidP="00D733F3">
      <w:pPr>
        <w:pStyle w:val="Heading2"/>
        <w:rPr>
          <w:rtl/>
        </w:rPr>
      </w:pPr>
      <w:bookmarkStart w:id="22" w:name="_Toc26721249"/>
      <w:bookmarkStart w:id="23" w:name="_Toc26726058"/>
      <w:bookmarkStart w:id="24" w:name="_Toc26749127"/>
      <w:r>
        <w:rPr>
          <w:rFonts w:hint="cs"/>
          <w:rtl/>
        </w:rPr>
        <w:t>نکته</w:t>
      </w:r>
      <w:r w:rsidR="008305F7">
        <w:rPr>
          <w:rFonts w:hint="eastAsia"/>
          <w:rtl/>
        </w:rPr>
        <w:t>‌</w:t>
      </w:r>
      <w:r w:rsidR="008305F7">
        <w:rPr>
          <w:rFonts w:hint="cs"/>
          <w:rtl/>
        </w:rPr>
        <w:t>ی</w:t>
      </w:r>
      <w:r w:rsidR="00C42DA1">
        <w:rPr>
          <w:rFonts w:hint="cs"/>
          <w:rtl/>
        </w:rPr>
        <w:t xml:space="preserve"> اول</w:t>
      </w:r>
      <w:bookmarkEnd w:id="22"/>
      <w:bookmarkEnd w:id="23"/>
      <w:bookmarkEnd w:id="24"/>
    </w:p>
    <w:p w:rsidR="00D733F3" w:rsidRDefault="00B27AE4" w:rsidP="00AB6F07">
      <w:pPr>
        <w:jc w:val="both"/>
        <w:rPr>
          <w:rtl/>
        </w:rPr>
      </w:pPr>
      <w:r>
        <w:rPr>
          <w:rFonts w:hint="cs"/>
          <w:rtl/>
        </w:rPr>
        <w:t xml:space="preserve">آن چه مرحوم آقای خویی بحث کرده است در مورد نماز، روزه و ... است اما این که </w:t>
      </w:r>
      <w:r w:rsidR="00AB6F07">
        <w:rPr>
          <w:rFonts w:hint="cs"/>
          <w:rtl/>
        </w:rPr>
        <w:t>حکم عده چیست</w:t>
      </w:r>
      <w:r>
        <w:rPr>
          <w:rFonts w:hint="cs"/>
          <w:rtl/>
        </w:rPr>
        <w:t>، توضیحی نداده است.</w:t>
      </w:r>
    </w:p>
    <w:p w:rsidR="008B4AFF" w:rsidRDefault="00C42DA1" w:rsidP="00C42DA1">
      <w:pPr>
        <w:pStyle w:val="Heading2"/>
        <w:rPr>
          <w:rtl/>
        </w:rPr>
      </w:pPr>
      <w:bookmarkStart w:id="25" w:name="_Toc26721250"/>
      <w:bookmarkStart w:id="26" w:name="_Toc26726059"/>
      <w:bookmarkStart w:id="27" w:name="_Toc26749128"/>
      <w:r>
        <w:rPr>
          <w:rFonts w:hint="cs"/>
          <w:rtl/>
        </w:rPr>
        <w:t>نکته</w:t>
      </w:r>
      <w:r w:rsidR="008305F7">
        <w:rPr>
          <w:rFonts w:hint="eastAsia"/>
          <w:rtl/>
        </w:rPr>
        <w:t>‌</w:t>
      </w:r>
      <w:r w:rsidR="008305F7">
        <w:rPr>
          <w:rFonts w:hint="cs"/>
          <w:rtl/>
        </w:rPr>
        <w:t>ی</w:t>
      </w:r>
      <w:r>
        <w:rPr>
          <w:rFonts w:hint="cs"/>
          <w:rtl/>
        </w:rPr>
        <w:t xml:space="preserve"> دوم</w:t>
      </w:r>
      <w:bookmarkEnd w:id="25"/>
      <w:bookmarkEnd w:id="26"/>
      <w:bookmarkEnd w:id="27"/>
    </w:p>
    <w:p w:rsidR="008B4AFF" w:rsidRDefault="00EF0F1C" w:rsidP="00ED7F4B">
      <w:pPr>
        <w:jc w:val="both"/>
        <w:rPr>
          <w:rtl/>
        </w:rPr>
      </w:pPr>
      <w:r>
        <w:rPr>
          <w:rFonts w:hint="cs"/>
          <w:rtl/>
        </w:rPr>
        <w:t>آیا می توان</w:t>
      </w:r>
      <w:r w:rsidR="00ED7F4B">
        <w:rPr>
          <w:rFonts w:hint="cs"/>
          <w:rtl/>
        </w:rPr>
        <w:t xml:space="preserve"> در این بحث</w:t>
      </w:r>
      <w:r>
        <w:rPr>
          <w:rFonts w:hint="cs"/>
          <w:rtl/>
        </w:rPr>
        <w:t xml:space="preserve"> استصحاب </w:t>
      </w:r>
      <w:r w:rsidR="00ED7F4B">
        <w:rPr>
          <w:rFonts w:hint="cs"/>
          <w:rtl/>
        </w:rPr>
        <w:t>جاری</w:t>
      </w:r>
      <w:r>
        <w:rPr>
          <w:rFonts w:hint="cs"/>
          <w:rtl/>
        </w:rPr>
        <w:t xml:space="preserve"> کرد؟</w:t>
      </w:r>
    </w:p>
    <w:p w:rsidR="00EF0F1C" w:rsidRDefault="00EF0F1C" w:rsidP="00480C46">
      <w:pPr>
        <w:jc w:val="both"/>
        <w:rPr>
          <w:rtl/>
        </w:rPr>
      </w:pPr>
      <w:r>
        <w:rPr>
          <w:rFonts w:hint="cs"/>
          <w:rtl/>
        </w:rPr>
        <w:t>طبق مبنای مرحوم آقای خویی در شبهات حکمیه باید بین حکم ایجابی و حکم سلبی تفصیل قائل شد، یعنی در شبهات حکمیه‌ی سلبی استصحاب جاری است.</w:t>
      </w:r>
    </w:p>
    <w:p w:rsidR="00480C46" w:rsidRDefault="00136A2A" w:rsidP="001F3467">
      <w:pPr>
        <w:jc w:val="both"/>
        <w:rPr>
          <w:rtl/>
        </w:rPr>
      </w:pPr>
      <w:r>
        <w:rPr>
          <w:rFonts w:hint="cs"/>
          <w:rtl/>
        </w:rPr>
        <w:t>خونی که این زن قبلا می دید، حیض بود، حال شک می کنیم خونی که در سن پنجاه تا شصت سال می بیند، حیض است، حیض بودن را استصحاب می کنیم.</w:t>
      </w:r>
    </w:p>
    <w:p w:rsidR="00FF132E" w:rsidRDefault="00FF132E" w:rsidP="001A17BC">
      <w:pPr>
        <w:jc w:val="both"/>
        <w:rPr>
          <w:rtl/>
        </w:rPr>
      </w:pPr>
      <w:r>
        <w:rPr>
          <w:rFonts w:hint="cs"/>
          <w:rtl/>
        </w:rPr>
        <w:t xml:space="preserve">تعارض </w:t>
      </w:r>
      <w:r w:rsidR="006076C7">
        <w:rPr>
          <w:rFonts w:hint="cs"/>
          <w:rtl/>
        </w:rPr>
        <w:t xml:space="preserve">بین استصحاب </w:t>
      </w:r>
      <w:r w:rsidR="005D00D8">
        <w:rPr>
          <w:rFonts w:hint="cs"/>
          <w:rtl/>
        </w:rPr>
        <w:t>جعل</w:t>
      </w:r>
      <w:r w:rsidR="00A358FB">
        <w:rPr>
          <w:rFonts w:hint="cs"/>
          <w:rtl/>
        </w:rPr>
        <w:t xml:space="preserve"> زائد</w:t>
      </w:r>
      <w:r w:rsidR="005D00D8">
        <w:rPr>
          <w:rFonts w:hint="cs"/>
          <w:rtl/>
        </w:rPr>
        <w:t xml:space="preserve"> و مجعول </w:t>
      </w:r>
      <w:r w:rsidR="001A17BC">
        <w:rPr>
          <w:rFonts w:hint="cs"/>
          <w:rtl/>
        </w:rPr>
        <w:t>در این مورد</w:t>
      </w:r>
      <w:r w:rsidR="005D00D8">
        <w:rPr>
          <w:rFonts w:hint="cs"/>
          <w:rtl/>
        </w:rPr>
        <w:t xml:space="preserve"> هم وجود دارد، زیرا یک امر </w:t>
      </w:r>
      <w:r w:rsidR="005E4CA5">
        <w:rPr>
          <w:rFonts w:hint="cs"/>
          <w:rtl/>
        </w:rPr>
        <w:t>ایجابی</w:t>
      </w:r>
      <w:r w:rsidR="00B265BC">
        <w:rPr>
          <w:rFonts w:hint="cs"/>
          <w:rtl/>
        </w:rPr>
        <w:t xml:space="preserve"> و اثباتی</w:t>
      </w:r>
      <w:r w:rsidR="005D00D8">
        <w:rPr>
          <w:rFonts w:hint="cs"/>
          <w:rtl/>
        </w:rPr>
        <w:t xml:space="preserve"> را استصحاب می کنیم گرچه نتیجه‌ی آن عدم و</w:t>
      </w:r>
      <w:r w:rsidR="0095579A">
        <w:rPr>
          <w:rFonts w:hint="cs"/>
          <w:rtl/>
        </w:rPr>
        <w:t>جوب نماز است که یک حکم سلبی است، اما به نتیجه کاری نداریم.</w:t>
      </w:r>
    </w:p>
    <w:p w:rsidR="007F30A8" w:rsidRDefault="003247F1" w:rsidP="003247F1">
      <w:pPr>
        <w:pStyle w:val="Heading2"/>
        <w:rPr>
          <w:rtl/>
        </w:rPr>
      </w:pPr>
      <w:bookmarkStart w:id="28" w:name="_Toc26721251"/>
      <w:bookmarkStart w:id="29" w:name="_Toc26726060"/>
      <w:bookmarkStart w:id="30" w:name="_Toc26749129"/>
      <w:r>
        <w:rPr>
          <w:rFonts w:hint="cs"/>
          <w:rtl/>
        </w:rPr>
        <w:t>نکته</w:t>
      </w:r>
      <w:r w:rsidR="008305F7">
        <w:rPr>
          <w:rFonts w:hint="eastAsia"/>
          <w:rtl/>
        </w:rPr>
        <w:t>‌</w:t>
      </w:r>
      <w:r w:rsidR="008305F7">
        <w:rPr>
          <w:rFonts w:hint="cs"/>
          <w:rtl/>
        </w:rPr>
        <w:t>ی</w:t>
      </w:r>
      <w:r>
        <w:rPr>
          <w:rFonts w:hint="cs"/>
          <w:rtl/>
        </w:rPr>
        <w:t xml:space="preserve"> سوم</w:t>
      </w:r>
      <w:bookmarkEnd w:id="28"/>
      <w:bookmarkEnd w:id="29"/>
      <w:bookmarkEnd w:id="30"/>
    </w:p>
    <w:p w:rsidR="007F30A8" w:rsidRDefault="003247F1" w:rsidP="00480C46">
      <w:pPr>
        <w:jc w:val="both"/>
        <w:rPr>
          <w:rtl/>
        </w:rPr>
      </w:pPr>
      <w:r>
        <w:rPr>
          <w:rFonts w:hint="cs"/>
          <w:rtl/>
        </w:rPr>
        <w:t>شارع مقدس به این صورت حکم کرده است که «الدم الذی تراه المراة واجدا للاوصاف او فی ایام عادتها فهو حیض» اما</w:t>
      </w:r>
      <w:r w:rsidR="00C15E04">
        <w:rPr>
          <w:rFonts w:hint="cs"/>
          <w:rtl/>
        </w:rPr>
        <w:t xml:space="preserve"> این دلیل</w:t>
      </w:r>
      <w:r>
        <w:rPr>
          <w:rFonts w:hint="cs"/>
          <w:rtl/>
        </w:rPr>
        <w:t xml:space="preserve"> به واسطه‌ی یائسه تخصیص خورده است.</w:t>
      </w:r>
      <w:r w:rsidR="00E87296">
        <w:rPr>
          <w:rFonts w:hint="cs"/>
          <w:rtl/>
        </w:rPr>
        <w:t xml:space="preserve"> بنابراین در فاصله‌ی پنجاه تا شصت سال شبهه‌ی مصداقیه‌ی مخصص داریم، نمی دانیم در پنجاه تا شصت سال، یائسه صدق می کند یا صدق نمی کند.</w:t>
      </w:r>
    </w:p>
    <w:p w:rsidR="008E7E1C" w:rsidRDefault="008E7E1C" w:rsidP="00DA60B4">
      <w:pPr>
        <w:jc w:val="both"/>
        <w:rPr>
          <w:rtl/>
        </w:rPr>
      </w:pPr>
      <w:r>
        <w:rPr>
          <w:rFonts w:hint="cs"/>
          <w:rtl/>
        </w:rPr>
        <w:t>اما تعیی</w:t>
      </w:r>
      <w:r w:rsidR="002511EA">
        <w:rPr>
          <w:rFonts w:hint="cs"/>
          <w:rtl/>
        </w:rPr>
        <w:t xml:space="preserve">ن مصداق در این مورد با شارع </w:t>
      </w:r>
      <w:r w:rsidR="00DA60B4">
        <w:rPr>
          <w:rFonts w:hint="cs"/>
          <w:rtl/>
        </w:rPr>
        <w:t>است</w:t>
      </w:r>
      <w:r w:rsidR="00277DA7">
        <w:rPr>
          <w:rFonts w:hint="cs"/>
          <w:rtl/>
        </w:rPr>
        <w:t>، یعنی به خاطر شک در امور خارجی نیست بلکه به خاطر شک در این است که شارع مقدس چه زنی را یائسه می داند و چه زنی را یائسه نمی داند.</w:t>
      </w:r>
    </w:p>
    <w:p w:rsidR="00142298" w:rsidRDefault="00142298" w:rsidP="008E7E1C">
      <w:pPr>
        <w:jc w:val="both"/>
        <w:rPr>
          <w:rtl/>
        </w:rPr>
      </w:pPr>
      <w:r>
        <w:rPr>
          <w:rFonts w:hint="cs"/>
          <w:rtl/>
        </w:rPr>
        <w:t>سوال این است که در چنین مو</w:t>
      </w:r>
      <w:r w:rsidR="00851AC5">
        <w:rPr>
          <w:rFonts w:hint="cs"/>
          <w:rtl/>
        </w:rPr>
        <w:t>ا</w:t>
      </w:r>
      <w:r>
        <w:rPr>
          <w:rFonts w:hint="cs"/>
          <w:rtl/>
        </w:rPr>
        <w:t>ردی آیا می توان به عام تمسک کرد؟</w:t>
      </w:r>
    </w:p>
    <w:p w:rsidR="007F30A8" w:rsidRDefault="007D5150" w:rsidP="008C1E7C">
      <w:pPr>
        <w:jc w:val="both"/>
        <w:rPr>
          <w:rtl/>
        </w:rPr>
      </w:pPr>
      <w:r>
        <w:rPr>
          <w:rFonts w:hint="cs"/>
          <w:rtl/>
        </w:rPr>
        <w:t>مثلا</w:t>
      </w:r>
      <w:r w:rsidR="00795AE8">
        <w:rPr>
          <w:rFonts w:hint="cs"/>
          <w:rtl/>
        </w:rPr>
        <w:t xml:space="preserve"> امر شده است: «اکرم العالم غیر الفاسق»</w:t>
      </w:r>
      <w:r w:rsidR="000B7436">
        <w:rPr>
          <w:rFonts w:hint="cs"/>
          <w:rtl/>
        </w:rPr>
        <w:t xml:space="preserve"> و نمی دانیم مثلا عصیر عنبی حرام است یا حرام نمی باشد، در نتیجه نمی دانیم شارب عصیر عنبی مرتکب گناه است که فاسق باشد یا مرتکب گناه نیست و فاسق هم نیست.</w:t>
      </w:r>
    </w:p>
    <w:p w:rsidR="007F30A8" w:rsidRDefault="007D5150" w:rsidP="00480C46">
      <w:pPr>
        <w:jc w:val="both"/>
        <w:rPr>
          <w:rtl/>
        </w:rPr>
      </w:pPr>
      <w:r>
        <w:rPr>
          <w:rFonts w:hint="cs"/>
          <w:rtl/>
        </w:rPr>
        <w:t>طبق مبنای کسانی که در شبهه‌ی مفهومیه‌ی دائر بین اقل و اکثر به عام تمسک می کنند، در محل بحث ما هم می توان به عام تمسک کرد.</w:t>
      </w:r>
    </w:p>
    <w:p w:rsidR="007F30A8" w:rsidRDefault="00336131" w:rsidP="008C1E7C">
      <w:pPr>
        <w:jc w:val="both"/>
        <w:rPr>
          <w:rtl/>
        </w:rPr>
      </w:pPr>
      <w:r>
        <w:rPr>
          <w:rFonts w:hint="cs"/>
          <w:rtl/>
        </w:rPr>
        <w:t>این که در شبهات مصداقیه‌ی صرف نمی توان به عام تمسک کرد به این جهت است که تعیین مصداق بر عهده‌ی شارع نیست.</w:t>
      </w:r>
    </w:p>
    <w:p w:rsidR="00480C46" w:rsidRDefault="00527774" w:rsidP="002515DB">
      <w:pPr>
        <w:jc w:val="both"/>
        <w:rPr>
          <w:rtl/>
        </w:rPr>
      </w:pPr>
      <w:r>
        <w:rPr>
          <w:rFonts w:hint="cs"/>
          <w:rtl/>
        </w:rPr>
        <w:t>در نتیجه در شبهات مصداقیه ای که تعیین مصداق بر عهده‌ی شارع است می توان به عام تمسک کرد.</w:t>
      </w:r>
    </w:p>
    <w:p w:rsidR="002515DB" w:rsidRDefault="0048313E" w:rsidP="002515DB">
      <w:pPr>
        <w:jc w:val="both"/>
        <w:rPr>
          <w:rtl/>
        </w:rPr>
      </w:pPr>
      <w:r>
        <w:rPr>
          <w:rFonts w:hint="cs"/>
          <w:rtl/>
        </w:rPr>
        <w:t>گفتیم ظاهرا وجهی که برای فتوای سوم مرحوم آقای خویی بیان کردیم، صحیح نیست.</w:t>
      </w:r>
    </w:p>
    <w:p w:rsidR="0048313E" w:rsidRDefault="0048313E" w:rsidP="002515DB">
      <w:pPr>
        <w:jc w:val="both"/>
        <w:rPr>
          <w:rtl/>
        </w:rPr>
      </w:pPr>
      <w:r>
        <w:rPr>
          <w:rFonts w:hint="cs"/>
          <w:rtl/>
        </w:rPr>
        <w:t>شاید مرحوم آقای خویی به خاطر تردید در تمسک به عام در این موارد، احتیاط در فتوا کرده باشد.</w:t>
      </w:r>
    </w:p>
    <w:p w:rsidR="00480C46" w:rsidRDefault="00480C46" w:rsidP="00D23EF3">
      <w:pPr>
        <w:jc w:val="both"/>
        <w:rPr>
          <w:rtl/>
        </w:rPr>
      </w:pPr>
    </w:p>
    <w:p w:rsidR="00480C46" w:rsidRPr="006162A2" w:rsidRDefault="00480C46" w:rsidP="00480C46">
      <w:pPr>
        <w:jc w:val="both"/>
        <w:rPr>
          <w:rtl/>
        </w:rPr>
      </w:pPr>
    </w:p>
    <w:sectPr w:rsidR="00480C4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CE" w:rsidRDefault="00B734CE" w:rsidP="008B750B">
      <w:pPr>
        <w:spacing w:line="240" w:lineRule="auto"/>
      </w:pPr>
      <w:r>
        <w:separator/>
      </w:r>
    </w:p>
  </w:endnote>
  <w:endnote w:type="continuationSeparator" w:id="0">
    <w:p w:rsidR="00B734CE" w:rsidRDefault="00B734C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charset w:val="00"/>
    <w:family w:val="auto"/>
    <w:pitch w:val="variable"/>
    <w:sig w:usb0="80002007" w:usb1="80002000" w:usb2="00000008" w:usb3="00000000" w:csb0="00000043" w:csb1="00000000"/>
  </w:font>
  <w:font w:name="Noor_Titr">
    <w:altName w:val="Segoe UI Semibold"/>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E51405" w:rsidRPr="006D44C1" w:rsidTr="0020241A">
      <w:tc>
        <w:tcPr>
          <w:tcW w:w="3382" w:type="dxa"/>
          <w:tcBorders>
            <w:top w:val="nil"/>
            <w:left w:val="nil"/>
            <w:bottom w:val="nil"/>
            <w:right w:val="nil"/>
          </w:tcBorders>
        </w:tcPr>
        <w:p w:rsidR="00E51405" w:rsidRDefault="00E51405" w:rsidP="006D44C1">
          <w:pPr>
            <w:pStyle w:val="Footer"/>
            <w:rPr>
              <w:rtl/>
            </w:rPr>
          </w:pPr>
        </w:p>
      </w:tc>
      <w:tc>
        <w:tcPr>
          <w:tcW w:w="2252" w:type="dxa"/>
          <w:tcBorders>
            <w:top w:val="nil"/>
            <w:left w:val="nil"/>
            <w:bottom w:val="nil"/>
            <w:right w:val="nil"/>
          </w:tcBorders>
          <w:vAlign w:val="center"/>
        </w:tcPr>
        <w:p w:rsidR="00E51405" w:rsidRDefault="00E51405" w:rsidP="006D44C1">
          <w:pPr>
            <w:pStyle w:val="Footer"/>
            <w:jc w:val="right"/>
            <w:rPr>
              <w:rtl/>
            </w:rPr>
          </w:pPr>
          <w:r>
            <w:rPr>
              <w:rFonts w:hint="cs"/>
              <w:rtl/>
            </w:rPr>
            <w:t xml:space="preserve">صفحه </w:t>
          </w:r>
          <w:r>
            <w:fldChar w:fldCharType="begin"/>
          </w:r>
          <w:r>
            <w:instrText>PAGE   \* MERGEFORMAT</w:instrText>
          </w:r>
          <w:r>
            <w:fldChar w:fldCharType="separate"/>
          </w:r>
          <w:r w:rsidR="002C7030" w:rsidRPr="002C7030">
            <w:rPr>
              <w:noProof/>
              <w:rtl/>
              <w:lang w:val="fa-IR"/>
            </w:rPr>
            <w:t>4</w:t>
          </w:r>
          <w:r>
            <w:rPr>
              <w:noProof/>
            </w:rPr>
            <w:fldChar w:fldCharType="end"/>
          </w:r>
        </w:p>
      </w:tc>
      <w:tc>
        <w:tcPr>
          <w:tcW w:w="4786" w:type="dxa"/>
          <w:tcBorders>
            <w:top w:val="nil"/>
            <w:left w:val="nil"/>
            <w:bottom w:val="nil"/>
            <w:right w:val="nil"/>
          </w:tcBorders>
          <w:vAlign w:val="center"/>
        </w:tcPr>
        <w:p w:rsidR="00E51405" w:rsidRPr="006D44C1" w:rsidRDefault="00E51405" w:rsidP="001B6799">
          <w:pPr>
            <w:pStyle w:val="Footer"/>
            <w:bidi w:val="0"/>
            <w:rPr>
              <w:color w:val="808080" w:themeColor="background1" w:themeShade="80"/>
              <w:rtl/>
            </w:rPr>
          </w:pPr>
          <w:bookmarkStart w:id="38" w:name="BokAdres"/>
          <w:bookmarkEnd w:id="38"/>
          <w:r>
            <w:rPr>
              <w:color w:val="808080" w:themeColor="background1" w:themeShade="80"/>
            </w:rPr>
            <w:t>F1js1_13980917-034_mk3_mfeb.ir</w:t>
          </w:r>
        </w:p>
      </w:tc>
    </w:tr>
  </w:tbl>
  <w:p w:rsidR="00E51405" w:rsidRDefault="00E5140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CE" w:rsidRDefault="00B734CE" w:rsidP="008B750B">
      <w:pPr>
        <w:spacing w:line="240" w:lineRule="auto"/>
      </w:pPr>
      <w:r>
        <w:separator/>
      </w:r>
    </w:p>
  </w:footnote>
  <w:footnote w:type="continuationSeparator" w:id="0">
    <w:p w:rsidR="00B734CE" w:rsidRDefault="00B734CE" w:rsidP="008B750B">
      <w:pPr>
        <w:spacing w:line="240" w:lineRule="auto"/>
      </w:pPr>
      <w:r>
        <w:continuationSeparator/>
      </w:r>
    </w:p>
  </w:footnote>
  <w:footnote w:id="1">
    <w:p w:rsidR="00E51405" w:rsidRPr="00B31F42" w:rsidRDefault="00E51405" w:rsidP="00B31F42">
      <w:pPr>
        <w:pStyle w:val="FootnoteText"/>
      </w:pPr>
      <w:r w:rsidRPr="00B31F42">
        <w:footnoteRef/>
      </w:r>
      <w:r w:rsidRPr="00B31F42">
        <w:rPr>
          <w:rtl/>
        </w:rPr>
        <w:t xml:space="preserve"> </w:t>
      </w:r>
      <w:hyperlink r:id="rId1" w:history="1">
        <w:r w:rsidRPr="00B31F42">
          <w:rPr>
            <w:rStyle w:val="Hyperlink"/>
            <w:rFonts w:hint="cs"/>
            <w:rtl/>
          </w:rPr>
          <w:t>العروة</w:t>
        </w:r>
        <w:r w:rsidRPr="00B31F42">
          <w:rPr>
            <w:rStyle w:val="Hyperlink"/>
            <w:rtl/>
          </w:rPr>
          <w:t xml:space="preserve"> </w:t>
        </w:r>
        <w:r w:rsidRPr="00B31F42">
          <w:rPr>
            <w:rStyle w:val="Hyperlink"/>
            <w:rFonts w:hint="cs"/>
            <w:rtl/>
          </w:rPr>
          <w:t>الوثقی،</w:t>
        </w:r>
        <w:r w:rsidRPr="00B31F42">
          <w:rPr>
            <w:rStyle w:val="Hyperlink"/>
            <w:rtl/>
          </w:rPr>
          <w:t xml:space="preserve"> </w:t>
        </w:r>
        <w:r w:rsidRPr="00B31F42">
          <w:rPr>
            <w:rStyle w:val="Hyperlink"/>
            <w:rFonts w:hint="cs"/>
            <w:rtl/>
          </w:rPr>
          <w:t>السید</w:t>
        </w:r>
        <w:r w:rsidRPr="00B31F42">
          <w:rPr>
            <w:rStyle w:val="Hyperlink"/>
            <w:rtl/>
          </w:rPr>
          <w:t xml:space="preserve"> </w:t>
        </w:r>
        <w:r w:rsidRPr="00B31F42">
          <w:rPr>
            <w:rStyle w:val="Hyperlink"/>
            <w:rFonts w:hint="cs"/>
            <w:rtl/>
          </w:rPr>
          <w:t>محمد</w:t>
        </w:r>
        <w:r w:rsidRPr="00B31F42">
          <w:rPr>
            <w:rStyle w:val="Hyperlink"/>
            <w:rtl/>
          </w:rPr>
          <w:t xml:space="preserve"> </w:t>
        </w:r>
        <w:r w:rsidRPr="00B31F42">
          <w:rPr>
            <w:rStyle w:val="Hyperlink"/>
            <w:rFonts w:hint="cs"/>
            <w:rtl/>
          </w:rPr>
          <w:t>کاظم</w:t>
        </w:r>
        <w:r w:rsidRPr="00B31F42">
          <w:rPr>
            <w:rStyle w:val="Hyperlink"/>
            <w:rtl/>
          </w:rPr>
          <w:t xml:space="preserve"> </w:t>
        </w:r>
        <w:r w:rsidRPr="00B31F42">
          <w:rPr>
            <w:rStyle w:val="Hyperlink"/>
            <w:rFonts w:hint="cs"/>
            <w:rtl/>
          </w:rPr>
          <w:t>الطباطبائی</w:t>
        </w:r>
        <w:r w:rsidRPr="00B31F42">
          <w:rPr>
            <w:rStyle w:val="Hyperlink"/>
            <w:rtl/>
          </w:rPr>
          <w:t xml:space="preserve"> </w:t>
        </w:r>
        <w:r w:rsidRPr="00B31F42">
          <w:rPr>
            <w:rStyle w:val="Hyperlink"/>
            <w:rFonts w:hint="cs"/>
            <w:rtl/>
          </w:rPr>
          <w:t>الیزدی،</w:t>
        </w:r>
        <w:r w:rsidRPr="00B31F42">
          <w:rPr>
            <w:rStyle w:val="Hyperlink"/>
            <w:rtl/>
          </w:rPr>
          <w:t xml:space="preserve"> </w:t>
        </w:r>
        <w:r w:rsidRPr="00B31F42">
          <w:rPr>
            <w:rStyle w:val="Hyperlink"/>
            <w:rFonts w:hint="cs"/>
            <w:rtl/>
          </w:rPr>
          <w:t>ج</w:t>
        </w:r>
        <w:r w:rsidRPr="00B31F42">
          <w:rPr>
            <w:rStyle w:val="Hyperlink"/>
            <w:rtl/>
          </w:rPr>
          <w:t>1</w:t>
        </w:r>
        <w:r w:rsidRPr="00B31F42">
          <w:rPr>
            <w:rStyle w:val="Hyperlink"/>
            <w:rFonts w:hint="cs"/>
            <w:rtl/>
          </w:rPr>
          <w:t>،</w:t>
        </w:r>
        <w:r w:rsidRPr="00B31F42">
          <w:rPr>
            <w:rStyle w:val="Hyperlink"/>
            <w:rtl/>
          </w:rPr>
          <w:t xml:space="preserve"> </w:t>
        </w:r>
        <w:r w:rsidRPr="00B31F42">
          <w:rPr>
            <w:rStyle w:val="Hyperlink"/>
            <w:rFonts w:hint="cs"/>
            <w:rtl/>
          </w:rPr>
          <w:t>ص</w:t>
        </w:r>
        <w:r w:rsidRPr="00B31F42">
          <w:rPr>
            <w:rStyle w:val="Hyperlink"/>
            <w:rtl/>
          </w:rPr>
          <w:t>235.</w:t>
        </w:r>
      </w:hyperlink>
    </w:p>
  </w:footnote>
  <w:footnote w:id="2">
    <w:p w:rsidR="00E51405" w:rsidRPr="00397675" w:rsidRDefault="00E51405" w:rsidP="00397675">
      <w:pPr>
        <w:pStyle w:val="FootnoteText"/>
      </w:pPr>
      <w:r w:rsidRPr="00397675">
        <w:footnoteRef/>
      </w:r>
      <w:r w:rsidRPr="00397675">
        <w:rPr>
          <w:rtl/>
        </w:rPr>
        <w:t xml:space="preserve"> </w:t>
      </w:r>
      <w:hyperlink r:id="rId2" w:history="1">
        <w:r w:rsidRPr="00397675">
          <w:rPr>
            <w:rStyle w:val="Hyperlink"/>
            <w:rFonts w:hint="cs"/>
            <w:rtl/>
          </w:rPr>
          <w:t>العروة</w:t>
        </w:r>
        <w:r w:rsidRPr="00397675">
          <w:rPr>
            <w:rStyle w:val="Hyperlink"/>
            <w:rtl/>
          </w:rPr>
          <w:t xml:space="preserve"> </w:t>
        </w:r>
        <w:r w:rsidRPr="00397675">
          <w:rPr>
            <w:rStyle w:val="Hyperlink"/>
            <w:rFonts w:hint="cs"/>
            <w:rtl/>
          </w:rPr>
          <w:t>الوثقی</w:t>
        </w:r>
        <w:r w:rsidRPr="00397675">
          <w:rPr>
            <w:rStyle w:val="Hyperlink"/>
            <w:rtl/>
          </w:rPr>
          <w:t xml:space="preserve"> (</w:t>
        </w:r>
        <w:r w:rsidRPr="00397675">
          <w:rPr>
            <w:rStyle w:val="Hyperlink"/>
            <w:rFonts w:hint="cs"/>
            <w:rtl/>
          </w:rPr>
          <w:t>المحشی</w:t>
        </w:r>
        <w:r w:rsidRPr="00397675">
          <w:rPr>
            <w:rStyle w:val="Hyperlink"/>
            <w:rtl/>
          </w:rPr>
          <w:t>)</w:t>
        </w:r>
        <w:r w:rsidRPr="00397675">
          <w:rPr>
            <w:rStyle w:val="Hyperlink"/>
            <w:rFonts w:hint="cs"/>
            <w:rtl/>
          </w:rPr>
          <w:t>،</w:t>
        </w:r>
        <w:r w:rsidRPr="00397675">
          <w:rPr>
            <w:rStyle w:val="Hyperlink"/>
            <w:rtl/>
          </w:rPr>
          <w:t xml:space="preserve"> </w:t>
        </w:r>
        <w:r w:rsidRPr="00397675">
          <w:rPr>
            <w:rStyle w:val="Hyperlink"/>
            <w:rFonts w:hint="cs"/>
            <w:rtl/>
          </w:rPr>
          <w:t>السید</w:t>
        </w:r>
        <w:r w:rsidRPr="00397675">
          <w:rPr>
            <w:rStyle w:val="Hyperlink"/>
            <w:rtl/>
          </w:rPr>
          <w:t xml:space="preserve"> </w:t>
        </w:r>
        <w:r w:rsidRPr="00397675">
          <w:rPr>
            <w:rStyle w:val="Hyperlink"/>
            <w:rFonts w:hint="cs"/>
            <w:rtl/>
          </w:rPr>
          <w:t>محمد</w:t>
        </w:r>
        <w:r w:rsidRPr="00397675">
          <w:rPr>
            <w:rStyle w:val="Hyperlink"/>
            <w:rtl/>
          </w:rPr>
          <w:t xml:space="preserve"> </w:t>
        </w:r>
        <w:r w:rsidRPr="00397675">
          <w:rPr>
            <w:rStyle w:val="Hyperlink"/>
            <w:rFonts w:hint="cs"/>
            <w:rtl/>
          </w:rPr>
          <w:t>کاظم</w:t>
        </w:r>
        <w:r w:rsidRPr="00397675">
          <w:rPr>
            <w:rStyle w:val="Hyperlink"/>
            <w:rtl/>
          </w:rPr>
          <w:t xml:space="preserve"> </w:t>
        </w:r>
        <w:r w:rsidRPr="00397675">
          <w:rPr>
            <w:rStyle w:val="Hyperlink"/>
            <w:rFonts w:hint="cs"/>
            <w:rtl/>
          </w:rPr>
          <w:t>الطباطبائی</w:t>
        </w:r>
        <w:r w:rsidRPr="00397675">
          <w:rPr>
            <w:rStyle w:val="Hyperlink"/>
            <w:rtl/>
          </w:rPr>
          <w:t xml:space="preserve"> </w:t>
        </w:r>
        <w:r w:rsidRPr="00397675">
          <w:rPr>
            <w:rStyle w:val="Hyperlink"/>
            <w:rFonts w:hint="cs"/>
            <w:rtl/>
          </w:rPr>
          <w:t>الیزدی،</w:t>
        </w:r>
        <w:r w:rsidRPr="00397675">
          <w:rPr>
            <w:rStyle w:val="Hyperlink"/>
            <w:rtl/>
          </w:rPr>
          <w:t xml:space="preserve"> </w:t>
        </w:r>
        <w:r w:rsidRPr="00397675">
          <w:rPr>
            <w:rStyle w:val="Hyperlink"/>
            <w:rFonts w:hint="cs"/>
            <w:rtl/>
          </w:rPr>
          <w:t>ج</w:t>
        </w:r>
        <w:r w:rsidRPr="00397675">
          <w:rPr>
            <w:rStyle w:val="Hyperlink"/>
            <w:rtl/>
          </w:rPr>
          <w:t>1</w:t>
        </w:r>
        <w:r w:rsidRPr="00397675">
          <w:rPr>
            <w:rStyle w:val="Hyperlink"/>
            <w:rFonts w:hint="cs"/>
            <w:rtl/>
          </w:rPr>
          <w:t>،</w:t>
        </w:r>
        <w:r w:rsidRPr="00397675">
          <w:rPr>
            <w:rStyle w:val="Hyperlink"/>
            <w:rtl/>
          </w:rPr>
          <w:t xml:space="preserve"> </w:t>
        </w:r>
        <w:r w:rsidRPr="00397675">
          <w:rPr>
            <w:rStyle w:val="Hyperlink"/>
            <w:rFonts w:hint="cs"/>
            <w:rtl/>
          </w:rPr>
          <w:t>ص</w:t>
        </w:r>
        <w:r w:rsidRPr="00397675">
          <w:rPr>
            <w:rStyle w:val="Hyperlink"/>
            <w:rtl/>
          </w:rPr>
          <w:t>559.</w:t>
        </w:r>
      </w:hyperlink>
    </w:p>
  </w:footnote>
  <w:footnote w:id="3">
    <w:p w:rsidR="00E51405" w:rsidRPr="00714BB9" w:rsidRDefault="00E51405" w:rsidP="00B55C00">
      <w:pPr>
        <w:pStyle w:val="FootnoteText"/>
      </w:pPr>
      <w:r w:rsidRPr="00714BB9">
        <w:footnoteRef/>
      </w:r>
      <w:r w:rsidRPr="00714BB9">
        <w:rPr>
          <w:rtl/>
        </w:rPr>
        <w:t xml:space="preserve"> </w:t>
      </w:r>
      <w:hyperlink r:id="rId3" w:history="1">
        <w:r w:rsidRPr="00714BB9">
          <w:rPr>
            <w:rStyle w:val="Hyperlink"/>
            <w:rFonts w:hint="cs"/>
            <w:rtl/>
          </w:rPr>
          <w:t>الکافی،</w:t>
        </w:r>
        <w:r w:rsidRPr="00714BB9">
          <w:rPr>
            <w:rStyle w:val="Hyperlink"/>
            <w:rtl/>
          </w:rPr>
          <w:t xml:space="preserve"> </w:t>
        </w:r>
        <w:r w:rsidRPr="00714BB9">
          <w:rPr>
            <w:rStyle w:val="Hyperlink"/>
            <w:rFonts w:hint="cs"/>
            <w:rtl/>
          </w:rPr>
          <w:t>محمد</w:t>
        </w:r>
        <w:r w:rsidRPr="00714BB9">
          <w:rPr>
            <w:rStyle w:val="Hyperlink"/>
            <w:rtl/>
          </w:rPr>
          <w:t xml:space="preserve"> </w:t>
        </w:r>
        <w:r w:rsidRPr="00714BB9">
          <w:rPr>
            <w:rStyle w:val="Hyperlink"/>
            <w:rFonts w:hint="cs"/>
            <w:rtl/>
          </w:rPr>
          <w:t>بن</w:t>
        </w:r>
        <w:r w:rsidRPr="00714BB9">
          <w:rPr>
            <w:rStyle w:val="Hyperlink"/>
            <w:rtl/>
          </w:rPr>
          <w:t xml:space="preserve"> </w:t>
        </w:r>
        <w:r w:rsidRPr="00714BB9">
          <w:rPr>
            <w:rStyle w:val="Hyperlink"/>
            <w:rFonts w:hint="cs"/>
            <w:rtl/>
          </w:rPr>
          <w:t>یعقوب</w:t>
        </w:r>
        <w:r w:rsidRPr="00714BB9">
          <w:rPr>
            <w:rStyle w:val="Hyperlink"/>
            <w:rtl/>
          </w:rPr>
          <w:t xml:space="preserve"> </w:t>
        </w:r>
        <w:r w:rsidRPr="00714BB9">
          <w:rPr>
            <w:rStyle w:val="Hyperlink"/>
            <w:rFonts w:hint="cs"/>
            <w:rtl/>
          </w:rPr>
          <w:t>کلینی،</w:t>
        </w:r>
        <w:r w:rsidRPr="00714BB9">
          <w:rPr>
            <w:rStyle w:val="Hyperlink"/>
            <w:rtl/>
          </w:rPr>
          <w:t xml:space="preserve"> </w:t>
        </w:r>
        <w:r w:rsidRPr="00714BB9">
          <w:rPr>
            <w:rStyle w:val="Hyperlink"/>
            <w:rFonts w:hint="cs"/>
            <w:rtl/>
          </w:rPr>
          <w:t>ج</w:t>
        </w:r>
        <w:r w:rsidRPr="00714BB9">
          <w:rPr>
            <w:rStyle w:val="Hyperlink"/>
            <w:rtl/>
          </w:rPr>
          <w:t>3</w:t>
        </w:r>
        <w:r w:rsidRPr="00714BB9">
          <w:rPr>
            <w:rStyle w:val="Hyperlink"/>
            <w:rFonts w:hint="cs"/>
            <w:rtl/>
          </w:rPr>
          <w:t>،</w:t>
        </w:r>
        <w:r w:rsidRPr="00714BB9">
          <w:rPr>
            <w:rStyle w:val="Hyperlink"/>
            <w:rtl/>
          </w:rPr>
          <w:t xml:space="preserve"> </w:t>
        </w:r>
        <w:r w:rsidRPr="00714BB9">
          <w:rPr>
            <w:rStyle w:val="Hyperlink"/>
            <w:rFonts w:hint="cs"/>
            <w:rtl/>
          </w:rPr>
          <w:t>ص</w:t>
        </w:r>
        <w:r w:rsidRPr="00714BB9">
          <w:rPr>
            <w:rStyle w:val="Hyperlink"/>
            <w:rtl/>
          </w:rPr>
          <w:t>107.</w:t>
        </w:r>
      </w:hyperlink>
    </w:p>
  </w:footnote>
  <w:footnote w:id="4">
    <w:p w:rsidR="00E51405" w:rsidRPr="00DA5ED1" w:rsidRDefault="00E51405" w:rsidP="00DA5ED1">
      <w:pPr>
        <w:pStyle w:val="FootnoteText"/>
      </w:pPr>
      <w:r w:rsidRPr="00DA5ED1">
        <w:footnoteRef/>
      </w:r>
      <w:r w:rsidRPr="00DA5ED1">
        <w:rPr>
          <w:rtl/>
        </w:rPr>
        <w:t xml:space="preserve"> </w:t>
      </w:r>
      <w:hyperlink r:id="rId4" w:history="1">
        <w:r w:rsidRPr="00DA5ED1">
          <w:rPr>
            <w:rStyle w:val="Hyperlink"/>
            <w:rFonts w:hint="cs"/>
            <w:rtl/>
          </w:rPr>
          <w:t>موسوعة</w:t>
        </w:r>
        <w:r w:rsidRPr="00DA5ED1">
          <w:rPr>
            <w:rStyle w:val="Hyperlink"/>
            <w:rtl/>
          </w:rPr>
          <w:t xml:space="preserve"> </w:t>
        </w:r>
        <w:r w:rsidRPr="00DA5ED1">
          <w:rPr>
            <w:rStyle w:val="Hyperlink"/>
            <w:rFonts w:hint="cs"/>
            <w:rtl/>
          </w:rPr>
          <w:t>الامام</w:t>
        </w:r>
        <w:r w:rsidRPr="00DA5ED1">
          <w:rPr>
            <w:rStyle w:val="Hyperlink"/>
            <w:rtl/>
          </w:rPr>
          <w:t xml:space="preserve"> </w:t>
        </w:r>
        <w:r w:rsidRPr="00DA5ED1">
          <w:rPr>
            <w:rStyle w:val="Hyperlink"/>
            <w:rFonts w:hint="cs"/>
            <w:rtl/>
          </w:rPr>
          <w:t>الخوئی،</w:t>
        </w:r>
        <w:r w:rsidRPr="00DA5ED1">
          <w:rPr>
            <w:rStyle w:val="Hyperlink"/>
            <w:rtl/>
          </w:rPr>
          <w:t xml:space="preserve"> </w:t>
        </w:r>
        <w:r w:rsidRPr="00DA5ED1">
          <w:rPr>
            <w:rStyle w:val="Hyperlink"/>
            <w:rFonts w:hint="cs"/>
            <w:rtl/>
          </w:rPr>
          <w:t>السید</w:t>
        </w:r>
        <w:r w:rsidRPr="00DA5ED1">
          <w:rPr>
            <w:rStyle w:val="Hyperlink"/>
            <w:rtl/>
          </w:rPr>
          <w:t xml:space="preserve"> </w:t>
        </w:r>
        <w:r w:rsidRPr="00DA5ED1">
          <w:rPr>
            <w:rStyle w:val="Hyperlink"/>
            <w:rFonts w:hint="cs"/>
            <w:rtl/>
          </w:rPr>
          <w:t>أبوالقاسم</w:t>
        </w:r>
        <w:r w:rsidRPr="00DA5ED1">
          <w:rPr>
            <w:rStyle w:val="Hyperlink"/>
            <w:rtl/>
          </w:rPr>
          <w:t xml:space="preserve"> </w:t>
        </w:r>
        <w:r w:rsidRPr="00DA5ED1">
          <w:rPr>
            <w:rStyle w:val="Hyperlink"/>
            <w:rFonts w:hint="cs"/>
            <w:rtl/>
          </w:rPr>
          <w:t>الخوئی،</w:t>
        </w:r>
        <w:r w:rsidRPr="00DA5ED1">
          <w:rPr>
            <w:rStyle w:val="Hyperlink"/>
            <w:rtl/>
          </w:rPr>
          <w:t xml:space="preserve"> </w:t>
        </w:r>
        <w:r w:rsidRPr="00DA5ED1">
          <w:rPr>
            <w:rStyle w:val="Hyperlink"/>
            <w:rFonts w:hint="cs"/>
            <w:rtl/>
          </w:rPr>
          <w:t>ج</w:t>
        </w:r>
        <w:r w:rsidRPr="00DA5ED1">
          <w:rPr>
            <w:rStyle w:val="Hyperlink"/>
            <w:rtl/>
          </w:rPr>
          <w:t>7</w:t>
        </w:r>
        <w:r w:rsidRPr="00DA5ED1">
          <w:rPr>
            <w:rStyle w:val="Hyperlink"/>
            <w:rFonts w:hint="cs"/>
            <w:rtl/>
          </w:rPr>
          <w:t>،</w:t>
        </w:r>
        <w:r w:rsidRPr="00DA5ED1">
          <w:rPr>
            <w:rStyle w:val="Hyperlink"/>
            <w:rtl/>
          </w:rPr>
          <w:t xml:space="preserve"> </w:t>
        </w:r>
        <w:r w:rsidRPr="00DA5ED1">
          <w:rPr>
            <w:rStyle w:val="Hyperlink"/>
            <w:rFonts w:hint="cs"/>
            <w:rtl/>
          </w:rPr>
          <w:t>ص</w:t>
        </w:r>
        <w:r w:rsidRPr="00DA5ED1">
          <w:rPr>
            <w:rStyle w:val="Hyperlink"/>
            <w:rtl/>
          </w:rPr>
          <w:t>72.</w:t>
        </w:r>
      </w:hyperlink>
    </w:p>
  </w:footnote>
  <w:footnote w:id="5">
    <w:p w:rsidR="00E51405" w:rsidRPr="001C73D6" w:rsidRDefault="00E51405" w:rsidP="001C73D6">
      <w:pPr>
        <w:pStyle w:val="FootnoteText"/>
      </w:pPr>
      <w:r w:rsidRPr="001C73D6">
        <w:footnoteRef/>
      </w:r>
      <w:r w:rsidRPr="001C73D6">
        <w:rPr>
          <w:rtl/>
        </w:rPr>
        <w:t xml:space="preserve"> </w:t>
      </w:r>
      <w:hyperlink r:id="rId5" w:history="1">
        <w:r w:rsidRPr="001C73D6">
          <w:rPr>
            <w:rStyle w:val="Hyperlink"/>
            <w:rFonts w:hint="cs"/>
            <w:rtl/>
          </w:rPr>
          <w:t>موسوعة</w:t>
        </w:r>
        <w:r w:rsidRPr="001C73D6">
          <w:rPr>
            <w:rStyle w:val="Hyperlink"/>
            <w:rtl/>
          </w:rPr>
          <w:t xml:space="preserve"> </w:t>
        </w:r>
        <w:r w:rsidRPr="001C73D6">
          <w:rPr>
            <w:rStyle w:val="Hyperlink"/>
            <w:rFonts w:hint="cs"/>
            <w:rtl/>
          </w:rPr>
          <w:t>الامام</w:t>
        </w:r>
        <w:r w:rsidRPr="001C73D6">
          <w:rPr>
            <w:rStyle w:val="Hyperlink"/>
            <w:rtl/>
          </w:rPr>
          <w:t xml:space="preserve"> </w:t>
        </w:r>
        <w:r w:rsidRPr="001C73D6">
          <w:rPr>
            <w:rStyle w:val="Hyperlink"/>
            <w:rFonts w:hint="cs"/>
            <w:rtl/>
          </w:rPr>
          <w:t>الخوئی،</w:t>
        </w:r>
        <w:r w:rsidRPr="001C73D6">
          <w:rPr>
            <w:rStyle w:val="Hyperlink"/>
            <w:rtl/>
          </w:rPr>
          <w:t xml:space="preserve"> </w:t>
        </w:r>
        <w:r w:rsidRPr="001C73D6">
          <w:rPr>
            <w:rStyle w:val="Hyperlink"/>
            <w:rFonts w:hint="cs"/>
            <w:rtl/>
          </w:rPr>
          <w:t>السید</w:t>
        </w:r>
        <w:r w:rsidRPr="001C73D6">
          <w:rPr>
            <w:rStyle w:val="Hyperlink"/>
            <w:rtl/>
          </w:rPr>
          <w:t xml:space="preserve"> </w:t>
        </w:r>
        <w:r w:rsidRPr="001C73D6">
          <w:rPr>
            <w:rStyle w:val="Hyperlink"/>
            <w:rFonts w:hint="cs"/>
            <w:rtl/>
          </w:rPr>
          <w:t>أبوالقاسم</w:t>
        </w:r>
        <w:r w:rsidRPr="001C73D6">
          <w:rPr>
            <w:rStyle w:val="Hyperlink"/>
            <w:rtl/>
          </w:rPr>
          <w:t xml:space="preserve"> </w:t>
        </w:r>
        <w:r w:rsidRPr="001C73D6">
          <w:rPr>
            <w:rStyle w:val="Hyperlink"/>
            <w:rFonts w:hint="cs"/>
            <w:rtl/>
          </w:rPr>
          <w:t>الخوئی،</w:t>
        </w:r>
        <w:r w:rsidRPr="001C73D6">
          <w:rPr>
            <w:rStyle w:val="Hyperlink"/>
            <w:rtl/>
          </w:rPr>
          <w:t xml:space="preserve"> </w:t>
        </w:r>
        <w:r w:rsidRPr="001C73D6">
          <w:rPr>
            <w:rStyle w:val="Hyperlink"/>
            <w:rFonts w:hint="cs"/>
            <w:rtl/>
          </w:rPr>
          <w:t>ج</w:t>
        </w:r>
        <w:r w:rsidRPr="001C73D6">
          <w:rPr>
            <w:rStyle w:val="Hyperlink"/>
            <w:rtl/>
          </w:rPr>
          <w:t>7</w:t>
        </w:r>
        <w:r w:rsidRPr="001C73D6">
          <w:rPr>
            <w:rStyle w:val="Hyperlink"/>
            <w:rFonts w:hint="cs"/>
            <w:rtl/>
          </w:rPr>
          <w:t>،</w:t>
        </w:r>
        <w:r w:rsidRPr="001C73D6">
          <w:rPr>
            <w:rStyle w:val="Hyperlink"/>
            <w:rtl/>
          </w:rPr>
          <w:t xml:space="preserve"> </w:t>
        </w:r>
        <w:r w:rsidRPr="001C73D6">
          <w:rPr>
            <w:rStyle w:val="Hyperlink"/>
            <w:rFonts w:hint="cs"/>
            <w:rtl/>
          </w:rPr>
          <w:t>ص</w:t>
        </w:r>
        <w:r w:rsidRPr="001C73D6">
          <w:rPr>
            <w:rStyle w:val="Hyperlink"/>
            <w:rtl/>
          </w:rPr>
          <w:t>67.</w:t>
        </w:r>
      </w:hyperlink>
    </w:p>
  </w:footnote>
  <w:footnote w:id="6">
    <w:p w:rsidR="00E51405" w:rsidRDefault="00E51405" w:rsidP="008B4AFF">
      <w:pPr>
        <w:pStyle w:val="FootnoteText"/>
      </w:pPr>
      <w:r w:rsidRPr="008B4AFF">
        <w:rPr>
          <w:rStyle w:val="FootnoteReference"/>
          <w:vertAlign w:val="baseline"/>
        </w:rPr>
        <w:footnoteRef/>
      </w:r>
      <w:r w:rsidRPr="008B4AFF">
        <w:rPr>
          <w:rtl/>
        </w:rPr>
        <w:t xml:space="preserve"> </w:t>
      </w:r>
      <w:r w:rsidRPr="008B4AFF">
        <w:rPr>
          <w:rFonts w:hint="cs"/>
          <w:rtl/>
        </w:rPr>
        <w:t>منهاج الصالحين (للخوئي)، ج‌1، ص: 56</w:t>
      </w:r>
      <w:bookmarkStart w:id="18" w:name="_GoBack"/>
      <w:bookmarkEnd w:id="1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30" w:rsidRDefault="00E5140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شماره جلسه</w:t>
    </w:r>
    <w:r>
      <w:rPr>
        <w:rFonts w:hint="cs"/>
        <w:b/>
        <w:bCs/>
        <w:sz w:val="20"/>
        <w:szCs w:val="24"/>
        <w:rtl/>
      </w:rPr>
      <w:t xml:space="preserve">: </w:t>
    </w:r>
    <w:bookmarkStart w:id="31" w:name="BokNum"/>
    <w:bookmarkEnd w:id="31"/>
    <w:r>
      <w:rPr>
        <w:b/>
        <w:bCs/>
        <w:sz w:val="20"/>
        <w:szCs w:val="24"/>
        <w:rtl/>
      </w:rPr>
      <w:t>034</w:t>
    </w:r>
    <w:r>
      <w:rPr>
        <w:rFonts w:hint="cs"/>
        <w:b/>
        <w:bCs/>
        <w:sz w:val="20"/>
        <w:szCs w:val="24"/>
        <w:rtl/>
      </w:rPr>
      <w:tab/>
    </w:r>
  </w:p>
  <w:p w:rsidR="002C7030" w:rsidRDefault="00E5140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 xml:space="preserve">درس خارج </w:t>
    </w:r>
    <w:bookmarkStart w:id="32" w:name="Bokdars"/>
    <w:bookmarkEnd w:id="32"/>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3" w:name="Bokostad"/>
    <w:bookmarkEnd w:id="33"/>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C7030" w:rsidRDefault="00E51405" w:rsidP="002C703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Pr>
        <w:rFonts w:hint="cs"/>
        <w:sz w:val="24"/>
        <w:szCs w:val="24"/>
        <w:rtl/>
      </w:rPr>
      <w:t xml:space="preserve">: </w:t>
    </w:r>
    <w:bookmarkStart w:id="34" w:name="BokTarikh"/>
    <w:bookmarkEnd w:id="34"/>
    <w:r>
      <w:rPr>
        <w:sz w:val="24"/>
        <w:szCs w:val="24"/>
        <w:rtl/>
      </w:rPr>
      <w:t>17 /9 /1398</w:t>
    </w:r>
  </w:p>
  <w:p w:rsidR="002C7030" w:rsidRDefault="00E51405" w:rsidP="002C703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5" w:name="BokSabj"/>
    <w:bookmarkEnd w:id="35"/>
    <w:r>
      <w:rPr>
        <w:rFonts w:hint="cs"/>
        <w:color w:val="000000" w:themeColor="text1"/>
        <w:sz w:val="24"/>
        <w:szCs w:val="24"/>
        <w:rtl/>
      </w:rPr>
      <w:t>سن</w:t>
    </w:r>
    <w:r>
      <w:rPr>
        <w:color w:val="000000" w:themeColor="text1"/>
        <w:sz w:val="24"/>
        <w:szCs w:val="24"/>
        <w:rtl/>
      </w:rPr>
      <w:t xml:space="preserve"> </w:t>
    </w:r>
    <w:r>
      <w:rPr>
        <w:rFonts w:hint="cs"/>
        <w:color w:val="000000" w:themeColor="text1"/>
        <w:sz w:val="24"/>
        <w:szCs w:val="24"/>
        <w:rtl/>
      </w:rPr>
      <w:t>یائسگی</w:t>
    </w:r>
    <w:r>
      <w:rPr>
        <w:color w:val="000000" w:themeColor="text1"/>
        <w:sz w:val="24"/>
        <w:szCs w:val="24"/>
        <w:rtl/>
      </w:rPr>
      <w:t xml:space="preserve"> </w:t>
    </w:r>
    <w:r>
      <w:rPr>
        <w:rFonts w:hint="cs"/>
        <w:color w:val="000000" w:themeColor="text1"/>
        <w:sz w:val="24"/>
        <w:szCs w:val="24"/>
        <w:rtl/>
      </w:rPr>
      <w:t>زن</w:t>
    </w:r>
  </w:p>
  <w:p w:rsidR="002C7030" w:rsidRDefault="00E51405" w:rsidP="002C703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Pr>
        <w:rFonts w:hint="cs"/>
        <w:sz w:val="24"/>
        <w:szCs w:val="24"/>
        <w:rtl/>
      </w:rPr>
      <w:t xml:space="preserve">: </w:t>
    </w:r>
    <w:bookmarkStart w:id="36" w:name="Bokmoqarer"/>
    <w:bookmarkEnd w:id="36"/>
    <w:r w:rsidR="0020673C">
      <w:rPr>
        <w:rFonts w:hint="cs"/>
        <w:sz w:val="24"/>
        <w:szCs w:val="24"/>
        <w:rtl/>
      </w:rPr>
      <w:t>مرکز فقهی امام محمد باقر علیه السلام</w:t>
    </w:r>
  </w:p>
  <w:p w:rsidR="00E51405" w:rsidRPr="00F16B53" w:rsidRDefault="00E51405" w:rsidP="002C703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Pr>
        <w:rFonts w:hint="cs"/>
        <w:sz w:val="24"/>
        <w:szCs w:val="24"/>
        <w:rtl/>
      </w:rPr>
      <w:t xml:space="preserve">: </w:t>
    </w:r>
    <w:bookmarkStart w:id="37" w:name="BokSabj2"/>
    <w:bookmarkEnd w:id="37"/>
    <w:r>
      <w:rPr>
        <w:rFonts w:hint="cs"/>
        <w:sz w:val="24"/>
        <w:szCs w:val="24"/>
        <w:rtl/>
      </w:rPr>
      <w:t>اقوال</w:t>
    </w:r>
    <w:r>
      <w:rPr>
        <w:sz w:val="24"/>
        <w:szCs w:val="24"/>
        <w:rtl/>
      </w:rPr>
      <w:t xml:space="preserve"> </w:t>
    </w:r>
    <w:r>
      <w:rPr>
        <w:rFonts w:hint="cs"/>
        <w:sz w:val="24"/>
        <w:szCs w:val="24"/>
        <w:rtl/>
      </w:rPr>
      <w:t>مرحوم</w:t>
    </w:r>
    <w:r>
      <w:rPr>
        <w:sz w:val="24"/>
        <w:szCs w:val="24"/>
        <w:rtl/>
      </w:rPr>
      <w:t xml:space="preserve"> </w:t>
    </w:r>
    <w:r>
      <w:rPr>
        <w:rFonts w:hint="cs"/>
        <w:sz w:val="24"/>
        <w:szCs w:val="24"/>
        <w:rtl/>
      </w:rPr>
      <w:t>آقای</w:t>
    </w:r>
    <w:r>
      <w:rPr>
        <w:sz w:val="24"/>
        <w:szCs w:val="24"/>
        <w:rtl/>
      </w:rPr>
      <w:t xml:space="preserve"> </w:t>
    </w:r>
    <w:r>
      <w:rPr>
        <w:rFonts w:hint="cs"/>
        <w:sz w:val="24"/>
        <w:szCs w:val="24"/>
        <w:rtl/>
      </w:rPr>
      <w:t>خویی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5A37"/>
    <w:rsid w:val="00037342"/>
    <w:rsid w:val="00051EDB"/>
    <w:rsid w:val="00055496"/>
    <w:rsid w:val="00080A41"/>
    <w:rsid w:val="0008299B"/>
    <w:rsid w:val="000913AA"/>
    <w:rsid w:val="00094847"/>
    <w:rsid w:val="00096C63"/>
    <w:rsid w:val="000B5DB5"/>
    <w:rsid w:val="000B7436"/>
    <w:rsid w:val="000C0751"/>
    <w:rsid w:val="000C3947"/>
    <w:rsid w:val="000D029B"/>
    <w:rsid w:val="000D2A37"/>
    <w:rsid w:val="000D30E9"/>
    <w:rsid w:val="000D6818"/>
    <w:rsid w:val="000E335E"/>
    <w:rsid w:val="000E6D49"/>
    <w:rsid w:val="000F16CF"/>
    <w:rsid w:val="000F5BAC"/>
    <w:rsid w:val="00102585"/>
    <w:rsid w:val="00114AB7"/>
    <w:rsid w:val="00116B2B"/>
    <w:rsid w:val="00124E3D"/>
    <w:rsid w:val="00127E95"/>
    <w:rsid w:val="00130659"/>
    <w:rsid w:val="001347C7"/>
    <w:rsid w:val="001356B0"/>
    <w:rsid w:val="00136A2A"/>
    <w:rsid w:val="00142298"/>
    <w:rsid w:val="0014596C"/>
    <w:rsid w:val="00151937"/>
    <w:rsid w:val="00181844"/>
    <w:rsid w:val="001837E9"/>
    <w:rsid w:val="00187DFA"/>
    <w:rsid w:val="001A17BC"/>
    <w:rsid w:val="001A1BC1"/>
    <w:rsid w:val="001A1EA5"/>
    <w:rsid w:val="001A2574"/>
    <w:rsid w:val="001A27D7"/>
    <w:rsid w:val="001A294E"/>
    <w:rsid w:val="001A4ED8"/>
    <w:rsid w:val="001A54DB"/>
    <w:rsid w:val="001B2488"/>
    <w:rsid w:val="001B6799"/>
    <w:rsid w:val="001C1362"/>
    <w:rsid w:val="001C73D6"/>
    <w:rsid w:val="001D2E9A"/>
    <w:rsid w:val="001D597F"/>
    <w:rsid w:val="001E298F"/>
    <w:rsid w:val="001E3FD4"/>
    <w:rsid w:val="001F3467"/>
    <w:rsid w:val="001F6131"/>
    <w:rsid w:val="00201393"/>
    <w:rsid w:val="0020241A"/>
    <w:rsid w:val="00203821"/>
    <w:rsid w:val="0020673C"/>
    <w:rsid w:val="00211632"/>
    <w:rsid w:val="0021630D"/>
    <w:rsid w:val="00224E3E"/>
    <w:rsid w:val="002361E5"/>
    <w:rsid w:val="0024121B"/>
    <w:rsid w:val="00247D2F"/>
    <w:rsid w:val="002511EA"/>
    <w:rsid w:val="002515DB"/>
    <w:rsid w:val="00256560"/>
    <w:rsid w:val="00261716"/>
    <w:rsid w:val="0027605E"/>
    <w:rsid w:val="00277DA7"/>
    <w:rsid w:val="00281E00"/>
    <w:rsid w:val="0028203F"/>
    <w:rsid w:val="00284FDF"/>
    <w:rsid w:val="00293472"/>
    <w:rsid w:val="00294A52"/>
    <w:rsid w:val="00294D11"/>
    <w:rsid w:val="002B575F"/>
    <w:rsid w:val="002B729B"/>
    <w:rsid w:val="002C23B5"/>
    <w:rsid w:val="002C4E2D"/>
    <w:rsid w:val="002C53A2"/>
    <w:rsid w:val="002C7030"/>
    <w:rsid w:val="002D0040"/>
    <w:rsid w:val="002D2FA8"/>
    <w:rsid w:val="002E220F"/>
    <w:rsid w:val="00305B6B"/>
    <w:rsid w:val="00307311"/>
    <w:rsid w:val="0032100F"/>
    <w:rsid w:val="0032213D"/>
    <w:rsid w:val="003247F1"/>
    <w:rsid w:val="00331B12"/>
    <w:rsid w:val="0033402C"/>
    <w:rsid w:val="00336131"/>
    <w:rsid w:val="0033671E"/>
    <w:rsid w:val="00340521"/>
    <w:rsid w:val="00345C73"/>
    <w:rsid w:val="00354A99"/>
    <w:rsid w:val="00360311"/>
    <w:rsid w:val="00361922"/>
    <w:rsid w:val="0037339B"/>
    <w:rsid w:val="00386C11"/>
    <w:rsid w:val="00397466"/>
    <w:rsid w:val="00397675"/>
    <w:rsid w:val="003A6148"/>
    <w:rsid w:val="003C33F6"/>
    <w:rsid w:val="003C3D2E"/>
    <w:rsid w:val="003C43A5"/>
    <w:rsid w:val="003C60D6"/>
    <w:rsid w:val="003C6EA9"/>
    <w:rsid w:val="003E1C5C"/>
    <w:rsid w:val="003E6650"/>
    <w:rsid w:val="003F5B46"/>
    <w:rsid w:val="00401363"/>
    <w:rsid w:val="00402E47"/>
    <w:rsid w:val="00403CAA"/>
    <w:rsid w:val="00413CDF"/>
    <w:rsid w:val="00414D8D"/>
    <w:rsid w:val="00425015"/>
    <w:rsid w:val="00430994"/>
    <w:rsid w:val="004377DD"/>
    <w:rsid w:val="00441B6D"/>
    <w:rsid w:val="004556EF"/>
    <w:rsid w:val="00462B07"/>
    <w:rsid w:val="00465BD2"/>
    <w:rsid w:val="004715C8"/>
    <w:rsid w:val="00480C46"/>
    <w:rsid w:val="004818EC"/>
    <w:rsid w:val="00481C31"/>
    <w:rsid w:val="00482FC1"/>
    <w:rsid w:val="00483027"/>
    <w:rsid w:val="0048313E"/>
    <w:rsid w:val="004871AA"/>
    <w:rsid w:val="004872C8"/>
    <w:rsid w:val="004918D7"/>
    <w:rsid w:val="004926E1"/>
    <w:rsid w:val="004A2FEA"/>
    <w:rsid w:val="004D1AE9"/>
    <w:rsid w:val="004D2DD7"/>
    <w:rsid w:val="004D75C5"/>
    <w:rsid w:val="004E2186"/>
    <w:rsid w:val="004E66FB"/>
    <w:rsid w:val="004F470A"/>
    <w:rsid w:val="004F4C59"/>
    <w:rsid w:val="00500C8F"/>
    <w:rsid w:val="00501909"/>
    <w:rsid w:val="00507BBB"/>
    <w:rsid w:val="005128DF"/>
    <w:rsid w:val="0051592A"/>
    <w:rsid w:val="005206FE"/>
    <w:rsid w:val="005257ED"/>
    <w:rsid w:val="00527774"/>
    <w:rsid w:val="005306F8"/>
    <w:rsid w:val="0054023D"/>
    <w:rsid w:val="005426BF"/>
    <w:rsid w:val="0056213C"/>
    <w:rsid w:val="005741D8"/>
    <w:rsid w:val="00580C24"/>
    <w:rsid w:val="00591EF9"/>
    <w:rsid w:val="005968EF"/>
    <w:rsid w:val="00596BB6"/>
    <w:rsid w:val="00596C1E"/>
    <w:rsid w:val="005A2E26"/>
    <w:rsid w:val="005B7BCA"/>
    <w:rsid w:val="005C0DAE"/>
    <w:rsid w:val="005C188E"/>
    <w:rsid w:val="005D00D8"/>
    <w:rsid w:val="005D2349"/>
    <w:rsid w:val="005E1B60"/>
    <w:rsid w:val="005E4CA5"/>
    <w:rsid w:val="005E5507"/>
    <w:rsid w:val="005E607B"/>
    <w:rsid w:val="005F0A8D"/>
    <w:rsid w:val="00601229"/>
    <w:rsid w:val="00603B67"/>
    <w:rsid w:val="0060748B"/>
    <w:rsid w:val="006076C7"/>
    <w:rsid w:val="006162A2"/>
    <w:rsid w:val="006240DA"/>
    <w:rsid w:val="0063256E"/>
    <w:rsid w:val="00633F04"/>
    <w:rsid w:val="00635219"/>
    <w:rsid w:val="00635EC0"/>
    <w:rsid w:val="00640B58"/>
    <w:rsid w:val="00644CA7"/>
    <w:rsid w:val="00651B02"/>
    <w:rsid w:val="00651B19"/>
    <w:rsid w:val="0066081C"/>
    <w:rsid w:val="00660A29"/>
    <w:rsid w:val="00664C8F"/>
    <w:rsid w:val="00690B95"/>
    <w:rsid w:val="0069150C"/>
    <w:rsid w:val="00695519"/>
    <w:rsid w:val="0069749D"/>
    <w:rsid w:val="006A4134"/>
    <w:rsid w:val="006A5DDA"/>
    <w:rsid w:val="006A6701"/>
    <w:rsid w:val="006A71B3"/>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AE8"/>
    <w:rsid w:val="00795E02"/>
    <w:rsid w:val="007961D2"/>
    <w:rsid w:val="007979D0"/>
    <w:rsid w:val="007A4E18"/>
    <w:rsid w:val="007A7B8C"/>
    <w:rsid w:val="007C6D9E"/>
    <w:rsid w:val="007D0A87"/>
    <w:rsid w:val="007D1C43"/>
    <w:rsid w:val="007D5150"/>
    <w:rsid w:val="007D6C53"/>
    <w:rsid w:val="007E1564"/>
    <w:rsid w:val="007E1E87"/>
    <w:rsid w:val="007E5B3F"/>
    <w:rsid w:val="007F2257"/>
    <w:rsid w:val="007F30A8"/>
    <w:rsid w:val="0080091D"/>
    <w:rsid w:val="00804108"/>
    <w:rsid w:val="00804FC4"/>
    <w:rsid w:val="00812278"/>
    <w:rsid w:val="00816367"/>
    <w:rsid w:val="00816A0B"/>
    <w:rsid w:val="00824B22"/>
    <w:rsid w:val="008305F7"/>
    <w:rsid w:val="00830C53"/>
    <w:rsid w:val="00837FAA"/>
    <w:rsid w:val="00841F77"/>
    <w:rsid w:val="00851AC5"/>
    <w:rsid w:val="0085276D"/>
    <w:rsid w:val="00863390"/>
    <w:rsid w:val="0086385C"/>
    <w:rsid w:val="00870A8A"/>
    <w:rsid w:val="00871916"/>
    <w:rsid w:val="008956DD"/>
    <w:rsid w:val="008A510E"/>
    <w:rsid w:val="008A522A"/>
    <w:rsid w:val="008B4464"/>
    <w:rsid w:val="008B4AFF"/>
    <w:rsid w:val="008B750B"/>
    <w:rsid w:val="008C1E7C"/>
    <w:rsid w:val="008C3162"/>
    <w:rsid w:val="008D013B"/>
    <w:rsid w:val="008D1F14"/>
    <w:rsid w:val="008E3924"/>
    <w:rsid w:val="008E7E1C"/>
    <w:rsid w:val="008F13F7"/>
    <w:rsid w:val="008F5B4D"/>
    <w:rsid w:val="00907425"/>
    <w:rsid w:val="00923C34"/>
    <w:rsid w:val="00924152"/>
    <w:rsid w:val="0092500F"/>
    <w:rsid w:val="0092513D"/>
    <w:rsid w:val="00927A9F"/>
    <w:rsid w:val="009335CC"/>
    <w:rsid w:val="00935A55"/>
    <w:rsid w:val="00941CEB"/>
    <w:rsid w:val="0094720F"/>
    <w:rsid w:val="00953B28"/>
    <w:rsid w:val="00954322"/>
    <w:rsid w:val="0095579A"/>
    <w:rsid w:val="00955CAE"/>
    <w:rsid w:val="00957CAA"/>
    <w:rsid w:val="00964553"/>
    <w:rsid w:val="0096778A"/>
    <w:rsid w:val="00977656"/>
    <w:rsid w:val="009846A7"/>
    <w:rsid w:val="0098794D"/>
    <w:rsid w:val="0099497B"/>
    <w:rsid w:val="009A43BA"/>
    <w:rsid w:val="009B0D05"/>
    <w:rsid w:val="009B4CA6"/>
    <w:rsid w:val="009B79F8"/>
    <w:rsid w:val="009C3B60"/>
    <w:rsid w:val="009C66D5"/>
    <w:rsid w:val="009D13FD"/>
    <w:rsid w:val="009D266A"/>
    <w:rsid w:val="009F7E07"/>
    <w:rsid w:val="00A01522"/>
    <w:rsid w:val="00A029EB"/>
    <w:rsid w:val="00A10A11"/>
    <w:rsid w:val="00A13C6A"/>
    <w:rsid w:val="00A14385"/>
    <w:rsid w:val="00A17B09"/>
    <w:rsid w:val="00A358FB"/>
    <w:rsid w:val="00A42E81"/>
    <w:rsid w:val="00A44287"/>
    <w:rsid w:val="00A457C6"/>
    <w:rsid w:val="00A46AD0"/>
    <w:rsid w:val="00A47063"/>
    <w:rsid w:val="00A473A8"/>
    <w:rsid w:val="00A513F0"/>
    <w:rsid w:val="00A61AC8"/>
    <w:rsid w:val="00A6366F"/>
    <w:rsid w:val="00A65D4C"/>
    <w:rsid w:val="00A70512"/>
    <w:rsid w:val="00A772BD"/>
    <w:rsid w:val="00AA1F60"/>
    <w:rsid w:val="00AA40D7"/>
    <w:rsid w:val="00AB5F7D"/>
    <w:rsid w:val="00AB6F07"/>
    <w:rsid w:val="00AC0C50"/>
    <w:rsid w:val="00AC3895"/>
    <w:rsid w:val="00AC6FE2"/>
    <w:rsid w:val="00AF3925"/>
    <w:rsid w:val="00B0520A"/>
    <w:rsid w:val="00B1296B"/>
    <w:rsid w:val="00B2292F"/>
    <w:rsid w:val="00B265BC"/>
    <w:rsid w:val="00B27AE4"/>
    <w:rsid w:val="00B31F42"/>
    <w:rsid w:val="00B43169"/>
    <w:rsid w:val="00B501A8"/>
    <w:rsid w:val="00B55AE4"/>
    <w:rsid w:val="00B55C00"/>
    <w:rsid w:val="00B64A72"/>
    <w:rsid w:val="00B67FB1"/>
    <w:rsid w:val="00B70B46"/>
    <w:rsid w:val="00B734CE"/>
    <w:rsid w:val="00B739B0"/>
    <w:rsid w:val="00B7438E"/>
    <w:rsid w:val="00B814A3"/>
    <w:rsid w:val="00B935BF"/>
    <w:rsid w:val="00B96F38"/>
    <w:rsid w:val="00B97CA6"/>
    <w:rsid w:val="00BC716B"/>
    <w:rsid w:val="00BD0E74"/>
    <w:rsid w:val="00BD3B27"/>
    <w:rsid w:val="00BD5F8C"/>
    <w:rsid w:val="00BE0A01"/>
    <w:rsid w:val="00BE29DD"/>
    <w:rsid w:val="00BF20BD"/>
    <w:rsid w:val="00BF44AE"/>
    <w:rsid w:val="00C064F2"/>
    <w:rsid w:val="00C066AF"/>
    <w:rsid w:val="00C10E06"/>
    <w:rsid w:val="00C145B8"/>
    <w:rsid w:val="00C15E04"/>
    <w:rsid w:val="00C2438F"/>
    <w:rsid w:val="00C31AF0"/>
    <w:rsid w:val="00C32A7E"/>
    <w:rsid w:val="00C34F28"/>
    <w:rsid w:val="00C368DF"/>
    <w:rsid w:val="00C42DA1"/>
    <w:rsid w:val="00C442C5"/>
    <w:rsid w:val="00C57B5C"/>
    <w:rsid w:val="00C57C7C"/>
    <w:rsid w:val="00C61049"/>
    <w:rsid w:val="00C63FFE"/>
    <w:rsid w:val="00C91EB6"/>
    <w:rsid w:val="00CA10B0"/>
    <w:rsid w:val="00CA2F8E"/>
    <w:rsid w:val="00CA3EE2"/>
    <w:rsid w:val="00CA7FD5"/>
    <w:rsid w:val="00CB3287"/>
    <w:rsid w:val="00CB33E2"/>
    <w:rsid w:val="00CB4E68"/>
    <w:rsid w:val="00CB6EB4"/>
    <w:rsid w:val="00CC2733"/>
    <w:rsid w:val="00CD0050"/>
    <w:rsid w:val="00CE7481"/>
    <w:rsid w:val="00CF0A8F"/>
    <w:rsid w:val="00D048CE"/>
    <w:rsid w:val="00D10998"/>
    <w:rsid w:val="00D15CBD"/>
    <w:rsid w:val="00D221CB"/>
    <w:rsid w:val="00D23391"/>
    <w:rsid w:val="00D23EF3"/>
    <w:rsid w:val="00D31805"/>
    <w:rsid w:val="00D40607"/>
    <w:rsid w:val="00D40AF5"/>
    <w:rsid w:val="00D5097C"/>
    <w:rsid w:val="00D552B9"/>
    <w:rsid w:val="00D5614A"/>
    <w:rsid w:val="00D733F3"/>
    <w:rsid w:val="00D735B2"/>
    <w:rsid w:val="00D74021"/>
    <w:rsid w:val="00D76D01"/>
    <w:rsid w:val="00D9066F"/>
    <w:rsid w:val="00D922A9"/>
    <w:rsid w:val="00D9394A"/>
    <w:rsid w:val="00DA5ED1"/>
    <w:rsid w:val="00DA60B4"/>
    <w:rsid w:val="00DB0CBB"/>
    <w:rsid w:val="00DB67CC"/>
    <w:rsid w:val="00DC3783"/>
    <w:rsid w:val="00DE1070"/>
    <w:rsid w:val="00DE2A9A"/>
    <w:rsid w:val="00DE59A4"/>
    <w:rsid w:val="00DF55FF"/>
    <w:rsid w:val="00E00219"/>
    <w:rsid w:val="00E01BE7"/>
    <w:rsid w:val="00E0316B"/>
    <w:rsid w:val="00E25E10"/>
    <w:rsid w:val="00E50B41"/>
    <w:rsid w:val="00E51405"/>
    <w:rsid w:val="00E5219B"/>
    <w:rsid w:val="00E52D07"/>
    <w:rsid w:val="00E5518B"/>
    <w:rsid w:val="00E609FE"/>
    <w:rsid w:val="00E630BE"/>
    <w:rsid w:val="00E75920"/>
    <w:rsid w:val="00E80D96"/>
    <w:rsid w:val="00E871FA"/>
    <w:rsid w:val="00E87296"/>
    <w:rsid w:val="00E936A4"/>
    <w:rsid w:val="00E954BB"/>
    <w:rsid w:val="00EA45E7"/>
    <w:rsid w:val="00EB78E3"/>
    <w:rsid w:val="00EB7BE3"/>
    <w:rsid w:val="00EC1C4B"/>
    <w:rsid w:val="00EC735A"/>
    <w:rsid w:val="00ED5F38"/>
    <w:rsid w:val="00ED7F4B"/>
    <w:rsid w:val="00EF0F1C"/>
    <w:rsid w:val="00EF27FE"/>
    <w:rsid w:val="00F07FB6"/>
    <w:rsid w:val="00F149D0"/>
    <w:rsid w:val="00F1692D"/>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78E"/>
    <w:rsid w:val="00FD0A16"/>
    <w:rsid w:val="00FE3D7D"/>
    <w:rsid w:val="00FE6DCF"/>
    <w:rsid w:val="00FF13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4394466">
      <w:bodyDiv w:val="1"/>
      <w:marLeft w:val="0"/>
      <w:marRight w:val="0"/>
      <w:marTop w:val="0"/>
      <w:marBottom w:val="0"/>
      <w:divBdr>
        <w:top w:val="none" w:sz="0" w:space="0" w:color="auto"/>
        <w:left w:val="none" w:sz="0" w:space="0" w:color="auto"/>
        <w:bottom w:val="none" w:sz="0" w:space="0" w:color="auto"/>
        <w:right w:val="none" w:sz="0" w:space="0" w:color="auto"/>
      </w:divBdr>
    </w:div>
    <w:div w:id="2038360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471039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951764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3376679">
      <w:bodyDiv w:val="1"/>
      <w:marLeft w:val="0"/>
      <w:marRight w:val="0"/>
      <w:marTop w:val="0"/>
      <w:marBottom w:val="0"/>
      <w:divBdr>
        <w:top w:val="none" w:sz="0" w:space="0" w:color="auto"/>
        <w:left w:val="none" w:sz="0" w:space="0" w:color="auto"/>
        <w:bottom w:val="none" w:sz="0" w:space="0" w:color="auto"/>
        <w:right w:val="none" w:sz="0" w:space="0" w:color="auto"/>
      </w:divBdr>
    </w:div>
    <w:div w:id="797189500">
      <w:bodyDiv w:val="1"/>
      <w:marLeft w:val="0"/>
      <w:marRight w:val="0"/>
      <w:marTop w:val="0"/>
      <w:marBottom w:val="0"/>
      <w:divBdr>
        <w:top w:val="none" w:sz="0" w:space="0" w:color="auto"/>
        <w:left w:val="none" w:sz="0" w:space="0" w:color="auto"/>
        <w:bottom w:val="none" w:sz="0" w:space="0" w:color="auto"/>
        <w:right w:val="none" w:sz="0" w:space="0" w:color="auto"/>
      </w:divBdr>
    </w:div>
    <w:div w:id="9840462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968201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2344279">
      <w:bodyDiv w:val="1"/>
      <w:marLeft w:val="0"/>
      <w:marRight w:val="0"/>
      <w:marTop w:val="0"/>
      <w:marBottom w:val="0"/>
      <w:divBdr>
        <w:top w:val="none" w:sz="0" w:space="0" w:color="auto"/>
        <w:left w:val="none" w:sz="0" w:space="0" w:color="auto"/>
        <w:bottom w:val="none" w:sz="0" w:space="0" w:color="auto"/>
        <w:right w:val="none" w:sz="0" w:space="0" w:color="auto"/>
      </w:divBdr>
    </w:div>
    <w:div w:id="153238149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47178717">
      <w:bodyDiv w:val="1"/>
      <w:marLeft w:val="0"/>
      <w:marRight w:val="0"/>
      <w:marTop w:val="0"/>
      <w:marBottom w:val="0"/>
      <w:divBdr>
        <w:top w:val="none" w:sz="0" w:space="0" w:color="auto"/>
        <w:left w:val="none" w:sz="0" w:space="0" w:color="auto"/>
        <w:bottom w:val="none" w:sz="0" w:space="0" w:color="auto"/>
        <w:right w:val="none" w:sz="0" w:space="0" w:color="auto"/>
      </w:divBdr>
    </w:div>
    <w:div w:id="155235126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751401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7762522">
      <w:bodyDiv w:val="1"/>
      <w:marLeft w:val="0"/>
      <w:marRight w:val="0"/>
      <w:marTop w:val="0"/>
      <w:marBottom w:val="0"/>
      <w:divBdr>
        <w:top w:val="none" w:sz="0" w:space="0" w:color="auto"/>
        <w:left w:val="none" w:sz="0" w:space="0" w:color="auto"/>
        <w:bottom w:val="none" w:sz="0" w:space="0" w:color="auto"/>
        <w:right w:val="none" w:sz="0" w:space="0" w:color="auto"/>
      </w:divBdr>
    </w:div>
    <w:div w:id="1942761296">
      <w:bodyDiv w:val="1"/>
      <w:marLeft w:val="0"/>
      <w:marRight w:val="0"/>
      <w:marTop w:val="0"/>
      <w:marBottom w:val="0"/>
      <w:divBdr>
        <w:top w:val="none" w:sz="0" w:space="0" w:color="auto"/>
        <w:left w:val="none" w:sz="0" w:space="0" w:color="auto"/>
        <w:bottom w:val="none" w:sz="0" w:space="0" w:color="auto"/>
        <w:right w:val="none" w:sz="0" w:space="0" w:color="auto"/>
      </w:divBdr>
    </w:div>
    <w:div w:id="198450314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279247">
      <w:bodyDiv w:val="1"/>
      <w:marLeft w:val="0"/>
      <w:marRight w:val="0"/>
      <w:marTop w:val="0"/>
      <w:marBottom w:val="0"/>
      <w:divBdr>
        <w:top w:val="none" w:sz="0" w:space="0" w:color="auto"/>
        <w:left w:val="none" w:sz="0" w:space="0" w:color="auto"/>
        <w:bottom w:val="none" w:sz="0" w:space="0" w:color="auto"/>
        <w:right w:val="none" w:sz="0" w:space="0" w:color="auto"/>
      </w:divBdr>
    </w:div>
    <w:div w:id="211832902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107/&#1588;&#1575;&#1584;&#1575;&#1606;" TargetMode="External"/><Relationship Id="rId2" Type="http://schemas.openxmlformats.org/officeDocument/2006/relationships/hyperlink" Target="http://lib.eshia.ir/10027/1/559/&#1575;&#1604;&#1605;&#1587;&#1578;&#1581;&#1575;&#1590;&#1577;" TargetMode="External"/><Relationship Id="rId1" Type="http://schemas.openxmlformats.org/officeDocument/2006/relationships/hyperlink" Target="http://lib.eshia.ir/10028/1/235/&#1608;&#1582;&#1605;&#1587;&#1740;&#1606;" TargetMode="External"/><Relationship Id="rId5" Type="http://schemas.openxmlformats.org/officeDocument/2006/relationships/hyperlink" Target="http://lib.eshia.ir/71334/7/67/&#1604;&#1604;&#1602;&#1585;&#1588;&#1740;&#1577;" TargetMode="External"/><Relationship Id="rId4" Type="http://schemas.openxmlformats.org/officeDocument/2006/relationships/hyperlink" Target="http://lib.eshia.ir/71334/7/72/&#1575;&#1604;&#1605;&#1587;&#1578;&#1581;&#1575;&#159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E1D1-E54C-4FD9-85B1-C25DAEB5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842</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5634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2019-12-09T10:02:00Z</cp:lastPrinted>
  <dcterms:created xsi:type="dcterms:W3CDTF">2019-12-09T10:02:00Z</dcterms:created>
  <dcterms:modified xsi:type="dcterms:W3CDTF">2019-12-12T05:31:00Z</dcterms:modified>
  <cp:contentStatus>ویرایش 2.5</cp:contentStatus>
  <cp:version>2.7</cp:version>
</cp:coreProperties>
</file>