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7B" w:rsidRDefault="00DA4C7B" w:rsidP="00DA4C7B">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A4C7B" w:rsidRDefault="00DA4C7B" w:rsidP="00DA4C7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جلسه20</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/09/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6D1AFF">
        <w:rPr>
          <w:rStyle w:val="Emphasis"/>
          <w:rFonts w:hint="cs"/>
          <w:b/>
          <w:bCs w:val="0"/>
          <w:rtl/>
        </w:rPr>
        <w:t>‌ی</w:t>
      </w:r>
      <w:r w:rsidRPr="009C66D5">
        <w:rPr>
          <w:rStyle w:val="Emphasis"/>
          <w:rFonts w:hint="cs"/>
          <w:b/>
          <w:bCs w:val="0"/>
          <w:rtl/>
        </w:rPr>
        <w:t xml:space="preserve"> م</w:t>
      </w:r>
      <w:bookmarkStart w:id="0" w:name="_GoBack"/>
      <w:bookmarkEnd w:id="0"/>
      <w:r w:rsidRPr="009C66D5">
        <w:rPr>
          <w:rStyle w:val="Emphasis"/>
          <w:rFonts w:hint="cs"/>
          <w:b/>
          <w:bCs w:val="0"/>
          <w:rtl/>
        </w:rPr>
        <w:t>باحث گذشته:</w:t>
      </w:r>
    </w:p>
    <w:p w:rsidR="00247D2F" w:rsidRDefault="004D4CE3" w:rsidP="006D1AFF">
      <w:pPr>
        <w:pBdr>
          <w:bottom w:val="double" w:sz="6" w:space="1" w:color="auto"/>
        </w:pBdr>
        <w:jc w:val="both"/>
        <w:rPr>
          <w:rtl/>
        </w:rPr>
      </w:pPr>
      <w:r>
        <w:rPr>
          <w:rFonts w:hint="cs"/>
          <w:rtl/>
        </w:rPr>
        <w:t>بحث در این بود که آیا دلیلی داریم که شارع مقدس برای یائسگی زنان حدی تعیین کرده است؟ به سه تقریب گفتیم که شارع حدی را برای یائسگی زنان تعیین کرده است. بحث اصلی در این است که آیا این ادله در مورد زن قرشی هم مفید هستند؟</w:t>
      </w:r>
    </w:p>
    <w:p w:rsidR="006D1AFF" w:rsidRPr="003A6148" w:rsidRDefault="006D1AFF" w:rsidP="006D1AFF">
      <w:pPr>
        <w:pBdr>
          <w:bottom w:val="double" w:sz="6" w:space="1" w:color="auto"/>
        </w:pBdr>
        <w:jc w:val="both"/>
      </w:pPr>
    </w:p>
    <w:p w:rsidR="008F5B4D" w:rsidRDefault="008F5B4D" w:rsidP="006D1AFF">
      <w:pPr>
        <w:jc w:val="both"/>
      </w:pPr>
    </w:p>
    <w:p w:rsidR="001A1EA5" w:rsidRDefault="004D4CE3" w:rsidP="004D4CE3">
      <w:pPr>
        <w:pStyle w:val="Heading1"/>
        <w:rPr>
          <w:rtl/>
        </w:rPr>
      </w:pPr>
      <w:bookmarkStart w:id="1" w:name="_Toc26236765"/>
      <w:r>
        <w:rPr>
          <w:rFonts w:hint="cs"/>
          <w:rtl/>
        </w:rPr>
        <w:t>تعیین یا عدم تعیین حد یائسگی زن قرشی توسط شارع</w:t>
      </w:r>
      <w:bookmarkEnd w:id="1"/>
    </w:p>
    <w:p w:rsidR="004D4CE3" w:rsidRPr="004D4CE3" w:rsidRDefault="00AC0EA5" w:rsidP="00B450D4">
      <w:pPr>
        <w:jc w:val="both"/>
        <w:rPr>
          <w:rtl/>
        </w:rPr>
      </w:pPr>
      <w:r>
        <w:rPr>
          <w:rFonts w:hint="cs"/>
          <w:rtl/>
        </w:rPr>
        <w:t>باید بررسی کنیم سه تقریبی را که برای اثبات تعیین حد یائسگی زنان توسط شارع آوردیم، آیا در مورد زن قرشی هم تعیین حد توسط شارع را ثابت می کند؟</w:t>
      </w:r>
    </w:p>
    <w:p w:rsidR="006D1AFF" w:rsidRDefault="00E53C61" w:rsidP="0085434C">
      <w:pPr>
        <w:jc w:val="both"/>
        <w:rPr>
          <w:rtl/>
        </w:rPr>
      </w:pPr>
      <w:r>
        <w:rPr>
          <w:rFonts w:hint="cs"/>
          <w:rtl/>
        </w:rPr>
        <w:t>تقریب اولی که بیان شد</w:t>
      </w:r>
      <w:r w:rsidR="0085434C">
        <w:rPr>
          <w:rFonts w:hint="cs"/>
          <w:rtl/>
        </w:rPr>
        <w:t xml:space="preserve"> ( که خیلی بعید است شارع هیچ حدی را برای یائسه تعیین نکرده باشد)</w:t>
      </w:r>
      <w:r>
        <w:rPr>
          <w:rFonts w:hint="cs"/>
          <w:rtl/>
        </w:rPr>
        <w:t xml:space="preserve"> بین قرشی و غیر قرشی مشترک است اما دلیل مستقلی نبود و بیشتر به عنوان موید ذکر شد.</w:t>
      </w:r>
    </w:p>
    <w:p w:rsidR="006D1AFF" w:rsidRDefault="00C33BF6" w:rsidP="00AA3CBD">
      <w:pPr>
        <w:jc w:val="both"/>
        <w:rPr>
          <w:rtl/>
        </w:rPr>
      </w:pPr>
      <w:r>
        <w:rPr>
          <w:rFonts w:hint="cs"/>
          <w:rtl/>
        </w:rPr>
        <w:t>تقریب دوم آیه‌ی</w:t>
      </w:r>
      <w:r w:rsidR="00AA3CBD">
        <w:rPr>
          <w:rFonts w:hint="cs"/>
          <w:rtl/>
        </w:rPr>
        <w:t xml:space="preserve"> چهارم سوره‌ی طلاق</w:t>
      </w:r>
      <w:r w:rsidR="00AA3CBD">
        <w:rPr>
          <w:rStyle w:val="FootnoteReference"/>
          <w:rtl/>
        </w:rPr>
        <w:footnoteReference w:id="1"/>
      </w:r>
      <w:r>
        <w:rPr>
          <w:rFonts w:hint="cs"/>
          <w:rtl/>
        </w:rPr>
        <w:t xml:space="preserve"> بود که اصل حد داشتن یائسگی زنان را ثابت می کرد اما ممکن است ناظر به متعارف زنان باشد و شامل زنان قرشی نشود.</w:t>
      </w:r>
    </w:p>
    <w:p w:rsidR="006D1AFF" w:rsidRDefault="00AD14AA" w:rsidP="006D1AFF">
      <w:pPr>
        <w:jc w:val="both"/>
        <w:rPr>
          <w:rtl/>
        </w:rPr>
      </w:pPr>
      <w:r>
        <w:rPr>
          <w:rFonts w:hint="cs"/>
          <w:rtl/>
        </w:rPr>
        <w:t>سوره‌ی طلاق مدنی است و نود و نهمین سوره ای است که بر پیامبر</w:t>
      </w:r>
      <w:r w:rsidR="00064859">
        <w:rPr>
          <w:rFonts w:hint="cs"/>
          <w:rtl/>
        </w:rPr>
        <w:t xml:space="preserve"> صلی الله علیه و آله و سلم</w:t>
      </w:r>
      <w:r>
        <w:rPr>
          <w:rFonts w:hint="cs"/>
          <w:rtl/>
        </w:rPr>
        <w:t xml:space="preserve"> نازل شده است و نزول آن هم قبل از فتح مکه بوده است.</w:t>
      </w:r>
    </w:p>
    <w:p w:rsidR="00F45A10" w:rsidRDefault="00F45A10" w:rsidP="006D1AFF">
      <w:pPr>
        <w:jc w:val="both"/>
        <w:rPr>
          <w:rtl/>
        </w:rPr>
      </w:pPr>
      <w:r>
        <w:rPr>
          <w:rFonts w:hint="cs"/>
          <w:rtl/>
        </w:rPr>
        <w:t>اگر زمان نزول آیه را در نظر بگیریم، اکثر زنان، مدنی بودند که قرشی نیستند و مهاجرین خیلی کمتر بودند.</w:t>
      </w:r>
    </w:p>
    <w:p w:rsidR="006D1AFF" w:rsidRDefault="00F45A10" w:rsidP="006D1AFF">
      <w:pPr>
        <w:jc w:val="both"/>
        <w:rPr>
          <w:rtl/>
        </w:rPr>
      </w:pPr>
      <w:r>
        <w:rPr>
          <w:rFonts w:hint="cs"/>
          <w:rtl/>
        </w:rPr>
        <w:t>اگر همه‌ی زمان های بعدی را در نظر بگیریم، تعداد زنان قرشی نسبت به غیر قرشی خیلی کمتر می باشد.</w:t>
      </w:r>
    </w:p>
    <w:p w:rsidR="009C07CB" w:rsidRDefault="009C07CB" w:rsidP="006D1AFF">
      <w:pPr>
        <w:jc w:val="both"/>
        <w:rPr>
          <w:rtl/>
        </w:rPr>
      </w:pPr>
      <w:r>
        <w:rPr>
          <w:rFonts w:hint="cs"/>
          <w:rtl/>
        </w:rPr>
        <w:t>البته ممکن است گفته شود که خیلی بعید است این آیه شامل زنان قرشی نشود</w:t>
      </w:r>
      <w:r w:rsidR="00570BA2">
        <w:rPr>
          <w:rFonts w:hint="cs"/>
          <w:rtl/>
        </w:rPr>
        <w:t>، مخصوصا با توجه به سوره‌ی تحریم که پس از سوره‌ی طلاق می باشد و از نظر ساختاری و مفهومی شبیه هم هستند، هر دو سوره هم با «یا ایها النبی» شروع می شو</w:t>
      </w:r>
      <w:r w:rsidR="004427EF">
        <w:rPr>
          <w:rFonts w:hint="cs"/>
          <w:rtl/>
        </w:rPr>
        <w:t>ن</w:t>
      </w:r>
      <w:r w:rsidR="00570BA2">
        <w:rPr>
          <w:rFonts w:hint="cs"/>
          <w:rtl/>
        </w:rPr>
        <w:t>د.</w:t>
      </w:r>
      <w:r w:rsidR="004427EF">
        <w:rPr>
          <w:rFonts w:hint="cs"/>
          <w:rtl/>
        </w:rPr>
        <w:t xml:space="preserve"> در سوره‌ی تحریم هم بحث طلاق </w:t>
      </w:r>
      <w:r w:rsidR="004427EF">
        <w:rPr>
          <w:rFonts w:hint="cs"/>
          <w:rtl/>
        </w:rPr>
        <w:lastRenderedPageBreak/>
        <w:t>عایشه و حفصه مطرح شده است که هر دو قرشی هستند ( قبایل تیم و عدی از قبایل قریش هستند).</w:t>
      </w:r>
    </w:p>
    <w:p w:rsidR="006D1AFF" w:rsidRDefault="004427EF" w:rsidP="006D1AFF">
      <w:pPr>
        <w:jc w:val="both"/>
        <w:rPr>
          <w:rtl/>
        </w:rPr>
      </w:pPr>
      <w:r>
        <w:rPr>
          <w:rFonts w:hint="cs"/>
          <w:rtl/>
        </w:rPr>
        <w:t>در نتیجه آیه گرچه نمی تواند دلیل باشد اما می توان به عنوان موید به آن تمسک کرد.</w:t>
      </w:r>
    </w:p>
    <w:p w:rsidR="006D1AFF" w:rsidRDefault="00AD551E" w:rsidP="006D1AFF">
      <w:pPr>
        <w:jc w:val="both"/>
        <w:rPr>
          <w:rtl/>
        </w:rPr>
      </w:pPr>
      <w:r>
        <w:rPr>
          <w:rFonts w:hint="cs"/>
          <w:rtl/>
        </w:rPr>
        <w:t>روایت عبدالرحمن بن الحجاج هم فی الجمله وجود حد را ثابت می کند، زیرا ممکن است نقل پنجاه</w:t>
      </w:r>
      <w:r w:rsidR="00832B2B">
        <w:rPr>
          <w:rFonts w:hint="cs"/>
          <w:rtl/>
        </w:rPr>
        <w:t xml:space="preserve"> سال</w:t>
      </w:r>
      <w:r>
        <w:rPr>
          <w:rFonts w:hint="cs"/>
          <w:rtl/>
        </w:rPr>
        <w:t xml:space="preserve"> درست باشد که در مورد غیر قرشی می باشد و ممکن است نقل شصت سال درست باشد که با روایات پنجاه </w:t>
      </w:r>
      <w:r w:rsidR="00FB524A">
        <w:rPr>
          <w:rFonts w:hint="cs"/>
          <w:rtl/>
        </w:rPr>
        <w:t>سال تعارض می کند و تساقط می کن</w:t>
      </w:r>
      <w:r w:rsidR="00546A29">
        <w:rPr>
          <w:rFonts w:hint="cs"/>
          <w:rtl/>
        </w:rPr>
        <w:t>ن</w:t>
      </w:r>
      <w:r w:rsidR="00FB524A">
        <w:rPr>
          <w:rFonts w:hint="cs"/>
          <w:rtl/>
        </w:rPr>
        <w:t xml:space="preserve">د و </w:t>
      </w:r>
      <w:r w:rsidR="00F37E02">
        <w:rPr>
          <w:rFonts w:hint="cs"/>
          <w:rtl/>
        </w:rPr>
        <w:t xml:space="preserve">برای زن قرشی </w:t>
      </w:r>
      <w:r w:rsidR="00FB524A">
        <w:rPr>
          <w:rFonts w:hint="cs"/>
          <w:rtl/>
        </w:rPr>
        <w:t>قابل استناد نیست.</w:t>
      </w:r>
    </w:p>
    <w:p w:rsidR="00435A09" w:rsidRDefault="00435A09" w:rsidP="00435A09">
      <w:pPr>
        <w:jc w:val="both"/>
        <w:rPr>
          <w:rtl/>
        </w:rPr>
      </w:pPr>
      <w:r>
        <w:rPr>
          <w:rFonts w:hint="cs"/>
          <w:rtl/>
        </w:rPr>
        <w:t>در نتیجه استدلال به این روایت فقط در غیر قرشی صحیح است و در قرشی نمی توان به آن تمسک کرد.</w:t>
      </w:r>
    </w:p>
    <w:p w:rsidR="002F3E9C" w:rsidRDefault="002F3E9C" w:rsidP="00435A09">
      <w:pPr>
        <w:jc w:val="both"/>
        <w:rPr>
          <w:rtl/>
        </w:rPr>
      </w:pPr>
      <w:r>
        <w:rPr>
          <w:rFonts w:hint="cs"/>
          <w:rtl/>
        </w:rPr>
        <w:t>اما به نظر می رسد دلیل اول که به عنوان موید ذکر شد، قابل توجه است. یعنی بعید است شارع در مورد زن قرشی حد تعیین نکرده باشد، مخصوصا این که در مورد غیر قرشی حد تعیین کرده است و با وجود تعیین حد برای غیر قرشی خیلی بعید است که برای قرشی حد تعیین نکرده باشد.</w:t>
      </w:r>
    </w:p>
    <w:p w:rsidR="00873E27" w:rsidRDefault="00873E27" w:rsidP="00435A09">
      <w:pPr>
        <w:jc w:val="both"/>
        <w:rPr>
          <w:rtl/>
        </w:rPr>
      </w:pPr>
      <w:r>
        <w:rPr>
          <w:rFonts w:hint="cs"/>
          <w:rtl/>
        </w:rPr>
        <w:t>این که از روایت عبدالرحمن بن الحجاج استفاده کنیم که شارع برای یائسگی حدی تعیین کرده است ( حتی فقط در زن غیر قرشی)</w:t>
      </w:r>
      <w:r w:rsidR="00AD3DF9">
        <w:rPr>
          <w:rFonts w:hint="cs"/>
          <w:rtl/>
        </w:rPr>
        <w:t xml:space="preserve"> می تواند مفید باشد، زیرا به مرسله‌ی ابن ابی عمیر که از روایات عمده‌ی مساله است، اشکال شده است که دلالتی برای بحث ما ندارد.</w:t>
      </w:r>
    </w:p>
    <w:p w:rsidR="00312852" w:rsidRDefault="00312852" w:rsidP="00435A09">
      <w:pPr>
        <w:jc w:val="both"/>
        <w:rPr>
          <w:rtl/>
        </w:rPr>
      </w:pPr>
      <w:r w:rsidRPr="0033673B">
        <w:rPr>
          <w:rFonts w:hint="cs"/>
          <w:rtl/>
        </w:rPr>
        <w:t>عِدَّةٌ مِنْ أَصْحَابِنَا عَنْ أَحْمَدَ بْنِ</w:t>
      </w:r>
      <w:r>
        <w:rPr>
          <w:rFonts w:hint="cs"/>
          <w:rtl/>
        </w:rPr>
        <w:t xml:space="preserve"> مُحَمَّدٍ عَنِ الْحَسَنِ بْنِ ظ</w:t>
      </w:r>
      <w:r w:rsidRPr="0033673B">
        <w:rPr>
          <w:rFonts w:hint="cs"/>
          <w:rtl/>
        </w:rPr>
        <w:t xml:space="preserve">َرِيفٍ عَنِ ابْنِ أَبِي عُمَيْرٍ عَنْ بَعْضِ أَصْحَابِنَا عَنْ أَبِي عَبْدِ اللَّهِ ع قَالَ: </w:t>
      </w:r>
      <w:r w:rsidRPr="0033673B">
        <w:rPr>
          <w:rFonts w:hint="cs"/>
          <w:color w:val="008000"/>
          <w:rtl/>
        </w:rPr>
        <w:t>إِذَا بَلَغَتِ الْمَرْأَةُ خَمْسِينَ سَنَةً لَمْ تَرَ حُمْرَةً إِلَّا أَنْ تَكُونَ امْرَأَةً مِنْ قُرَيْشٍ.</w:t>
      </w:r>
      <w:r>
        <w:rPr>
          <w:rStyle w:val="FootnoteReference"/>
          <w:color w:val="008000"/>
          <w:rtl/>
        </w:rPr>
        <w:footnoteReference w:id="2"/>
      </w:r>
    </w:p>
    <w:p w:rsidR="0017031F" w:rsidRDefault="0017031F" w:rsidP="0017031F">
      <w:pPr>
        <w:jc w:val="both"/>
        <w:rPr>
          <w:rtl/>
        </w:rPr>
      </w:pPr>
      <w:r>
        <w:rPr>
          <w:rFonts w:hint="cs"/>
          <w:rtl/>
        </w:rPr>
        <w:t>اشکال این است که زن وقتی پنجاه سالش شد دیگر خون نمی بیند مگر آن</w:t>
      </w:r>
      <w:r w:rsidR="00D37ECF">
        <w:rPr>
          <w:rFonts w:hint="cs"/>
          <w:rtl/>
        </w:rPr>
        <w:t xml:space="preserve"> </w:t>
      </w:r>
      <w:r>
        <w:rPr>
          <w:rFonts w:hint="cs"/>
          <w:rtl/>
        </w:rPr>
        <w:t>که زن قرشی باشد که خون می بیند، اما آیا خونی که می بیند، خون حیض است؟</w:t>
      </w:r>
    </w:p>
    <w:p w:rsidR="0004440A" w:rsidRDefault="0004440A" w:rsidP="0017031F">
      <w:pPr>
        <w:jc w:val="both"/>
        <w:rPr>
          <w:rtl/>
        </w:rPr>
      </w:pPr>
      <w:r>
        <w:rPr>
          <w:rFonts w:hint="cs"/>
          <w:rtl/>
        </w:rPr>
        <w:t>پاسخ اشکال این است که حمره ناظر به حیض است.</w:t>
      </w:r>
    </w:p>
    <w:p w:rsidR="0004440A" w:rsidRDefault="0004440A" w:rsidP="0004440A">
      <w:pPr>
        <w:jc w:val="both"/>
        <w:rPr>
          <w:rtl/>
        </w:rPr>
      </w:pPr>
      <w:r>
        <w:rPr>
          <w:rFonts w:hint="cs"/>
          <w:rtl/>
        </w:rPr>
        <w:t>مرحوم کاشف الغطاء در انوار الفقاهه چنین توضیح می دهد که این طور نیست که زن غیر قرشی بعد از پنجاه سال خون نبیند، ممکن است خون استحاضه ببیند.</w:t>
      </w:r>
      <w:r w:rsidR="009A5B38">
        <w:rPr>
          <w:rFonts w:hint="cs"/>
          <w:rtl/>
        </w:rPr>
        <w:t xml:space="preserve"> «لم تر حمرة»</w:t>
      </w:r>
      <w:r w:rsidR="00791459">
        <w:rPr>
          <w:rFonts w:hint="cs"/>
          <w:rtl/>
        </w:rPr>
        <w:t xml:space="preserve"> یعنی خونی که شارع حکم به حیض بودنش کرده است، نمی بیند.</w:t>
      </w:r>
    </w:p>
    <w:p w:rsidR="005127DB" w:rsidRDefault="00E20878" w:rsidP="005127DB">
      <w:pPr>
        <w:jc w:val="both"/>
        <w:rPr>
          <w:rtl/>
        </w:rPr>
      </w:pPr>
      <w:r>
        <w:rPr>
          <w:rFonts w:hint="cs"/>
          <w:rtl/>
        </w:rPr>
        <w:t>در روایات هم «لم تر حمرة»، «لم تحض» معنا شده است.</w:t>
      </w:r>
    </w:p>
    <w:p w:rsidR="005127DB" w:rsidRPr="005127DB" w:rsidRDefault="005127DB" w:rsidP="005127DB">
      <w:pPr>
        <w:jc w:val="both"/>
      </w:pPr>
      <w:r w:rsidRPr="005127DB">
        <w:rPr>
          <w:rFonts w:hint="cs"/>
          <w:rtl/>
        </w:rPr>
        <w:t xml:space="preserve">حَدَّثَنَا أَحْمَدُ بْنُ مُحَمَّدِ بْنِ عِيسَى بْنِ عَلِيِّ بْنِ الْحُسَيْنِ بْنِ عَلِيِّ بْنِ الْحُسَيْنِ بْنِ عَلِيِّ بْنِ أَبِي طَالِبٍ قَالَ حَدَّثَنَا أَبُو عَبْدِ اللَّهِ مُحَمَّدُ بْنُ إِبْرَاهِيمَ بْنِ أَسْبَاطٍ قَالَ حَدَّثَنَا أَحْمَدُ بْنُ مُحَمَّدِ بْنِ زِيَادٍ الْقَطَّانُ قَالَ حَدَّثَنِي أَبُو الطَّيِّبِ أَحْمَدُ بْنُ مُحَمَّدِ بْنِ عَبْدِ اللَّهِ قَالَ حَدَّثَنِي عِيسَى بْنُ جَعْفَرِ بْنِ مُحَمَّدِ بْنِ عَبْدِ اللَّهِ بْنِ مُحَمَّدِ بْنِ عُمَرَ بْنِ عَلِيِّ بْنِ أَبِي طَالِبٍ ع عَنْ آبَائِهِ عَنْ عُمَرَ بْنِ عَلِيٍّ عَنْ أَبِيهِ عَلِيِّ بْنِ أَبِي طَالِبٍ ع‏ </w:t>
      </w:r>
      <w:r w:rsidRPr="005127DB">
        <w:rPr>
          <w:rFonts w:hint="cs"/>
          <w:color w:val="008000"/>
          <w:rtl/>
        </w:rPr>
        <w:t xml:space="preserve">أَنَّ النَّبِيَّ ص سُئِلَ مَا الْبَتُولُ فَإِنَّا سَمِعْنَاكَ يَا رَسُولَ اللَّهِ تَقُولُ إِنَّ مَرْيَمَ بَتُولٌ وَ فَاطِمَةَ بَتُولٌ فَقَالَ ص الْبَتُولُ الَّتِي </w:t>
      </w:r>
      <w:r w:rsidRPr="001E20D5">
        <w:rPr>
          <w:rFonts w:hint="cs"/>
          <w:color w:val="008000"/>
          <w:u w:val="single"/>
          <w:rtl/>
        </w:rPr>
        <w:t>لَمْ تَرَ حُمْرَةً قَطُّ أَيْ لَمْ تَحِضْ</w:t>
      </w:r>
      <w:r w:rsidRPr="005127DB">
        <w:rPr>
          <w:rFonts w:hint="cs"/>
          <w:color w:val="008000"/>
          <w:rtl/>
        </w:rPr>
        <w:t xml:space="preserve"> فَإِنَّ الْحَيْضَ مَكْرُوهٌ فِي بَنَاتِ الْأَنْبِيَاء</w:t>
      </w:r>
      <w:r w:rsidR="00440976">
        <w:rPr>
          <w:rStyle w:val="FootnoteReference"/>
          <w:color w:val="008000"/>
          <w:rtl/>
        </w:rPr>
        <w:footnoteReference w:id="3"/>
      </w:r>
    </w:p>
    <w:p w:rsidR="005127DB" w:rsidRDefault="00440976" w:rsidP="0004440A">
      <w:pPr>
        <w:jc w:val="both"/>
        <w:rPr>
          <w:rtl/>
        </w:rPr>
      </w:pPr>
      <w:r>
        <w:rPr>
          <w:rFonts w:hint="cs"/>
          <w:rtl/>
        </w:rPr>
        <w:t>بعضی برای اثبات این که «لم تر حمرة» در مرسله ناظر به حکم شرعی می باشد، چنین گفته اند که ظاهر کلامی که از شارع صادر شده است این است که ناظر به حکم شرعی یا موضوع دارای حکم شرعی باشد و بعید است که یک امر تکوینی را بیان کند.</w:t>
      </w:r>
    </w:p>
    <w:p w:rsidR="00C417D5" w:rsidRDefault="00C417D5" w:rsidP="0004440A">
      <w:pPr>
        <w:jc w:val="both"/>
        <w:rPr>
          <w:rtl/>
        </w:rPr>
      </w:pPr>
      <w:r w:rsidRPr="00343EF6">
        <w:rPr>
          <w:rFonts w:hint="cs"/>
          <w:highlight w:val="yellow"/>
          <w:rtl/>
        </w:rPr>
        <w:t xml:space="preserve">به نظر </w:t>
      </w:r>
      <w:r>
        <w:rPr>
          <w:rFonts w:hint="cs"/>
          <w:rtl/>
        </w:rPr>
        <w:t>ما این مطلب به طور کلی صحیح نیست که هر عبارتی که امام صادق علیه السلام فرموده اند ناظر به احکام شرعی است و هیچ وقت صحبت عادی نمی کردند.</w:t>
      </w:r>
    </w:p>
    <w:p w:rsidR="00AD551E" w:rsidRDefault="00343EF6" w:rsidP="006D1AFF">
      <w:pPr>
        <w:jc w:val="both"/>
        <w:rPr>
          <w:rtl/>
        </w:rPr>
      </w:pPr>
      <w:r>
        <w:rPr>
          <w:rFonts w:hint="cs"/>
          <w:rtl/>
        </w:rPr>
        <w:t>بله اگر فضای موجود، فضایی بوده است که حکم شرعی مورد سوال بوده است، کلام امام ظهور در حکم شرعی خواهد داشت.</w:t>
      </w:r>
    </w:p>
    <w:p w:rsidR="00AD551E" w:rsidRDefault="005909F6" w:rsidP="006D1AFF">
      <w:pPr>
        <w:jc w:val="both"/>
        <w:rPr>
          <w:rtl/>
        </w:rPr>
      </w:pPr>
      <w:r>
        <w:rPr>
          <w:rFonts w:hint="cs"/>
          <w:rtl/>
        </w:rPr>
        <w:t>مثلا روایت عبدالرحمن بن الحجاج سوال از حکم شرعی است و از این جهت موید این است که مرسله‌ی ابن ابی عمیر هم در مقام بیان حکم شرعی است.</w:t>
      </w:r>
    </w:p>
    <w:p w:rsidR="00AD551E" w:rsidRDefault="008405EF" w:rsidP="006D1AFF">
      <w:pPr>
        <w:jc w:val="both"/>
        <w:rPr>
          <w:rtl/>
        </w:rPr>
      </w:pPr>
      <w:r>
        <w:rPr>
          <w:rFonts w:hint="cs"/>
          <w:rtl/>
        </w:rPr>
        <w:t>نتیجه این که نباید تردید کنیم که مرسله‌ی ابن ابی عمیر در مقام بیان حد شرعی یاس می باشد.</w:t>
      </w:r>
    </w:p>
    <w:p w:rsidR="008405EF" w:rsidRDefault="008405EF" w:rsidP="00311F9A">
      <w:pPr>
        <w:jc w:val="both"/>
        <w:rPr>
          <w:rtl/>
        </w:rPr>
      </w:pPr>
      <w:r>
        <w:rPr>
          <w:rFonts w:hint="cs"/>
          <w:rtl/>
        </w:rPr>
        <w:t>اما بحث در این است که آیا شارع برای قرشی هم حد تعیین کرده است؟</w:t>
      </w:r>
    </w:p>
    <w:p w:rsidR="008405EF" w:rsidRDefault="008405EF" w:rsidP="006D1AFF">
      <w:pPr>
        <w:jc w:val="both"/>
        <w:rPr>
          <w:rtl/>
        </w:rPr>
      </w:pPr>
      <w:r>
        <w:rPr>
          <w:rFonts w:hint="cs"/>
          <w:rtl/>
        </w:rPr>
        <w:t>گفتیم بعید است شارع برای غیر قرشی حد تعیین کند اما برای قرشی حدی تعیین نکند.</w:t>
      </w:r>
    </w:p>
    <w:p w:rsidR="00F37069" w:rsidRDefault="007B4F28" w:rsidP="00F37069">
      <w:pPr>
        <w:jc w:val="both"/>
        <w:rPr>
          <w:rtl/>
        </w:rPr>
      </w:pPr>
      <w:r>
        <w:rPr>
          <w:rFonts w:hint="cs"/>
          <w:rtl/>
        </w:rPr>
        <w:t xml:space="preserve">همچنین عدم بیان حد یاس زن قرشی در این مرسله به خاطر اعتماد به معهوداتی </w:t>
      </w:r>
      <w:r w:rsidR="00F37069">
        <w:rPr>
          <w:rFonts w:hint="cs"/>
          <w:rtl/>
        </w:rPr>
        <w:t>بوده</w:t>
      </w:r>
      <w:r>
        <w:rPr>
          <w:rFonts w:hint="cs"/>
          <w:rtl/>
        </w:rPr>
        <w:t xml:space="preserve"> است.</w:t>
      </w:r>
      <w:r w:rsidR="00F37069">
        <w:rPr>
          <w:rFonts w:hint="cs"/>
          <w:rtl/>
        </w:rPr>
        <w:t xml:space="preserve"> این معهودات می تواند بعضی روایات مصرحه در مورد زن قرشی باشد، مثل روایاتی که شیخ طوسی در مبسوط به آن اشاره می کند که زن قرشی در شصت سالگی یائسه می شود. این روایات را به خاطر مرسل بودن مورد اعتماد نمی دانیم اما این که در مرسله‌ی ابن ابی عمیر بیان شده که بین زن قرشی و غیر قرشی فرق هست، می تواند موید</w:t>
      </w:r>
      <w:r w:rsidR="00D30E37">
        <w:rPr>
          <w:rFonts w:hint="cs"/>
          <w:rtl/>
        </w:rPr>
        <w:t xml:space="preserve"> صدور</w:t>
      </w:r>
      <w:r w:rsidR="00F37069">
        <w:rPr>
          <w:rFonts w:hint="cs"/>
          <w:rtl/>
        </w:rPr>
        <w:t xml:space="preserve"> این روایات مرسل باشد</w:t>
      </w:r>
      <w:r w:rsidR="00E35100">
        <w:rPr>
          <w:rFonts w:hint="cs"/>
          <w:rtl/>
        </w:rPr>
        <w:t>، همچنین</w:t>
      </w:r>
      <w:r w:rsidR="00F37069">
        <w:rPr>
          <w:rFonts w:hint="cs"/>
          <w:rtl/>
        </w:rPr>
        <w:t xml:space="preserve"> ممکن است ناظر به تفصیل میان عامه باشد، به خصوص اهل مدینه ( که امام هم اهل مدینه بوده است) تفص</w:t>
      </w:r>
      <w:r w:rsidR="00470129">
        <w:rPr>
          <w:rFonts w:hint="cs"/>
          <w:rtl/>
        </w:rPr>
        <w:t>یل بین قرشی و غیر قرشی می دادند و می گفتند قرشی در شصت سال و غیر قرشی در پنجاه سال یائسه می شود.</w:t>
      </w:r>
      <w:r w:rsidR="0092066F">
        <w:rPr>
          <w:rFonts w:hint="cs"/>
          <w:rtl/>
        </w:rPr>
        <w:t xml:space="preserve"> این قول را ابن قدامه در مغنی از اهل مدینه نقل کرده است.</w:t>
      </w:r>
    </w:p>
    <w:p w:rsidR="00683828" w:rsidRDefault="00683828" w:rsidP="00F37069">
      <w:pPr>
        <w:jc w:val="both"/>
        <w:rPr>
          <w:rtl/>
        </w:rPr>
      </w:pPr>
      <w:r w:rsidRPr="003654F4">
        <w:rPr>
          <w:rFonts w:hint="cs"/>
          <w:highlight w:val="yellow"/>
          <w:rtl/>
        </w:rPr>
        <w:t xml:space="preserve">به نظر </w:t>
      </w:r>
      <w:r>
        <w:rPr>
          <w:rFonts w:hint="cs"/>
          <w:rtl/>
        </w:rPr>
        <w:t>می رسد با ضمیمه‌ی مجموع این نکات، به اطمینان می رسیم که شارع حد یاس زن قرشی را شصت سال قرار داده است.</w:t>
      </w:r>
    </w:p>
    <w:p w:rsidR="00AD551E" w:rsidRDefault="00AA4865" w:rsidP="00AA4865">
      <w:pPr>
        <w:pStyle w:val="Heading1"/>
        <w:rPr>
          <w:rtl/>
        </w:rPr>
      </w:pPr>
      <w:bookmarkStart w:id="2" w:name="_Toc26236766"/>
      <w:r>
        <w:rPr>
          <w:rFonts w:hint="cs"/>
          <w:rtl/>
        </w:rPr>
        <w:t>بحث در سن یائسگی زن در صورت حجت ندانستن مرسلات ابن ابی عمیر و بزنطی</w:t>
      </w:r>
      <w:bookmarkEnd w:id="2"/>
    </w:p>
    <w:p w:rsidR="003654F4" w:rsidRDefault="003654F4" w:rsidP="006D1AFF">
      <w:pPr>
        <w:jc w:val="both"/>
        <w:rPr>
          <w:rtl/>
        </w:rPr>
      </w:pPr>
      <w:r>
        <w:rPr>
          <w:rFonts w:hint="cs"/>
          <w:rtl/>
        </w:rPr>
        <w:t>همه‌ی بحث هایی که داشتیم طبق این مبنا بود که مرسلات ابن ابی عمیر و بزنطی را بپذیریم.</w:t>
      </w:r>
    </w:p>
    <w:p w:rsidR="003654F4" w:rsidRDefault="003654F4" w:rsidP="006D1AFF">
      <w:pPr>
        <w:jc w:val="both"/>
        <w:rPr>
          <w:rtl/>
        </w:rPr>
      </w:pPr>
      <w:r>
        <w:rPr>
          <w:rFonts w:hint="cs"/>
          <w:rtl/>
        </w:rPr>
        <w:t>اما اگر این مرسلات را نپذیریم، شکل بحث عوض می شود.</w:t>
      </w:r>
    </w:p>
    <w:p w:rsidR="003654F4" w:rsidRDefault="003654F4" w:rsidP="006D1AFF">
      <w:pPr>
        <w:jc w:val="both"/>
        <w:rPr>
          <w:rtl/>
        </w:rPr>
      </w:pPr>
      <w:r>
        <w:rPr>
          <w:rFonts w:hint="cs"/>
          <w:rtl/>
        </w:rPr>
        <w:t>مرحوم آقای خویی این مرسلات را حجت نمی داند و دو نقل روایت عبدالرحمن بن الحجاج را هم به خاطر تعارض کنار می گذارد و احتیاط می کند.</w:t>
      </w:r>
    </w:p>
    <w:p w:rsidR="00AD551E" w:rsidRDefault="00272FB2" w:rsidP="006D1AFF">
      <w:pPr>
        <w:jc w:val="both"/>
        <w:rPr>
          <w:rtl/>
        </w:rPr>
      </w:pPr>
      <w:r>
        <w:rPr>
          <w:rFonts w:hint="cs"/>
          <w:rtl/>
        </w:rPr>
        <w:t>آیت الله سیستانی می فرماید: نسبت به عده، ملاک پنجاه سال است و نسبت به عبادات</w:t>
      </w:r>
      <w:r w:rsidR="001E20D5">
        <w:rPr>
          <w:rFonts w:hint="cs"/>
          <w:rtl/>
        </w:rPr>
        <w:t>،</w:t>
      </w:r>
      <w:r>
        <w:rPr>
          <w:rFonts w:hint="cs"/>
          <w:rtl/>
        </w:rPr>
        <w:t xml:space="preserve"> ملاک شصت سال است.</w:t>
      </w:r>
    </w:p>
    <w:p w:rsidR="00272FB2" w:rsidRDefault="00272FB2" w:rsidP="006D1AFF">
      <w:pPr>
        <w:jc w:val="both"/>
        <w:rPr>
          <w:rtl/>
        </w:rPr>
      </w:pPr>
      <w:r>
        <w:rPr>
          <w:rFonts w:hint="cs"/>
          <w:rtl/>
        </w:rPr>
        <w:t xml:space="preserve">این تفصیلات احتمالا مبتنی بر این است که مرسلات را حجت ندانیم و به </w:t>
      </w:r>
      <w:r w:rsidR="00713C7E">
        <w:rPr>
          <w:rFonts w:hint="cs"/>
          <w:rtl/>
        </w:rPr>
        <w:t xml:space="preserve">عمومات یا </w:t>
      </w:r>
      <w:r>
        <w:rPr>
          <w:rFonts w:hint="cs"/>
          <w:rtl/>
        </w:rPr>
        <w:t>اصل عملی تمسک کنیم.</w:t>
      </w:r>
    </w:p>
    <w:p w:rsidR="00713C7E" w:rsidRDefault="00713C7E" w:rsidP="006D1AFF">
      <w:pPr>
        <w:jc w:val="both"/>
        <w:rPr>
          <w:rtl/>
        </w:rPr>
      </w:pPr>
      <w:r>
        <w:rPr>
          <w:rFonts w:hint="cs"/>
          <w:rtl/>
        </w:rPr>
        <w:t>مثلا عموماتی داریم که زن در ایام حیض عباداتش را ترک کند.</w:t>
      </w:r>
    </w:p>
    <w:p w:rsidR="006E5898" w:rsidRDefault="006E5898" w:rsidP="006D1AFF">
      <w:pPr>
        <w:jc w:val="both"/>
        <w:rPr>
          <w:rtl/>
        </w:rPr>
      </w:pPr>
      <w:r>
        <w:rPr>
          <w:rFonts w:hint="cs"/>
          <w:rtl/>
        </w:rPr>
        <w:t>روایاتی داریم که برای حیض صفاتی را نقل کرده اند، این عمومات اقتضا می کند حتی پس از شصت سال هم اگر خونی با صفات حیض دیده شد، حیض تلقی شود.</w:t>
      </w:r>
    </w:p>
    <w:p w:rsidR="00713C7E" w:rsidRDefault="006E5898" w:rsidP="00293D3F">
      <w:pPr>
        <w:jc w:val="both"/>
        <w:rPr>
          <w:rtl/>
        </w:rPr>
      </w:pPr>
      <w:r>
        <w:rPr>
          <w:rFonts w:hint="cs"/>
          <w:rtl/>
        </w:rPr>
        <w:t>می دانیم عمومات</w:t>
      </w:r>
      <w:r w:rsidR="00B06D28">
        <w:rPr>
          <w:rFonts w:hint="cs"/>
          <w:rtl/>
        </w:rPr>
        <w:t>ِ</w:t>
      </w:r>
      <w:r>
        <w:rPr>
          <w:rFonts w:hint="cs"/>
          <w:rtl/>
        </w:rPr>
        <w:t xml:space="preserve"> اماریت صفات پس از شصت سال از بین رفته است،  بین پنجاه سال و شصت سال نمی دانیم این عمومات باقی است یا باقی نیست، به این عمومات تمسک می کنیم.</w:t>
      </w:r>
    </w:p>
    <w:p w:rsidR="0038613A" w:rsidRDefault="0038613A" w:rsidP="006D1AFF">
      <w:pPr>
        <w:jc w:val="both"/>
        <w:rPr>
          <w:rtl/>
        </w:rPr>
      </w:pPr>
      <w:r>
        <w:rPr>
          <w:rFonts w:hint="cs"/>
          <w:rtl/>
        </w:rPr>
        <w:t>حال اگر شک کنیم یک زن قرشی است یا غیر قرشی است، چه باید کرد؟</w:t>
      </w:r>
    </w:p>
    <w:p w:rsidR="0038613A" w:rsidRDefault="0038613A" w:rsidP="006D1AFF">
      <w:pPr>
        <w:jc w:val="both"/>
        <w:rPr>
          <w:rtl/>
        </w:rPr>
      </w:pPr>
      <w:r>
        <w:rPr>
          <w:rFonts w:hint="cs"/>
          <w:rtl/>
        </w:rPr>
        <w:t>ان شاءالله در جلسه‌ی بعد بحث خواهیم کرد.</w:t>
      </w:r>
    </w:p>
    <w:p w:rsidR="006D1AFF" w:rsidRPr="006162A2" w:rsidRDefault="006D1AFF" w:rsidP="006D1AFF">
      <w:pPr>
        <w:jc w:val="both"/>
        <w:rPr>
          <w:rtl/>
        </w:rPr>
      </w:pPr>
    </w:p>
    <w:sectPr w:rsidR="006D1AF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DC" w:rsidRDefault="00E867DC" w:rsidP="008B750B">
      <w:pPr>
        <w:spacing w:line="240" w:lineRule="auto"/>
      </w:pPr>
      <w:r>
        <w:separator/>
      </w:r>
    </w:p>
  </w:endnote>
  <w:endnote w:type="continuationSeparator" w:id="0">
    <w:p w:rsidR="00E867DC" w:rsidRDefault="00E867D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A4C7B" w:rsidRPr="00DA4C7B">
            <w:rPr>
              <w:noProof/>
              <w:rtl/>
              <w:lang w:val="fa-IR"/>
            </w:rPr>
            <w:t>4</w:t>
          </w:r>
          <w:r>
            <w:rPr>
              <w:noProof/>
            </w:rPr>
            <w:fldChar w:fldCharType="end"/>
          </w:r>
        </w:p>
      </w:tc>
      <w:tc>
        <w:tcPr>
          <w:tcW w:w="4786" w:type="dxa"/>
          <w:tcBorders>
            <w:top w:val="nil"/>
            <w:left w:val="nil"/>
            <w:bottom w:val="nil"/>
            <w:right w:val="nil"/>
          </w:tcBorders>
          <w:vAlign w:val="center"/>
        </w:tcPr>
        <w:p w:rsidR="006D44C1" w:rsidRPr="006D44C1" w:rsidRDefault="00444F98" w:rsidP="001B6799">
          <w:pPr>
            <w:pStyle w:val="Footer"/>
            <w:bidi w:val="0"/>
            <w:rPr>
              <w:color w:val="808080" w:themeColor="background1" w:themeShade="80"/>
              <w:rtl/>
            </w:rPr>
          </w:pPr>
          <w:bookmarkStart w:id="10" w:name="BokAdres"/>
          <w:bookmarkEnd w:id="10"/>
          <w:r>
            <w:rPr>
              <w:color w:val="808080" w:themeColor="background1" w:themeShade="80"/>
            </w:rPr>
            <w:t>F1js1_13980912- 033_mk3_mfeb.ir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DC" w:rsidRDefault="00E867DC" w:rsidP="008B750B">
      <w:pPr>
        <w:spacing w:line="240" w:lineRule="auto"/>
      </w:pPr>
      <w:r>
        <w:separator/>
      </w:r>
    </w:p>
  </w:footnote>
  <w:footnote w:type="continuationSeparator" w:id="0">
    <w:p w:rsidR="00E867DC" w:rsidRDefault="00E867DC" w:rsidP="008B750B">
      <w:pPr>
        <w:spacing w:line="240" w:lineRule="auto"/>
      </w:pPr>
      <w:r>
        <w:continuationSeparator/>
      </w:r>
    </w:p>
  </w:footnote>
  <w:footnote w:id="1">
    <w:p w:rsidR="00AA3CBD" w:rsidRDefault="00AA3CBD" w:rsidP="00AA3CBD">
      <w:pPr>
        <w:pStyle w:val="FootnoteText"/>
      </w:pPr>
      <w:r>
        <w:rPr>
          <w:rStyle w:val="FootnoteReference"/>
        </w:rPr>
        <w:footnoteRef/>
      </w:r>
      <w:r>
        <w:rPr>
          <w:rtl/>
        </w:rPr>
        <w:t xml:space="preserve"> </w:t>
      </w:r>
      <w:r w:rsidRPr="00AA3CBD">
        <w:rPr>
          <w:rFonts w:ascii="Sakkal Majalla" w:hAnsi="Sakkal Majalla" w:cs="Sakkal Majalla" w:hint="cs"/>
          <w:rtl/>
        </w:rPr>
        <w:t>﴿</w:t>
      </w:r>
      <w:r w:rsidRPr="00AA3CBD">
        <w:rPr>
          <w:rFonts w:hint="cs"/>
          <w:rtl/>
        </w:rPr>
        <w:t xml:space="preserve"> وَ اللاَّئي‏ يَئِسْنَ مِنَ الْمَحيضِ مِنْ نِسائِكُمْ إِنِ ارْتَبْتُمْ فَعِدَّتُهُنَّ ثَلاثَةُ أَشْهُر</w:t>
      </w:r>
      <w:r w:rsidRPr="00AA3CBD">
        <w:rPr>
          <w:rFonts w:ascii="Sakkal Majalla" w:hAnsi="Sakkal Majalla" w:cs="Sakkal Majalla" w:hint="cs"/>
          <w:rtl/>
        </w:rPr>
        <w:t>﴾</w:t>
      </w:r>
    </w:p>
  </w:footnote>
  <w:footnote w:id="2">
    <w:p w:rsidR="00312852" w:rsidRPr="001E3E2B" w:rsidRDefault="00312852" w:rsidP="00312852">
      <w:pPr>
        <w:pStyle w:val="FootnoteText"/>
      </w:pPr>
      <w:r w:rsidRPr="001E3E2B">
        <w:footnoteRef/>
      </w:r>
      <w:r w:rsidRPr="001E3E2B">
        <w:rPr>
          <w:rtl/>
        </w:rPr>
        <w:t xml:space="preserve"> </w:t>
      </w:r>
      <w:hyperlink r:id="rId1" w:history="1">
        <w:r w:rsidRPr="001E3E2B">
          <w:rPr>
            <w:rStyle w:val="Hyperlink"/>
            <w:rFonts w:hint="cs"/>
            <w:rtl/>
          </w:rPr>
          <w:t>الکافی،</w:t>
        </w:r>
        <w:r w:rsidRPr="001E3E2B">
          <w:rPr>
            <w:rStyle w:val="Hyperlink"/>
            <w:rtl/>
          </w:rPr>
          <w:t xml:space="preserve"> </w:t>
        </w:r>
        <w:r w:rsidRPr="001E3E2B">
          <w:rPr>
            <w:rStyle w:val="Hyperlink"/>
            <w:rFonts w:hint="cs"/>
            <w:rtl/>
          </w:rPr>
          <w:t>محمد</w:t>
        </w:r>
        <w:r w:rsidRPr="001E3E2B">
          <w:rPr>
            <w:rStyle w:val="Hyperlink"/>
            <w:rtl/>
          </w:rPr>
          <w:t xml:space="preserve"> </w:t>
        </w:r>
        <w:r w:rsidRPr="001E3E2B">
          <w:rPr>
            <w:rStyle w:val="Hyperlink"/>
            <w:rFonts w:hint="cs"/>
            <w:rtl/>
          </w:rPr>
          <w:t>بن</w:t>
        </w:r>
        <w:r w:rsidRPr="001E3E2B">
          <w:rPr>
            <w:rStyle w:val="Hyperlink"/>
            <w:rtl/>
          </w:rPr>
          <w:t xml:space="preserve"> </w:t>
        </w:r>
        <w:r w:rsidRPr="001E3E2B">
          <w:rPr>
            <w:rStyle w:val="Hyperlink"/>
            <w:rFonts w:hint="cs"/>
            <w:rtl/>
          </w:rPr>
          <w:t>یعقوب</w:t>
        </w:r>
        <w:r w:rsidRPr="001E3E2B">
          <w:rPr>
            <w:rStyle w:val="Hyperlink"/>
            <w:rtl/>
          </w:rPr>
          <w:t xml:space="preserve"> </w:t>
        </w:r>
        <w:r w:rsidRPr="001E3E2B">
          <w:rPr>
            <w:rStyle w:val="Hyperlink"/>
            <w:rFonts w:hint="cs"/>
            <w:rtl/>
          </w:rPr>
          <w:t>کلینی،</w:t>
        </w:r>
        <w:r w:rsidRPr="001E3E2B">
          <w:rPr>
            <w:rStyle w:val="Hyperlink"/>
            <w:rtl/>
          </w:rPr>
          <w:t xml:space="preserve"> </w:t>
        </w:r>
        <w:r w:rsidRPr="001E3E2B">
          <w:rPr>
            <w:rStyle w:val="Hyperlink"/>
            <w:rFonts w:hint="cs"/>
            <w:rtl/>
          </w:rPr>
          <w:t>ج</w:t>
        </w:r>
        <w:r w:rsidRPr="001E3E2B">
          <w:rPr>
            <w:rStyle w:val="Hyperlink"/>
            <w:rtl/>
          </w:rPr>
          <w:t>3</w:t>
        </w:r>
        <w:r w:rsidRPr="001E3E2B">
          <w:rPr>
            <w:rStyle w:val="Hyperlink"/>
            <w:rFonts w:hint="cs"/>
            <w:rtl/>
          </w:rPr>
          <w:t>،</w:t>
        </w:r>
        <w:r w:rsidRPr="001E3E2B">
          <w:rPr>
            <w:rStyle w:val="Hyperlink"/>
            <w:rtl/>
          </w:rPr>
          <w:t xml:space="preserve"> </w:t>
        </w:r>
        <w:r w:rsidRPr="001E3E2B">
          <w:rPr>
            <w:rStyle w:val="Hyperlink"/>
            <w:rFonts w:hint="cs"/>
            <w:rtl/>
          </w:rPr>
          <w:t>ص</w:t>
        </w:r>
        <w:r w:rsidRPr="001E3E2B">
          <w:rPr>
            <w:rStyle w:val="Hyperlink"/>
            <w:rtl/>
          </w:rPr>
          <w:t>107.</w:t>
        </w:r>
      </w:hyperlink>
    </w:p>
  </w:footnote>
  <w:footnote w:id="3">
    <w:p w:rsidR="00440976" w:rsidRPr="00440976" w:rsidRDefault="00440976" w:rsidP="00440976">
      <w:pPr>
        <w:pStyle w:val="FootnoteText"/>
      </w:pPr>
      <w:r w:rsidRPr="00440976">
        <w:footnoteRef/>
      </w:r>
      <w:r w:rsidRPr="00440976">
        <w:rPr>
          <w:rtl/>
        </w:rPr>
        <w:t xml:space="preserve"> </w:t>
      </w:r>
      <w:hyperlink r:id="rId2" w:history="1">
        <w:r w:rsidRPr="00440976">
          <w:rPr>
            <w:rStyle w:val="Hyperlink"/>
            <w:rFonts w:hint="cs"/>
            <w:rtl/>
          </w:rPr>
          <w:t>علل</w:t>
        </w:r>
        <w:r w:rsidRPr="00440976">
          <w:rPr>
            <w:rStyle w:val="Hyperlink"/>
            <w:rtl/>
          </w:rPr>
          <w:t xml:space="preserve"> </w:t>
        </w:r>
        <w:r w:rsidRPr="00440976">
          <w:rPr>
            <w:rStyle w:val="Hyperlink"/>
            <w:rFonts w:hint="cs"/>
            <w:rtl/>
          </w:rPr>
          <w:t>الشرایع،</w:t>
        </w:r>
        <w:r w:rsidRPr="00440976">
          <w:rPr>
            <w:rStyle w:val="Hyperlink"/>
            <w:rtl/>
          </w:rPr>
          <w:t xml:space="preserve"> </w:t>
        </w:r>
        <w:r w:rsidRPr="00440976">
          <w:rPr>
            <w:rStyle w:val="Hyperlink"/>
            <w:rFonts w:hint="cs"/>
            <w:rtl/>
          </w:rPr>
          <w:t>شیخ</w:t>
        </w:r>
        <w:r w:rsidRPr="00440976">
          <w:rPr>
            <w:rStyle w:val="Hyperlink"/>
            <w:rtl/>
          </w:rPr>
          <w:t xml:space="preserve"> </w:t>
        </w:r>
        <w:r w:rsidRPr="00440976">
          <w:rPr>
            <w:rStyle w:val="Hyperlink"/>
            <w:rFonts w:hint="cs"/>
            <w:rtl/>
          </w:rPr>
          <w:t>صدوق،</w:t>
        </w:r>
        <w:r w:rsidRPr="00440976">
          <w:rPr>
            <w:rStyle w:val="Hyperlink"/>
            <w:rtl/>
          </w:rPr>
          <w:t xml:space="preserve"> </w:t>
        </w:r>
        <w:r w:rsidRPr="00440976">
          <w:rPr>
            <w:rStyle w:val="Hyperlink"/>
            <w:rFonts w:hint="cs"/>
            <w:rtl/>
          </w:rPr>
          <w:t>ج</w:t>
        </w:r>
        <w:r w:rsidRPr="00440976">
          <w:rPr>
            <w:rStyle w:val="Hyperlink"/>
            <w:rtl/>
          </w:rPr>
          <w:t>1</w:t>
        </w:r>
        <w:r w:rsidRPr="00440976">
          <w:rPr>
            <w:rStyle w:val="Hyperlink"/>
            <w:rFonts w:hint="cs"/>
            <w:rtl/>
          </w:rPr>
          <w:t>،</w:t>
        </w:r>
        <w:r w:rsidRPr="00440976">
          <w:rPr>
            <w:rStyle w:val="Hyperlink"/>
            <w:rtl/>
          </w:rPr>
          <w:t xml:space="preserve"> </w:t>
        </w:r>
        <w:r w:rsidRPr="00440976">
          <w:rPr>
            <w:rStyle w:val="Hyperlink"/>
            <w:rFonts w:hint="cs"/>
            <w:rtl/>
          </w:rPr>
          <w:t>ص</w:t>
        </w:r>
        <w:r w:rsidRPr="00440976">
          <w:rPr>
            <w:rStyle w:val="Hyperlink"/>
            <w:rtl/>
          </w:rPr>
          <w:t>181.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CD"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 w:name="BokNum"/>
    <w:bookmarkEnd w:id="3"/>
    <w:r w:rsidR="00444F98">
      <w:rPr>
        <w:b/>
        <w:bCs/>
        <w:sz w:val="20"/>
        <w:szCs w:val="24"/>
        <w:rtl/>
      </w:rPr>
      <w:t xml:space="preserve"> 033</w:t>
    </w:r>
    <w:r w:rsidR="001A4ED8">
      <w:rPr>
        <w:rFonts w:hint="cs"/>
        <w:b/>
        <w:bCs/>
        <w:sz w:val="20"/>
        <w:szCs w:val="24"/>
        <w:rtl/>
      </w:rPr>
      <w:tab/>
    </w:r>
  </w:p>
  <w:p w:rsidR="00A648CD"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4" w:name="Bokdars"/>
    <w:bookmarkEnd w:id="4"/>
    <w:r w:rsidR="00444F98">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5" w:name="Bokostad"/>
    <w:bookmarkEnd w:id="5"/>
    <w:r w:rsidR="00444F98">
      <w:rPr>
        <w:rFonts w:hint="cs"/>
        <w:b/>
        <w:bCs/>
        <w:color w:val="632423" w:themeColor="accent2" w:themeShade="80"/>
        <w:sz w:val="20"/>
        <w:szCs w:val="24"/>
        <w:rtl/>
      </w:rPr>
      <w:t>سید</w:t>
    </w:r>
    <w:r w:rsidR="00444F98">
      <w:rPr>
        <w:b/>
        <w:bCs/>
        <w:color w:val="632423" w:themeColor="accent2" w:themeShade="80"/>
        <w:sz w:val="20"/>
        <w:szCs w:val="24"/>
        <w:rtl/>
      </w:rPr>
      <w:t xml:space="preserve"> </w:t>
    </w:r>
    <w:r w:rsidR="00444F98">
      <w:rPr>
        <w:rFonts w:hint="cs"/>
        <w:b/>
        <w:bCs/>
        <w:color w:val="632423" w:themeColor="accent2" w:themeShade="80"/>
        <w:sz w:val="20"/>
        <w:szCs w:val="24"/>
        <w:rtl/>
      </w:rPr>
      <w:t>محمد</w:t>
    </w:r>
    <w:r w:rsidR="00444F98">
      <w:rPr>
        <w:b/>
        <w:bCs/>
        <w:color w:val="632423" w:themeColor="accent2" w:themeShade="80"/>
        <w:sz w:val="20"/>
        <w:szCs w:val="24"/>
        <w:rtl/>
      </w:rPr>
      <w:t xml:space="preserve"> </w:t>
    </w:r>
    <w:r w:rsidR="00444F98">
      <w:rPr>
        <w:rFonts w:hint="cs"/>
        <w:b/>
        <w:bCs/>
        <w:color w:val="632423" w:themeColor="accent2" w:themeShade="80"/>
        <w:sz w:val="20"/>
        <w:szCs w:val="24"/>
        <w:rtl/>
      </w:rPr>
      <w:t>جواد</w:t>
    </w:r>
    <w:r w:rsidR="00444F98">
      <w:rPr>
        <w:b/>
        <w:bCs/>
        <w:color w:val="632423" w:themeColor="accent2" w:themeShade="80"/>
        <w:sz w:val="20"/>
        <w:szCs w:val="24"/>
        <w:rtl/>
      </w:rPr>
      <w:t xml:space="preserve"> </w:t>
    </w:r>
    <w:r w:rsidR="00444F9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A648CD" w:rsidRDefault="00935A55" w:rsidP="00A648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6" w:name="BokTarikh"/>
    <w:bookmarkEnd w:id="6"/>
    <w:r w:rsidR="00444F98">
      <w:rPr>
        <w:sz w:val="24"/>
        <w:szCs w:val="24"/>
        <w:rtl/>
      </w:rPr>
      <w:t>12 /9 /1398</w:t>
    </w:r>
  </w:p>
  <w:p w:rsidR="00A648CD" w:rsidRDefault="00935A55" w:rsidP="00A648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7" w:name="BokSabj"/>
    <w:bookmarkEnd w:id="7"/>
    <w:r w:rsidR="00444F98">
      <w:rPr>
        <w:rFonts w:hint="cs"/>
        <w:color w:val="000000" w:themeColor="text1"/>
        <w:sz w:val="24"/>
        <w:szCs w:val="24"/>
        <w:rtl/>
      </w:rPr>
      <w:t>اقوال</w:t>
    </w:r>
    <w:r w:rsidR="00444F98">
      <w:rPr>
        <w:color w:val="000000" w:themeColor="text1"/>
        <w:sz w:val="24"/>
        <w:szCs w:val="24"/>
        <w:rtl/>
      </w:rPr>
      <w:t xml:space="preserve"> </w:t>
    </w:r>
    <w:r w:rsidR="00444F98">
      <w:rPr>
        <w:rFonts w:hint="cs"/>
        <w:color w:val="000000" w:themeColor="text1"/>
        <w:sz w:val="24"/>
        <w:szCs w:val="24"/>
        <w:rtl/>
      </w:rPr>
      <w:t>فقهاء</w:t>
    </w:r>
    <w:r w:rsidR="00444F98">
      <w:rPr>
        <w:color w:val="000000" w:themeColor="text1"/>
        <w:sz w:val="24"/>
        <w:szCs w:val="24"/>
        <w:rtl/>
      </w:rPr>
      <w:t xml:space="preserve"> </w:t>
    </w:r>
    <w:r w:rsidR="00444F98">
      <w:rPr>
        <w:rFonts w:hint="cs"/>
        <w:color w:val="000000" w:themeColor="text1"/>
        <w:sz w:val="24"/>
        <w:szCs w:val="24"/>
        <w:rtl/>
      </w:rPr>
      <w:t>در</w:t>
    </w:r>
    <w:r w:rsidR="00444F98">
      <w:rPr>
        <w:color w:val="000000" w:themeColor="text1"/>
        <w:sz w:val="24"/>
        <w:szCs w:val="24"/>
        <w:rtl/>
      </w:rPr>
      <w:t xml:space="preserve"> </w:t>
    </w:r>
    <w:r w:rsidR="00444F98">
      <w:rPr>
        <w:rFonts w:hint="cs"/>
        <w:color w:val="000000" w:themeColor="text1"/>
        <w:sz w:val="24"/>
        <w:szCs w:val="24"/>
        <w:rtl/>
      </w:rPr>
      <w:t>عده</w:t>
    </w:r>
  </w:p>
  <w:p w:rsidR="00A648CD" w:rsidRDefault="00935A55" w:rsidP="00A648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8" w:name="Bokmoqarer"/>
    <w:bookmarkEnd w:id="8"/>
    <w:r w:rsidR="002920D0">
      <w:rPr>
        <w:rFonts w:hint="cs"/>
        <w:sz w:val="24"/>
        <w:szCs w:val="24"/>
        <w:rtl/>
      </w:rPr>
      <w:t>مرکز فقهی امام محمد باقر علیه السلام</w:t>
    </w:r>
  </w:p>
  <w:p w:rsidR="00FA3B17" w:rsidRPr="00F16B53" w:rsidRDefault="00935A55" w:rsidP="00A648C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9" w:name="BokSabj2"/>
    <w:bookmarkEnd w:id="9"/>
    <w:r w:rsidR="00444F98">
      <w:rPr>
        <w:rFonts w:hint="cs"/>
        <w:sz w:val="24"/>
        <w:szCs w:val="24"/>
        <w:rtl/>
      </w:rPr>
      <w:t>مساله</w:t>
    </w:r>
    <w:r w:rsidR="00A13F1E">
      <w:rPr>
        <w:rFonts w:hint="cs"/>
        <w:sz w:val="24"/>
        <w:szCs w:val="24"/>
        <w:rtl/>
      </w:rPr>
      <w:t>‌</w:t>
    </w:r>
    <w:r w:rsidR="00444F98">
      <w:rPr>
        <w:rFonts w:hint="cs"/>
        <w:sz w:val="24"/>
        <w:szCs w:val="24"/>
        <w:rtl/>
      </w:rPr>
      <w:t>ی</w:t>
    </w:r>
    <w:r w:rsidR="00444F98">
      <w:rPr>
        <w:sz w:val="24"/>
        <w:szCs w:val="24"/>
        <w:rtl/>
      </w:rPr>
      <w:t xml:space="preserve"> </w:t>
    </w:r>
    <w:r w:rsidR="00444F98">
      <w:rPr>
        <w:rFonts w:hint="cs"/>
        <w:sz w:val="24"/>
        <w:szCs w:val="24"/>
        <w:rtl/>
      </w:rPr>
      <w:t>چهارم</w:t>
    </w:r>
    <w:r w:rsidR="00444F98">
      <w:rPr>
        <w:sz w:val="24"/>
        <w:szCs w:val="24"/>
        <w:rtl/>
      </w:rPr>
      <w:t xml:space="preserve"> </w:t>
    </w:r>
    <w:r w:rsidR="00444F98">
      <w:rPr>
        <w:rFonts w:hint="cs"/>
        <w:sz w:val="24"/>
        <w:szCs w:val="24"/>
        <w:rtl/>
      </w:rPr>
      <w:t>تکمله</w:t>
    </w:r>
    <w:r w:rsidR="006D1AFF">
      <w:rPr>
        <w:rFonts w:hint="cs"/>
        <w:sz w:val="24"/>
        <w:szCs w:val="24"/>
        <w:rtl/>
      </w:rPr>
      <w:t>‌</w:t>
    </w:r>
    <w:r w:rsidR="00444F98">
      <w:rPr>
        <w:rFonts w:hint="cs"/>
        <w:sz w:val="24"/>
        <w:szCs w:val="24"/>
        <w:rtl/>
      </w:rPr>
      <w:t>ی</w:t>
    </w:r>
    <w:r w:rsidR="00444F98">
      <w:rPr>
        <w:sz w:val="24"/>
        <w:szCs w:val="24"/>
        <w:rtl/>
      </w:rPr>
      <w:t xml:space="preserve"> </w:t>
    </w:r>
    <w:r w:rsidR="00444F98">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3F3"/>
    <w:rsid w:val="000072A3"/>
    <w:rsid w:val="00025777"/>
    <w:rsid w:val="00025B70"/>
    <w:rsid w:val="000353D7"/>
    <w:rsid w:val="0004440A"/>
    <w:rsid w:val="00055496"/>
    <w:rsid w:val="00064859"/>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31F"/>
    <w:rsid w:val="00181844"/>
    <w:rsid w:val="001837E9"/>
    <w:rsid w:val="00187DFA"/>
    <w:rsid w:val="001A1BC1"/>
    <w:rsid w:val="001A1EA5"/>
    <w:rsid w:val="001A2574"/>
    <w:rsid w:val="001A2586"/>
    <w:rsid w:val="001A27D7"/>
    <w:rsid w:val="001A294E"/>
    <w:rsid w:val="001A4ED8"/>
    <w:rsid w:val="001B2488"/>
    <w:rsid w:val="001B6799"/>
    <w:rsid w:val="001C1362"/>
    <w:rsid w:val="001D2E9A"/>
    <w:rsid w:val="001D597F"/>
    <w:rsid w:val="001E20D5"/>
    <w:rsid w:val="001E3FD4"/>
    <w:rsid w:val="0020241A"/>
    <w:rsid w:val="00203821"/>
    <w:rsid w:val="00204454"/>
    <w:rsid w:val="00211632"/>
    <w:rsid w:val="0021630D"/>
    <w:rsid w:val="0024121B"/>
    <w:rsid w:val="00247D2F"/>
    <w:rsid w:val="00256560"/>
    <w:rsid w:val="00272FB2"/>
    <w:rsid w:val="0027388B"/>
    <w:rsid w:val="0027605E"/>
    <w:rsid w:val="00281E00"/>
    <w:rsid w:val="002920D0"/>
    <w:rsid w:val="00293D3F"/>
    <w:rsid w:val="00294A52"/>
    <w:rsid w:val="002B575F"/>
    <w:rsid w:val="002B729B"/>
    <w:rsid w:val="002C23B5"/>
    <w:rsid w:val="002C53A2"/>
    <w:rsid w:val="002D0040"/>
    <w:rsid w:val="002D2FA8"/>
    <w:rsid w:val="002D55E1"/>
    <w:rsid w:val="002E220F"/>
    <w:rsid w:val="002F2130"/>
    <w:rsid w:val="002F3E9C"/>
    <w:rsid w:val="00307311"/>
    <w:rsid w:val="00311F9A"/>
    <w:rsid w:val="00312852"/>
    <w:rsid w:val="0032100F"/>
    <w:rsid w:val="0033402C"/>
    <w:rsid w:val="003360C5"/>
    <w:rsid w:val="00340521"/>
    <w:rsid w:val="00343EF6"/>
    <w:rsid w:val="00345C73"/>
    <w:rsid w:val="00354A99"/>
    <w:rsid w:val="00360311"/>
    <w:rsid w:val="00361922"/>
    <w:rsid w:val="003654F4"/>
    <w:rsid w:val="0037339B"/>
    <w:rsid w:val="0038613A"/>
    <w:rsid w:val="00386C11"/>
    <w:rsid w:val="00397466"/>
    <w:rsid w:val="003A6148"/>
    <w:rsid w:val="003C33F6"/>
    <w:rsid w:val="003C3D2E"/>
    <w:rsid w:val="003C43A5"/>
    <w:rsid w:val="003E1C5C"/>
    <w:rsid w:val="003E6650"/>
    <w:rsid w:val="003F5B46"/>
    <w:rsid w:val="00401363"/>
    <w:rsid w:val="00402E47"/>
    <w:rsid w:val="00425015"/>
    <w:rsid w:val="00430994"/>
    <w:rsid w:val="00435A09"/>
    <w:rsid w:val="00440976"/>
    <w:rsid w:val="00441B6D"/>
    <w:rsid w:val="004427EF"/>
    <w:rsid w:val="00444F98"/>
    <w:rsid w:val="004556EF"/>
    <w:rsid w:val="00462B07"/>
    <w:rsid w:val="00465BD2"/>
    <w:rsid w:val="00470129"/>
    <w:rsid w:val="004715C8"/>
    <w:rsid w:val="00481C31"/>
    <w:rsid w:val="00482FC1"/>
    <w:rsid w:val="00483027"/>
    <w:rsid w:val="004871AA"/>
    <w:rsid w:val="004918D7"/>
    <w:rsid w:val="004926E1"/>
    <w:rsid w:val="004A2FEA"/>
    <w:rsid w:val="004D2DD7"/>
    <w:rsid w:val="004D4CE3"/>
    <w:rsid w:val="004D75C5"/>
    <w:rsid w:val="004E2186"/>
    <w:rsid w:val="004E66FB"/>
    <w:rsid w:val="004F470A"/>
    <w:rsid w:val="004F4C59"/>
    <w:rsid w:val="00500C8F"/>
    <w:rsid w:val="00501909"/>
    <w:rsid w:val="00507BBB"/>
    <w:rsid w:val="005127DB"/>
    <w:rsid w:val="005128DF"/>
    <w:rsid w:val="0051592A"/>
    <w:rsid w:val="005206FE"/>
    <w:rsid w:val="005257ED"/>
    <w:rsid w:val="005306F8"/>
    <w:rsid w:val="0054023D"/>
    <w:rsid w:val="005426BF"/>
    <w:rsid w:val="00546A29"/>
    <w:rsid w:val="0056213C"/>
    <w:rsid w:val="00570BA2"/>
    <w:rsid w:val="00580C24"/>
    <w:rsid w:val="005909F6"/>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5BB"/>
    <w:rsid w:val="00651B02"/>
    <w:rsid w:val="00651B19"/>
    <w:rsid w:val="00660A29"/>
    <w:rsid w:val="00683828"/>
    <w:rsid w:val="00695519"/>
    <w:rsid w:val="006A4134"/>
    <w:rsid w:val="006A5DDA"/>
    <w:rsid w:val="006A6701"/>
    <w:rsid w:val="006B21F4"/>
    <w:rsid w:val="006B3753"/>
    <w:rsid w:val="006B7AD6"/>
    <w:rsid w:val="006C50FD"/>
    <w:rsid w:val="006D1AFF"/>
    <w:rsid w:val="006D1DD4"/>
    <w:rsid w:val="006D4014"/>
    <w:rsid w:val="006D44C1"/>
    <w:rsid w:val="006E5651"/>
    <w:rsid w:val="006E5898"/>
    <w:rsid w:val="006E5B85"/>
    <w:rsid w:val="006F026A"/>
    <w:rsid w:val="0070265B"/>
    <w:rsid w:val="00704813"/>
    <w:rsid w:val="00713C7E"/>
    <w:rsid w:val="0072290D"/>
    <w:rsid w:val="00723D6D"/>
    <w:rsid w:val="00724537"/>
    <w:rsid w:val="00731724"/>
    <w:rsid w:val="0073474B"/>
    <w:rsid w:val="00735511"/>
    <w:rsid w:val="00737208"/>
    <w:rsid w:val="00744DE6"/>
    <w:rsid w:val="00762452"/>
    <w:rsid w:val="007639E0"/>
    <w:rsid w:val="00775507"/>
    <w:rsid w:val="00783473"/>
    <w:rsid w:val="0078594B"/>
    <w:rsid w:val="00791459"/>
    <w:rsid w:val="00795E02"/>
    <w:rsid w:val="007979D0"/>
    <w:rsid w:val="007A4E18"/>
    <w:rsid w:val="007A7B8C"/>
    <w:rsid w:val="007B4F28"/>
    <w:rsid w:val="007C6D9E"/>
    <w:rsid w:val="007D1C43"/>
    <w:rsid w:val="007D6C53"/>
    <w:rsid w:val="007E1564"/>
    <w:rsid w:val="007E1E87"/>
    <w:rsid w:val="007E5B3F"/>
    <w:rsid w:val="007E7C42"/>
    <w:rsid w:val="007F2257"/>
    <w:rsid w:val="0080091D"/>
    <w:rsid w:val="00804108"/>
    <w:rsid w:val="00804FC4"/>
    <w:rsid w:val="00816367"/>
    <w:rsid w:val="00816A0B"/>
    <w:rsid w:val="00824B22"/>
    <w:rsid w:val="00830C53"/>
    <w:rsid w:val="00832B2B"/>
    <w:rsid w:val="00837FAA"/>
    <w:rsid w:val="008405EF"/>
    <w:rsid w:val="00841F77"/>
    <w:rsid w:val="0085276D"/>
    <w:rsid w:val="0085434C"/>
    <w:rsid w:val="00863390"/>
    <w:rsid w:val="0086385C"/>
    <w:rsid w:val="00871916"/>
    <w:rsid w:val="00873E27"/>
    <w:rsid w:val="00891FE0"/>
    <w:rsid w:val="008956DD"/>
    <w:rsid w:val="008A510E"/>
    <w:rsid w:val="008A522A"/>
    <w:rsid w:val="008B4464"/>
    <w:rsid w:val="008B750B"/>
    <w:rsid w:val="008C3162"/>
    <w:rsid w:val="008D1F14"/>
    <w:rsid w:val="008E3924"/>
    <w:rsid w:val="008F13F7"/>
    <w:rsid w:val="008F5B4D"/>
    <w:rsid w:val="00907425"/>
    <w:rsid w:val="0092066F"/>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5B38"/>
    <w:rsid w:val="009B0D05"/>
    <w:rsid w:val="009B4CA6"/>
    <w:rsid w:val="009B79F8"/>
    <w:rsid w:val="009C07CB"/>
    <w:rsid w:val="009C66D5"/>
    <w:rsid w:val="009D13FD"/>
    <w:rsid w:val="009D266A"/>
    <w:rsid w:val="009F7E07"/>
    <w:rsid w:val="00A01522"/>
    <w:rsid w:val="00A10A11"/>
    <w:rsid w:val="00A13C6A"/>
    <w:rsid w:val="00A13F1E"/>
    <w:rsid w:val="00A17B09"/>
    <w:rsid w:val="00A457C6"/>
    <w:rsid w:val="00A46AD0"/>
    <w:rsid w:val="00A47063"/>
    <w:rsid w:val="00A473A8"/>
    <w:rsid w:val="00A513F0"/>
    <w:rsid w:val="00A61AC8"/>
    <w:rsid w:val="00A6366F"/>
    <w:rsid w:val="00A648CD"/>
    <w:rsid w:val="00A65D4C"/>
    <w:rsid w:val="00A70512"/>
    <w:rsid w:val="00AA1F60"/>
    <w:rsid w:val="00AA3CBD"/>
    <w:rsid w:val="00AA40D7"/>
    <w:rsid w:val="00AA4865"/>
    <w:rsid w:val="00AB5F7D"/>
    <w:rsid w:val="00AC0C50"/>
    <w:rsid w:val="00AC0EA5"/>
    <w:rsid w:val="00AC6FE2"/>
    <w:rsid w:val="00AD14AA"/>
    <w:rsid w:val="00AD3DF9"/>
    <w:rsid w:val="00AD551E"/>
    <w:rsid w:val="00AF3925"/>
    <w:rsid w:val="00B06D28"/>
    <w:rsid w:val="00B1296B"/>
    <w:rsid w:val="00B2292F"/>
    <w:rsid w:val="00B43169"/>
    <w:rsid w:val="00B450D4"/>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3BF6"/>
    <w:rsid w:val="00C34F28"/>
    <w:rsid w:val="00C368DF"/>
    <w:rsid w:val="00C417D5"/>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0E37"/>
    <w:rsid w:val="00D31805"/>
    <w:rsid w:val="00D37ECF"/>
    <w:rsid w:val="00D552B9"/>
    <w:rsid w:val="00D735B2"/>
    <w:rsid w:val="00D74021"/>
    <w:rsid w:val="00D76D01"/>
    <w:rsid w:val="00D922A9"/>
    <w:rsid w:val="00D9394A"/>
    <w:rsid w:val="00DA4C7B"/>
    <w:rsid w:val="00DB0CBB"/>
    <w:rsid w:val="00DB67CC"/>
    <w:rsid w:val="00DC3783"/>
    <w:rsid w:val="00DE1070"/>
    <w:rsid w:val="00E00219"/>
    <w:rsid w:val="00E0316B"/>
    <w:rsid w:val="00E20878"/>
    <w:rsid w:val="00E25E10"/>
    <w:rsid w:val="00E35100"/>
    <w:rsid w:val="00E50B41"/>
    <w:rsid w:val="00E5219B"/>
    <w:rsid w:val="00E52D07"/>
    <w:rsid w:val="00E53C61"/>
    <w:rsid w:val="00E5518B"/>
    <w:rsid w:val="00E609FE"/>
    <w:rsid w:val="00E630BE"/>
    <w:rsid w:val="00E75920"/>
    <w:rsid w:val="00E80D96"/>
    <w:rsid w:val="00E867DC"/>
    <w:rsid w:val="00E871FA"/>
    <w:rsid w:val="00E936A4"/>
    <w:rsid w:val="00E954BB"/>
    <w:rsid w:val="00EA45E7"/>
    <w:rsid w:val="00EB78E3"/>
    <w:rsid w:val="00EB7BE3"/>
    <w:rsid w:val="00EC1C4B"/>
    <w:rsid w:val="00EC735A"/>
    <w:rsid w:val="00ED5F38"/>
    <w:rsid w:val="00ED731F"/>
    <w:rsid w:val="00EF27FE"/>
    <w:rsid w:val="00F07FB6"/>
    <w:rsid w:val="00F149D0"/>
    <w:rsid w:val="00F16B53"/>
    <w:rsid w:val="00F25ECD"/>
    <w:rsid w:val="00F318BE"/>
    <w:rsid w:val="00F33297"/>
    <w:rsid w:val="00F343FB"/>
    <w:rsid w:val="00F359FE"/>
    <w:rsid w:val="00F37069"/>
    <w:rsid w:val="00F37E02"/>
    <w:rsid w:val="00F407AB"/>
    <w:rsid w:val="00F42159"/>
    <w:rsid w:val="00F4256E"/>
    <w:rsid w:val="00F42EE1"/>
    <w:rsid w:val="00F45A10"/>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524A"/>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440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607854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962790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21896852">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0107/1/181/&#1581;&#1605;&#1585;&#1577;" TargetMode="External"/><Relationship Id="rId1" Type="http://schemas.openxmlformats.org/officeDocument/2006/relationships/hyperlink" Target="http://lib.eshia.ir/11005/3/107/&#1591;&#1585;&#1740;&#1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F5E7-741E-47CA-8A83-115E5A54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4</Pages>
  <Words>977</Words>
  <Characters>5570</Characters>
  <Application>Microsoft Office Word</Application>
  <DocSecurity>0</DocSecurity>
  <Lines>46</Lines>
  <Paragraphs>13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6534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cp:lastPrinted>2019-12-03T12:56:00Z</cp:lastPrinted>
  <dcterms:created xsi:type="dcterms:W3CDTF">2019-12-03T12:56:00Z</dcterms:created>
  <dcterms:modified xsi:type="dcterms:W3CDTF">2019-12-04T10:29:00Z</dcterms:modified>
  <cp:contentStatus>ویرایش 2.5</cp:contentStatus>
  <cp:version>2.7</cp:version>
</cp:coreProperties>
</file>