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DA6" w:rsidRDefault="00090DA6" w:rsidP="00090DA6">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090DA6" w:rsidRDefault="00090DA6" w:rsidP="00090DA6">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جلسه18</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1</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/08/ 1398 متن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A12A70">
        <w:rPr>
          <w:rStyle w:val="Emphasis"/>
          <w:rFonts w:hint="cs"/>
          <w:b/>
          <w:bCs w:val="0"/>
          <w:rtl/>
        </w:rPr>
        <w:t>‌ی</w:t>
      </w:r>
      <w:r w:rsidRPr="009C66D5">
        <w:rPr>
          <w:rStyle w:val="Emphasis"/>
          <w:rFonts w:hint="cs"/>
          <w:b/>
          <w:bCs w:val="0"/>
          <w:rtl/>
        </w:rPr>
        <w:t xml:space="preserve"> مباحث گذشته:</w:t>
      </w:r>
    </w:p>
    <w:p w:rsidR="003A6148" w:rsidRDefault="00940BA5" w:rsidP="00A12A70">
      <w:pPr>
        <w:pBdr>
          <w:bottom w:val="double" w:sz="6" w:space="1" w:color="auto"/>
        </w:pBdr>
        <w:jc w:val="both"/>
        <w:rPr>
          <w:rtl/>
        </w:rPr>
      </w:pPr>
      <w:r>
        <w:rPr>
          <w:rFonts w:hint="cs"/>
          <w:rtl/>
        </w:rPr>
        <w:t xml:space="preserve">بحث در مساله‌ی سوم تکمله‌ی عروه بود. مرحوم سید فرمود: زنی که پس از طلاق یک بار حیض می بیند و دیگر حیض نمی بیند، </w:t>
      </w:r>
      <w:r w:rsidR="00A12A70">
        <w:rPr>
          <w:rFonts w:hint="cs"/>
          <w:rtl/>
        </w:rPr>
        <w:t>عده اش را با دو ماه کامل می کند و به روایت هارون بن حمزه تمسک کرد و عمل اصحاب را موجب جبر ضعف سند دانست.</w:t>
      </w:r>
    </w:p>
    <w:p w:rsidR="00247D2F" w:rsidRPr="003A6148" w:rsidRDefault="00247D2F" w:rsidP="003A6148">
      <w:pPr>
        <w:pBdr>
          <w:bottom w:val="double" w:sz="6" w:space="1" w:color="auto"/>
        </w:pBdr>
      </w:pPr>
    </w:p>
    <w:p w:rsidR="008F5B4D" w:rsidRDefault="008F5B4D" w:rsidP="003A6148"/>
    <w:p w:rsidR="00A4058A" w:rsidRPr="001A27D7" w:rsidRDefault="00A4058A" w:rsidP="00A4058A">
      <w:pPr>
        <w:pStyle w:val="Heading1"/>
        <w:rPr>
          <w:rtl/>
        </w:rPr>
      </w:pPr>
      <w:bookmarkStart w:id="0" w:name="_Toc23821402"/>
      <w:bookmarkStart w:id="1" w:name="_Toc24176271"/>
      <w:bookmarkStart w:id="2" w:name="_Toc24220393"/>
      <w:r>
        <w:rPr>
          <w:rFonts w:hint="cs"/>
          <w:rtl/>
        </w:rPr>
        <w:t>مساله‌ی سوم تکمله‌ی عروه</w:t>
      </w:r>
      <w:bookmarkEnd w:id="0"/>
      <w:bookmarkEnd w:id="1"/>
      <w:bookmarkEnd w:id="2"/>
    </w:p>
    <w:p w:rsidR="00A4058A" w:rsidRPr="00D93E67" w:rsidRDefault="00A4058A" w:rsidP="00A4058A">
      <w:pPr>
        <w:jc w:val="both"/>
        <w:rPr>
          <w:b/>
          <w:bCs/>
          <w:color w:val="0000FF"/>
        </w:rPr>
      </w:pPr>
      <w:r w:rsidRPr="00D93E67">
        <w:rPr>
          <w:rFonts w:hint="cs"/>
          <w:b/>
          <w:bCs/>
          <w:color w:val="0000FF"/>
          <w:rtl/>
        </w:rPr>
        <w:t>مسألة 3: ذكروا أنّها لو رأت الدم مرة ثم بلغت سن اليأس أكملت العدة بشهرين</w:t>
      </w:r>
      <w:r w:rsidRPr="00D93E67">
        <w:rPr>
          <w:rFonts w:hint="cs"/>
          <w:b/>
          <w:bCs/>
          <w:color w:val="0000FF"/>
        </w:rPr>
        <w:t>‌</w:t>
      </w:r>
    </w:p>
    <w:p w:rsidR="001A1EA5" w:rsidRDefault="00A4058A" w:rsidP="009A49B4">
      <w:pPr>
        <w:jc w:val="both"/>
        <w:rPr>
          <w:rtl/>
        </w:rPr>
      </w:pPr>
      <w:r w:rsidRPr="00D93E67">
        <w:rPr>
          <w:rFonts w:hint="cs"/>
          <w:color w:val="0000FF"/>
          <w:rtl/>
        </w:rPr>
        <w:t>و في الجواهر: بلا خلاف أجده فيه</w:t>
      </w:r>
      <w:r w:rsidR="009A49B4" w:rsidRPr="009A49B4">
        <w:rPr>
          <w:rFonts w:hint="cs"/>
          <w:color w:val="0000FF"/>
          <w:rtl/>
        </w:rPr>
        <w:t xml:space="preserve"> </w:t>
      </w:r>
      <w:r w:rsidR="009A49B4" w:rsidRPr="00D93E67">
        <w:rPr>
          <w:rFonts w:hint="cs"/>
          <w:color w:val="0000FF"/>
          <w:rtl/>
        </w:rPr>
        <w:t xml:space="preserve">و يدل عليه خبر هارون بن حمزة عن أبي عبد اللّه (ع) </w:t>
      </w:r>
      <w:r w:rsidR="009A49B4" w:rsidRPr="00A4709C">
        <w:rPr>
          <w:rFonts w:hint="cs"/>
          <w:color w:val="008000"/>
          <w:rtl/>
        </w:rPr>
        <w:t>«في امرأة طلقت و قد طعنت في السن فحاضت حيضة واحدة ثم ارتفع حيضها فقال (ع): تعتد بالحيض و شهرين مستقبلين فإنها قد يئست من المحيض»</w:t>
      </w:r>
      <w:r w:rsidR="009A49B4" w:rsidRPr="00D93E67">
        <w:rPr>
          <w:rFonts w:hint="cs"/>
          <w:color w:val="0000FF"/>
          <w:rtl/>
        </w:rPr>
        <w:t>. و هو و إن كان ضعيفا إلّا أنّه منجبر بالعمل به، و المراد من التعليل أنّها حيث يئست من المحيض فتنتقل عدتها من الأقراء إلى الأشهر</w:t>
      </w:r>
      <w:r w:rsidR="009E30FD" w:rsidRPr="009E30FD">
        <w:rPr>
          <w:rFonts w:hint="cs"/>
          <w:color w:val="0000FF"/>
          <w:rtl/>
        </w:rPr>
        <w:t xml:space="preserve"> </w:t>
      </w:r>
      <w:r w:rsidR="009E30FD" w:rsidRPr="00D93E67">
        <w:rPr>
          <w:rFonts w:hint="cs"/>
          <w:color w:val="0000FF"/>
          <w:rtl/>
        </w:rPr>
        <w:t>و يستفاد منه أنّ العدة لا ب</w:t>
      </w:r>
      <w:r w:rsidR="009E30FD">
        <w:rPr>
          <w:rFonts w:hint="cs"/>
          <w:color w:val="0000FF"/>
          <w:rtl/>
        </w:rPr>
        <w:t>د منها و يكون الشهران بدل القرئی</w:t>
      </w:r>
      <w:r w:rsidR="009E30FD" w:rsidRPr="00D93E67">
        <w:rPr>
          <w:rFonts w:hint="cs"/>
          <w:color w:val="0000FF"/>
          <w:rtl/>
        </w:rPr>
        <w:t>ن الآخرين</w:t>
      </w:r>
      <w:r w:rsidR="00A920F9">
        <w:rPr>
          <w:rStyle w:val="FootnoteReference"/>
          <w:color w:val="0000FF"/>
          <w:rtl/>
        </w:rPr>
        <w:footnoteReference w:id="1"/>
      </w:r>
    </w:p>
    <w:p w:rsidR="002C371E" w:rsidRDefault="002C371E" w:rsidP="002C371E">
      <w:pPr>
        <w:pStyle w:val="Heading2"/>
        <w:rPr>
          <w:rtl/>
        </w:rPr>
      </w:pPr>
      <w:bookmarkStart w:id="3" w:name="_Toc24176272"/>
      <w:bookmarkStart w:id="4" w:name="_Toc24220394"/>
      <w:r>
        <w:rPr>
          <w:rFonts w:hint="cs"/>
          <w:rtl/>
        </w:rPr>
        <w:t>جبران ضعف سند</w:t>
      </w:r>
      <w:bookmarkEnd w:id="3"/>
      <w:bookmarkEnd w:id="4"/>
    </w:p>
    <w:p w:rsidR="00D67469" w:rsidRDefault="00663D8E" w:rsidP="00D67469">
      <w:pPr>
        <w:jc w:val="both"/>
        <w:rPr>
          <w:rtl/>
        </w:rPr>
      </w:pPr>
      <w:r>
        <w:rPr>
          <w:rFonts w:hint="cs"/>
          <w:rtl/>
        </w:rPr>
        <w:t>با مراجعه به کلمات فقها خلافی در مساله نیافتیم.</w:t>
      </w:r>
    </w:p>
    <w:p w:rsidR="00663D8E" w:rsidRDefault="00663D8E" w:rsidP="00D67469">
      <w:pPr>
        <w:jc w:val="both"/>
        <w:rPr>
          <w:rtl/>
        </w:rPr>
      </w:pPr>
      <w:r>
        <w:rPr>
          <w:rFonts w:hint="cs"/>
          <w:rtl/>
        </w:rPr>
        <w:t>اولین کسی که این مساله را مطرح کرده است، شیخ طوسی می باشد.</w:t>
      </w:r>
    </w:p>
    <w:p w:rsidR="009A49B4" w:rsidRDefault="009A49B4" w:rsidP="00D67469">
      <w:pPr>
        <w:jc w:val="both"/>
        <w:rPr>
          <w:rtl/>
        </w:rPr>
      </w:pPr>
      <w:r>
        <w:rPr>
          <w:rFonts w:hint="cs"/>
          <w:rtl/>
        </w:rPr>
        <w:t>البته در نهایه، خلاف و مبسوط به این</w:t>
      </w:r>
      <w:r w:rsidR="004862CE">
        <w:rPr>
          <w:rFonts w:hint="cs"/>
          <w:rtl/>
        </w:rPr>
        <w:t xml:space="preserve"> مطلب</w:t>
      </w:r>
      <w:r>
        <w:rPr>
          <w:rFonts w:hint="cs"/>
          <w:rtl/>
        </w:rPr>
        <w:t xml:space="preserve"> که روایت هارون بن حمزه مربوط به </w:t>
      </w:r>
      <w:r w:rsidR="00411E79">
        <w:rPr>
          <w:rFonts w:hint="cs"/>
          <w:rtl/>
        </w:rPr>
        <w:t>یائسه شدن زن می باشد</w:t>
      </w:r>
      <w:r w:rsidR="00472378">
        <w:rPr>
          <w:rFonts w:hint="cs"/>
          <w:rtl/>
        </w:rPr>
        <w:t>، تصریح نکرده است اما در تهذیب و استبصار تصریح کرده است که این روایت مربوط به یائسه شدن زن می باشد.</w:t>
      </w:r>
    </w:p>
    <w:p w:rsidR="00AE0AC6" w:rsidRDefault="00AE0AC6" w:rsidP="002C371E">
      <w:pPr>
        <w:pStyle w:val="Heading3"/>
        <w:rPr>
          <w:rtl/>
        </w:rPr>
      </w:pPr>
      <w:bookmarkStart w:id="5" w:name="_Toc24176273"/>
      <w:bookmarkStart w:id="6" w:name="_Toc24220395"/>
      <w:r>
        <w:rPr>
          <w:rFonts w:hint="cs"/>
          <w:rtl/>
        </w:rPr>
        <w:t>عبارت تهذیب</w:t>
      </w:r>
      <w:bookmarkEnd w:id="5"/>
      <w:bookmarkEnd w:id="6"/>
    </w:p>
    <w:p w:rsidR="00AE0AC6" w:rsidRPr="00AE0AC6" w:rsidRDefault="00AE0AC6" w:rsidP="00AE0AC6">
      <w:pPr>
        <w:jc w:val="both"/>
        <w:rPr>
          <w:color w:val="008000"/>
        </w:rPr>
      </w:pPr>
      <w:r w:rsidRPr="00AE0AC6">
        <w:rPr>
          <w:rFonts w:hint="cs"/>
          <w:color w:val="000080"/>
          <w:rtl/>
        </w:rPr>
        <w:t>فَأَمَّا الَّذِي رَوَاهُ</w:t>
      </w:r>
      <w:r w:rsidRPr="00AE0AC6">
        <w:rPr>
          <w:rFonts w:hint="cs"/>
          <w:rtl/>
        </w:rPr>
        <w:t xml:space="preserve">- مُحَمَّدُ بْنُ يَعْقُوبَ عَنْ مُحَمَّدِ بْنِ يَحْيَى عَنْ مُحَمَّدِ بْنِ الْحُسَيْنِ عَنْ يَزِيدَ بْنِ إِسْحَاقَ عَنْ هَارُونَ بْنِ حَمْزَةَ عَنْ أَبِي عَبْدِ اللَّهِ </w:t>
      </w:r>
      <w:r w:rsidR="007421BD">
        <w:rPr>
          <w:rFonts w:hint="cs"/>
          <w:rtl/>
        </w:rPr>
        <w:t>(</w:t>
      </w:r>
      <w:r w:rsidRPr="00AE0AC6">
        <w:rPr>
          <w:rFonts w:hint="cs"/>
          <w:rtl/>
        </w:rPr>
        <w:t>ع‏</w:t>
      </w:r>
      <w:r w:rsidR="007421BD">
        <w:rPr>
          <w:rFonts w:hint="cs"/>
          <w:rtl/>
        </w:rPr>
        <w:t>)</w:t>
      </w:r>
      <w:r w:rsidRPr="00AE0AC6">
        <w:rPr>
          <w:rFonts w:hint="cs"/>
          <w:rtl/>
        </w:rPr>
        <w:t xml:space="preserve"> </w:t>
      </w:r>
      <w:r w:rsidRPr="00AE0AC6">
        <w:rPr>
          <w:rFonts w:hint="cs"/>
          <w:color w:val="008000"/>
          <w:rtl/>
        </w:rPr>
        <w:t xml:space="preserve">فِي امْرَأَةٍ </w:t>
      </w:r>
      <w:r w:rsidRPr="00AE0AC6">
        <w:rPr>
          <w:rFonts w:hint="cs"/>
          <w:color w:val="008000"/>
          <w:rtl/>
        </w:rPr>
        <w:lastRenderedPageBreak/>
        <w:t>طُلِّقَتْ وَ قَدْ طَعَنَتْ فِي السِّنِّ فَحَاضَتْ حَيْضَةً وَاحِدَةً ثُمَّ ارْتَفَعَ حَيْضُهَا فَقَالَ تَعْتَدُّ بِالْحَيْضَةِ وَ شَهْرَيْنِ مُسْتَقْبِلَيْنِ فَإِنَّهَا قَدْ يَئِسَتْ مِنَ الْمَحِيضِ.</w:t>
      </w:r>
    </w:p>
    <w:p w:rsidR="00AE0AC6" w:rsidRPr="00AE0AC6" w:rsidRDefault="00AE0AC6" w:rsidP="00AE0AC6">
      <w:pPr>
        <w:jc w:val="both"/>
        <w:rPr>
          <w:color w:val="000080"/>
          <w:rtl/>
        </w:rPr>
      </w:pPr>
      <w:r w:rsidRPr="00AE0AC6">
        <w:rPr>
          <w:rFonts w:hint="cs"/>
          <w:color w:val="000080"/>
          <w:rtl/>
        </w:rPr>
        <w:t>فَهَذَا الْخَبَرُ نَحْمِلُهُ عَلَى مَنْ تَيْأَسُ مِنَ الْمَحِيضِ بَعْدَ الْحَيْضَةِ الْأُولَى لِأَنَّ مَنْ هَذَا حُكْمُهَا عَلَيْهَا أَنْ تَعْتَدَّ بِتِلْكَ الْحَيْضَةِ وَ تَعْتَدَّ بَعْدَهَا بِشَهْرَيْنِ وَ إِذَا كَانَتِ الْمَرْأَةُ مِمَّنْ لَا تَحِيضُ إِلَّا فِي ثَلَاثِ سِنِينَ أَوْ أَرْبَعِ سِنِينَ كَانَتْ عِدَّتُهَا ثَلَاثَةَ أَشْهُرٍ.</w:t>
      </w:r>
      <w:r>
        <w:rPr>
          <w:rStyle w:val="FootnoteReference"/>
          <w:color w:val="000080"/>
          <w:rtl/>
        </w:rPr>
        <w:footnoteReference w:id="2"/>
      </w:r>
    </w:p>
    <w:p w:rsidR="00A903B6" w:rsidRDefault="00A903B6" w:rsidP="002C371E">
      <w:pPr>
        <w:pStyle w:val="Heading3"/>
        <w:rPr>
          <w:rtl/>
        </w:rPr>
      </w:pPr>
      <w:bookmarkStart w:id="7" w:name="_Toc24176274"/>
      <w:bookmarkStart w:id="8" w:name="_Toc24220396"/>
      <w:r>
        <w:rPr>
          <w:rFonts w:hint="cs"/>
          <w:rtl/>
        </w:rPr>
        <w:t>عبارت استبصار</w:t>
      </w:r>
      <w:bookmarkEnd w:id="7"/>
      <w:bookmarkEnd w:id="8"/>
    </w:p>
    <w:p w:rsidR="00A903B6" w:rsidRPr="00A903B6" w:rsidRDefault="00A903B6" w:rsidP="00A903B6">
      <w:pPr>
        <w:jc w:val="both"/>
        <w:rPr>
          <w:color w:val="008000"/>
        </w:rPr>
      </w:pPr>
      <w:r w:rsidRPr="00A903B6">
        <w:rPr>
          <w:rFonts w:hint="cs"/>
          <w:color w:val="000080"/>
          <w:rtl/>
        </w:rPr>
        <w:t>فَأَمَّا مَا رَوَاهُ‏</w:t>
      </w:r>
      <w:r w:rsidRPr="00A903B6">
        <w:rPr>
          <w:rFonts w:hint="cs"/>
          <w:rtl/>
        </w:rPr>
        <w:t xml:space="preserve"> مُحَمَّدُ بْنُ يَعْقُوبَ عَنْ مُحَمَّدِ بْنِ يَحْيَى عَنْ مُحَمَّدِ بْنِ الْحُسَيْنِ عَنْ يَزِيدَ بْنِ إِسْحَاقَ شَعِرٍ عَنْ هَارُونَ بْنِ حَمْزَةَ عَنْ أَبِي عَبْدِ اللَّهِ </w:t>
      </w:r>
      <w:r w:rsidR="00D433E7">
        <w:rPr>
          <w:rFonts w:hint="cs"/>
          <w:rtl/>
        </w:rPr>
        <w:t>(</w:t>
      </w:r>
      <w:r w:rsidRPr="00A903B6">
        <w:rPr>
          <w:rFonts w:hint="cs"/>
          <w:rtl/>
        </w:rPr>
        <w:t>ع</w:t>
      </w:r>
      <w:r w:rsidR="00D433E7">
        <w:rPr>
          <w:rFonts w:hint="cs"/>
          <w:rtl/>
        </w:rPr>
        <w:t>)</w:t>
      </w:r>
      <w:r w:rsidRPr="00A903B6">
        <w:rPr>
          <w:rFonts w:hint="cs"/>
          <w:rtl/>
        </w:rPr>
        <w:t xml:space="preserve">‏ </w:t>
      </w:r>
      <w:r w:rsidRPr="00A903B6">
        <w:rPr>
          <w:rFonts w:hint="cs"/>
          <w:color w:val="008000"/>
          <w:rtl/>
        </w:rPr>
        <w:t>فِي امْرَأَةٍ طُلِّقَتْ وَ قَدْ طَعَنَتْ فِي السِّنِّ فَحَاضَتْ حَيْضَةً وَاحِدَةً ثُمَّ ارْتَفَعَ حَيْضُهَا فَقَالَ تَعْتَدُّ بِالْحَيْضَةِ وَ شَهْرَيْنِ مُسْتَقْبِلَيْنِ فَإِنَّهَا قَدْ يَئِسَتْ مِنَ الْمَحِيضِ.</w:t>
      </w:r>
    </w:p>
    <w:p w:rsidR="00A903B6" w:rsidRPr="00A903B6" w:rsidRDefault="00A903B6" w:rsidP="00A903B6">
      <w:pPr>
        <w:jc w:val="both"/>
        <w:rPr>
          <w:color w:val="000080"/>
          <w:rtl/>
        </w:rPr>
      </w:pPr>
      <w:r w:rsidRPr="00A903B6">
        <w:rPr>
          <w:rFonts w:hint="cs"/>
          <w:color w:val="000080"/>
          <w:rtl/>
        </w:rPr>
        <w:t>فَالْوَجْهُ فِي هَذَا الْخَبَرِ أَنْ نَخُصَّهُ بِامْرَأَةٍ قَدْ يَئِسَتْ مِنَ الْمَحِيضِ بَعْدَ أَنْ حَاضَتْ حَيْضَةً وَاحِدَةً فَإِنَّهَا بَعْدَ مُضِيِّ تِلْكَ الْحَيْضَةِ تَعْتَدُّ بِشَهْرَيْنِ عَلَى مَا تَضَمَّنَهُ الْخَبَرُ الْأَوَّلُ.</w:t>
      </w:r>
      <w:r w:rsidR="0098741A">
        <w:rPr>
          <w:rStyle w:val="FootnoteReference"/>
          <w:color w:val="000080"/>
          <w:rtl/>
        </w:rPr>
        <w:footnoteReference w:id="3"/>
      </w:r>
    </w:p>
    <w:p w:rsidR="00D67469" w:rsidRDefault="001C78E4" w:rsidP="001C78E4">
      <w:pPr>
        <w:jc w:val="both"/>
        <w:rPr>
          <w:rtl/>
        </w:rPr>
      </w:pPr>
      <w:r>
        <w:rPr>
          <w:rFonts w:hint="cs"/>
          <w:rtl/>
        </w:rPr>
        <w:t>روایت می فرماید: «</w:t>
      </w:r>
      <w:r w:rsidRPr="00A903B6">
        <w:rPr>
          <w:rFonts w:hint="cs"/>
          <w:color w:val="008000"/>
          <w:rtl/>
        </w:rPr>
        <w:t>ثُمَّ ارْتَفَعَ حَيْضُهَا</w:t>
      </w:r>
      <w:r w:rsidRPr="001C78E4">
        <w:rPr>
          <w:rFonts w:hint="cs"/>
          <w:rtl/>
        </w:rPr>
        <w:t>»</w:t>
      </w:r>
      <w:r>
        <w:rPr>
          <w:rFonts w:hint="cs"/>
          <w:rtl/>
        </w:rPr>
        <w:t xml:space="preserve"> یعنی دیگر حیض نمی بیند. اما تعبیر شیخ به شکل دیگری است</w:t>
      </w:r>
      <w:r w:rsidR="00B5691F">
        <w:rPr>
          <w:rFonts w:hint="cs"/>
          <w:rtl/>
        </w:rPr>
        <w:t xml:space="preserve"> و از عبارات «نحمله» و «نخصه» استفاده کرده است</w:t>
      </w:r>
      <w:r>
        <w:rPr>
          <w:rFonts w:hint="cs"/>
          <w:rtl/>
        </w:rPr>
        <w:t xml:space="preserve"> که دو جهت می تواند داشته باشد:</w:t>
      </w:r>
    </w:p>
    <w:p w:rsidR="004A4C66" w:rsidRDefault="004A4C66" w:rsidP="004A4C66">
      <w:pPr>
        <w:pStyle w:val="ListParagraph"/>
        <w:numPr>
          <w:ilvl w:val="0"/>
          <w:numId w:val="16"/>
        </w:numPr>
        <w:jc w:val="both"/>
        <w:rPr>
          <w:rFonts w:cs="B Badr"/>
          <w:color w:val="000000"/>
        </w:rPr>
      </w:pPr>
      <w:r w:rsidRPr="004851A4">
        <w:rPr>
          <w:rFonts w:cs="B Badr" w:hint="cs"/>
          <w:color w:val="000000"/>
          <w:rtl/>
        </w:rPr>
        <w:t xml:space="preserve">معنای «ارتفع حیضها» این نیست که </w:t>
      </w:r>
      <w:r w:rsidR="004851A4" w:rsidRPr="004851A4">
        <w:rPr>
          <w:rFonts w:cs="B Badr" w:hint="cs"/>
          <w:color w:val="000000"/>
          <w:rtl/>
        </w:rPr>
        <w:t>حتما به سن یاس رسیده است</w:t>
      </w:r>
      <w:r w:rsidR="002D76EA">
        <w:rPr>
          <w:rFonts w:cs="B Badr" w:hint="cs"/>
          <w:color w:val="000000"/>
          <w:rtl/>
        </w:rPr>
        <w:t>، بلکه هم سن و سالانش حیض می بینند اما این زن دچار یاس شخصی شده است گر چه به سن یائسگی نرسیده است.</w:t>
      </w:r>
    </w:p>
    <w:p w:rsidR="004851A4" w:rsidRPr="004851A4" w:rsidRDefault="004851A4" w:rsidP="0014262C">
      <w:pPr>
        <w:pStyle w:val="ListParagraph"/>
        <w:numPr>
          <w:ilvl w:val="0"/>
          <w:numId w:val="16"/>
        </w:numPr>
        <w:jc w:val="both"/>
        <w:rPr>
          <w:rFonts w:cs="B Badr"/>
          <w:color w:val="000000"/>
          <w:rtl/>
        </w:rPr>
      </w:pPr>
      <w:r w:rsidRPr="004851A4">
        <w:rPr>
          <w:rFonts w:cs="B Badr" w:hint="cs"/>
          <w:color w:val="000000"/>
          <w:rtl/>
        </w:rPr>
        <w:t>«ارتفع حیضها»</w:t>
      </w:r>
      <w:r>
        <w:rPr>
          <w:rFonts w:cs="B Badr" w:hint="cs"/>
          <w:color w:val="000000"/>
          <w:rtl/>
        </w:rPr>
        <w:t xml:space="preserve"> یعنی به این زودی ها خون نمی بیند.</w:t>
      </w:r>
      <w:r w:rsidR="00CF43D0">
        <w:rPr>
          <w:rFonts w:cs="B Badr" w:hint="cs"/>
          <w:color w:val="000000"/>
          <w:rtl/>
        </w:rPr>
        <w:t xml:space="preserve"> مثل بعضی زنان که پس از چهل سال</w:t>
      </w:r>
      <w:r w:rsidR="0051485E">
        <w:rPr>
          <w:rFonts w:cs="B Badr" w:hint="cs"/>
          <w:color w:val="000000"/>
          <w:rtl/>
        </w:rPr>
        <w:t>گی</w:t>
      </w:r>
      <w:r w:rsidR="00CF43D0">
        <w:rPr>
          <w:rFonts w:cs="B Badr" w:hint="cs"/>
          <w:color w:val="000000"/>
          <w:rtl/>
        </w:rPr>
        <w:t xml:space="preserve"> هر چند سال یک بار حیض می بینند.</w:t>
      </w:r>
      <w:r w:rsidR="002A7654">
        <w:rPr>
          <w:rFonts w:cs="B Badr" w:hint="cs"/>
          <w:color w:val="000000"/>
          <w:rtl/>
        </w:rPr>
        <w:t xml:space="preserve"> در مورد این زنان عرفا </w:t>
      </w:r>
      <w:r w:rsidR="002A7654" w:rsidRPr="004851A4">
        <w:rPr>
          <w:rFonts w:cs="B Badr" w:hint="cs"/>
          <w:color w:val="000000"/>
          <w:rtl/>
        </w:rPr>
        <w:t>«ارتفع حیضها»</w:t>
      </w:r>
      <w:r w:rsidR="0051485E">
        <w:rPr>
          <w:rFonts w:cs="B Badr" w:hint="cs"/>
          <w:color w:val="000000"/>
          <w:rtl/>
        </w:rPr>
        <w:t xml:space="preserve"> صدق می کند. با این که چنین زنی یائسه</w:t>
      </w:r>
      <w:r w:rsidR="0014262C">
        <w:rPr>
          <w:rFonts w:cs="B Badr" w:hint="cs"/>
          <w:color w:val="000000"/>
          <w:rtl/>
        </w:rPr>
        <w:t xml:space="preserve"> ( حتی یائسه‌ی شخصی) نشده است </w:t>
      </w:r>
      <w:r w:rsidR="0051485E">
        <w:rPr>
          <w:rFonts w:cs="B Badr" w:hint="cs"/>
          <w:color w:val="000000"/>
          <w:rtl/>
        </w:rPr>
        <w:t>و خون می بیند اما عرفا مانند یائسه می باشد و یائسه تلقی می شود.</w:t>
      </w:r>
      <w:r w:rsidR="003D3AB7">
        <w:rPr>
          <w:rFonts w:cs="B Badr" w:hint="cs"/>
          <w:color w:val="000000"/>
          <w:rtl/>
        </w:rPr>
        <w:t xml:space="preserve"> به همین دلیل مرحوم شیخ «نخصه» تعبیر کرده است.</w:t>
      </w:r>
    </w:p>
    <w:p w:rsidR="00D67469" w:rsidRDefault="00B9597A" w:rsidP="009A519E">
      <w:pPr>
        <w:jc w:val="both"/>
        <w:rPr>
          <w:rtl/>
        </w:rPr>
      </w:pPr>
      <w:r>
        <w:rPr>
          <w:rFonts w:hint="cs"/>
          <w:rtl/>
        </w:rPr>
        <w:t xml:space="preserve">این بحث در کلمات فقهای قبل از شیخ طوسی وجود ندارد. البته </w:t>
      </w:r>
      <w:r w:rsidR="009A519E">
        <w:rPr>
          <w:rFonts w:hint="cs"/>
          <w:rtl/>
        </w:rPr>
        <w:t>آمدن</w:t>
      </w:r>
      <w:r>
        <w:rPr>
          <w:rFonts w:hint="cs"/>
          <w:rtl/>
        </w:rPr>
        <w:t xml:space="preserve"> این روایت در کافی بیانگر این است که</w:t>
      </w:r>
      <w:r w:rsidR="009A519E">
        <w:rPr>
          <w:rFonts w:hint="cs"/>
          <w:rtl/>
        </w:rPr>
        <w:t xml:space="preserve"> شیخ کلینی</w:t>
      </w:r>
      <w:r>
        <w:rPr>
          <w:rFonts w:hint="cs"/>
          <w:rtl/>
        </w:rPr>
        <w:t xml:space="preserve"> به این روایت عمل می کند.</w:t>
      </w:r>
      <w:r w:rsidR="00BA121A">
        <w:rPr>
          <w:rFonts w:hint="cs"/>
          <w:rtl/>
        </w:rPr>
        <w:t xml:space="preserve"> اما فتوای صریحی قبل از شیخ طوسی نیافتیم.</w:t>
      </w:r>
    </w:p>
    <w:p w:rsidR="00D67469" w:rsidRDefault="003D08C5" w:rsidP="00D67469">
      <w:pPr>
        <w:jc w:val="both"/>
        <w:rPr>
          <w:rtl/>
        </w:rPr>
      </w:pPr>
      <w:r>
        <w:rPr>
          <w:rFonts w:hint="cs"/>
          <w:rtl/>
        </w:rPr>
        <w:t>بحث این است که آیا این مقدار می تواند جبران ضعف سند کند؟</w:t>
      </w:r>
    </w:p>
    <w:p w:rsidR="00960350" w:rsidRDefault="00960350" w:rsidP="000F6BC8">
      <w:pPr>
        <w:jc w:val="both"/>
        <w:rPr>
          <w:rtl/>
        </w:rPr>
      </w:pPr>
      <w:r w:rsidRPr="00960350">
        <w:rPr>
          <w:rFonts w:hint="cs"/>
          <w:highlight w:val="yellow"/>
          <w:rtl/>
        </w:rPr>
        <w:t xml:space="preserve">جبران ضعف </w:t>
      </w:r>
      <w:r>
        <w:rPr>
          <w:rFonts w:hint="cs"/>
          <w:rtl/>
        </w:rPr>
        <w:t>سند در جایی است که گرچه روایت</w:t>
      </w:r>
      <w:r w:rsidR="00384499">
        <w:rPr>
          <w:rFonts w:hint="cs"/>
          <w:rtl/>
        </w:rPr>
        <w:t>ی</w:t>
      </w:r>
      <w:r>
        <w:rPr>
          <w:rFonts w:hint="cs"/>
          <w:rtl/>
        </w:rPr>
        <w:t xml:space="preserve"> سندش ضعیف است اما برای اصحاب قرائنی وجود داشته است که این راوی</w:t>
      </w:r>
      <w:r w:rsidR="00384499">
        <w:rPr>
          <w:rFonts w:hint="cs"/>
          <w:rtl/>
        </w:rPr>
        <w:t xml:space="preserve"> ضعیف</w:t>
      </w:r>
      <w:r>
        <w:rPr>
          <w:rFonts w:hint="cs"/>
          <w:rtl/>
        </w:rPr>
        <w:t xml:space="preserve"> </w:t>
      </w:r>
      <w:r w:rsidR="000F6BC8">
        <w:rPr>
          <w:rFonts w:hint="cs"/>
          <w:rtl/>
        </w:rPr>
        <w:t>در این خصوص</w:t>
      </w:r>
      <w:r>
        <w:rPr>
          <w:rFonts w:hint="cs"/>
          <w:rtl/>
        </w:rPr>
        <w:t xml:space="preserve"> دروغ نگفته است</w:t>
      </w:r>
      <w:r w:rsidR="00384499">
        <w:rPr>
          <w:rFonts w:hint="cs"/>
          <w:rtl/>
        </w:rPr>
        <w:t xml:space="preserve"> و انگیزه ای بر کذب نداشته است، در نتیجه</w:t>
      </w:r>
      <w:r w:rsidR="00FC67D7">
        <w:rPr>
          <w:rFonts w:hint="cs"/>
          <w:rtl/>
        </w:rPr>
        <w:t xml:space="preserve"> اطمینان بر صدور</w:t>
      </w:r>
      <w:r w:rsidR="00384499">
        <w:rPr>
          <w:rFonts w:hint="cs"/>
          <w:rtl/>
        </w:rPr>
        <w:t xml:space="preserve"> روایت حاصل شود.</w:t>
      </w:r>
    </w:p>
    <w:p w:rsidR="00D67469" w:rsidRDefault="00062F7D" w:rsidP="00D67469">
      <w:pPr>
        <w:jc w:val="both"/>
        <w:rPr>
          <w:rtl/>
        </w:rPr>
      </w:pPr>
      <w:r>
        <w:rPr>
          <w:rFonts w:hint="cs"/>
          <w:rtl/>
        </w:rPr>
        <w:t xml:space="preserve">اما اگر اطمینان </w:t>
      </w:r>
      <w:r w:rsidR="001668C5">
        <w:rPr>
          <w:rFonts w:hint="cs"/>
          <w:rtl/>
        </w:rPr>
        <w:t xml:space="preserve">به صدور روایت </w:t>
      </w:r>
      <w:r>
        <w:rPr>
          <w:rFonts w:hint="cs"/>
          <w:rtl/>
        </w:rPr>
        <w:t>حاصل نشود، جبران ضعف سند مشکل است.</w:t>
      </w:r>
    </w:p>
    <w:p w:rsidR="002C371E" w:rsidRDefault="00F01CD8" w:rsidP="00E17FF9">
      <w:pPr>
        <w:jc w:val="both"/>
        <w:rPr>
          <w:rtl/>
        </w:rPr>
      </w:pPr>
      <w:r>
        <w:rPr>
          <w:rFonts w:hint="cs"/>
          <w:rtl/>
        </w:rPr>
        <w:t xml:space="preserve">در مورد روایت هارون بن حمزه، شیخ طوسی در تهذیبین تصریح به یاس کرده است و بعد از شیخ هم </w:t>
      </w:r>
      <w:r w:rsidR="004C1A18">
        <w:rPr>
          <w:rFonts w:hint="cs"/>
          <w:rtl/>
        </w:rPr>
        <w:t>یحیی</w:t>
      </w:r>
      <w:r w:rsidR="00E17FF9">
        <w:rPr>
          <w:rFonts w:hint="cs"/>
          <w:rtl/>
        </w:rPr>
        <w:t xml:space="preserve"> بن سعید در</w:t>
      </w:r>
      <w:r w:rsidR="004C1A18">
        <w:rPr>
          <w:rFonts w:hint="cs"/>
          <w:rtl/>
        </w:rPr>
        <w:t xml:space="preserve"> </w:t>
      </w:r>
      <w:r>
        <w:rPr>
          <w:rFonts w:hint="cs"/>
          <w:rtl/>
        </w:rPr>
        <w:t>نزهة الناظر</w:t>
      </w:r>
      <w:r w:rsidR="00E17FF9">
        <w:rPr>
          <w:rFonts w:hint="cs"/>
          <w:rtl/>
        </w:rPr>
        <w:t xml:space="preserve"> و </w:t>
      </w:r>
      <w:r w:rsidR="005A14B6">
        <w:rPr>
          <w:rFonts w:hint="cs"/>
          <w:rtl/>
        </w:rPr>
        <w:t>ال</w:t>
      </w:r>
      <w:r>
        <w:rPr>
          <w:rFonts w:hint="cs"/>
          <w:rtl/>
        </w:rPr>
        <w:t xml:space="preserve">جامع </w:t>
      </w:r>
      <w:r w:rsidR="005A14B6">
        <w:rPr>
          <w:rFonts w:hint="cs"/>
          <w:rtl/>
        </w:rPr>
        <w:t>لل</w:t>
      </w:r>
      <w:r>
        <w:rPr>
          <w:rFonts w:hint="cs"/>
          <w:rtl/>
        </w:rPr>
        <w:t>شرایع،</w:t>
      </w:r>
      <w:r w:rsidR="00E17FF9">
        <w:rPr>
          <w:rFonts w:hint="cs"/>
          <w:rtl/>
        </w:rPr>
        <w:t xml:space="preserve"> محقق حلی در</w:t>
      </w:r>
      <w:r>
        <w:rPr>
          <w:rFonts w:hint="cs"/>
          <w:rtl/>
        </w:rPr>
        <w:t xml:space="preserve"> شرایع و معاصرین محقق حلی تصریح به یاس که مضمون روایت است، کرده اند،</w:t>
      </w:r>
      <w:r w:rsidR="00C165FA">
        <w:rPr>
          <w:rFonts w:hint="cs"/>
          <w:rtl/>
        </w:rPr>
        <w:t xml:space="preserve"> اما</w:t>
      </w:r>
      <w:r>
        <w:rPr>
          <w:rFonts w:hint="cs"/>
          <w:rtl/>
        </w:rPr>
        <w:t xml:space="preserve"> </w:t>
      </w:r>
      <w:r w:rsidR="002C371E">
        <w:rPr>
          <w:rFonts w:hint="cs"/>
          <w:rtl/>
        </w:rPr>
        <w:t>با این مقدار عمل اصحاب که از شیخ طوسی به بعد می باشد، بعید است بگوییم این فقها با وجود ضعیف بودن</w:t>
      </w:r>
      <w:r w:rsidR="002C371E" w:rsidRPr="002C371E">
        <w:rPr>
          <w:rFonts w:hint="cs"/>
          <w:rtl/>
        </w:rPr>
        <w:t xml:space="preserve"> </w:t>
      </w:r>
      <w:r w:rsidR="002C371E">
        <w:rPr>
          <w:rFonts w:hint="cs"/>
          <w:rtl/>
        </w:rPr>
        <w:t>این روایت، قرائنی نزدشان بوده که به واسطه‌ی آن قرائن</w:t>
      </w:r>
      <w:r w:rsidR="007B5A74">
        <w:rPr>
          <w:rFonts w:hint="cs"/>
          <w:rtl/>
        </w:rPr>
        <w:t>،</w:t>
      </w:r>
      <w:r w:rsidR="002C371E">
        <w:rPr>
          <w:rFonts w:hint="cs"/>
          <w:rtl/>
        </w:rPr>
        <w:t xml:space="preserve"> صدور روایت </w:t>
      </w:r>
      <w:r w:rsidR="001D3D80">
        <w:rPr>
          <w:rFonts w:hint="cs"/>
          <w:rtl/>
        </w:rPr>
        <w:t>برای آن ها محرز شده و</w:t>
      </w:r>
      <w:r w:rsidR="002C371E">
        <w:rPr>
          <w:rFonts w:hint="cs"/>
          <w:rtl/>
        </w:rPr>
        <w:t xml:space="preserve"> به آن عمل کرده اند</w:t>
      </w:r>
      <w:r w:rsidR="001D3D80">
        <w:rPr>
          <w:rFonts w:hint="cs"/>
          <w:rtl/>
        </w:rPr>
        <w:t>.</w:t>
      </w:r>
    </w:p>
    <w:p w:rsidR="0070729E" w:rsidRDefault="0070729E" w:rsidP="00D67469">
      <w:pPr>
        <w:jc w:val="both"/>
        <w:rPr>
          <w:rtl/>
        </w:rPr>
      </w:pPr>
      <w:r w:rsidRPr="00A63DFC">
        <w:rPr>
          <w:rFonts w:hint="cs"/>
          <w:highlight w:val="yellow"/>
          <w:rtl/>
        </w:rPr>
        <w:t xml:space="preserve">به نظر </w:t>
      </w:r>
      <w:r>
        <w:rPr>
          <w:rFonts w:hint="cs"/>
          <w:rtl/>
        </w:rPr>
        <w:t xml:space="preserve">می رسد از عمل اصحاب به این نتیجه می رسیم که </w:t>
      </w:r>
      <w:r w:rsidR="001668C5">
        <w:rPr>
          <w:rFonts w:hint="cs"/>
          <w:rtl/>
        </w:rPr>
        <w:t>روایت را صحیح می دانستند و سندش را تصح</w:t>
      </w:r>
      <w:r w:rsidR="00B868A4">
        <w:rPr>
          <w:rFonts w:hint="cs"/>
          <w:rtl/>
        </w:rPr>
        <w:t>یح می کردند،</w:t>
      </w:r>
      <w:r w:rsidR="001668C5">
        <w:rPr>
          <w:rFonts w:hint="cs"/>
          <w:rtl/>
        </w:rPr>
        <w:t xml:space="preserve"> </w:t>
      </w:r>
      <w:r w:rsidR="00AA6398">
        <w:rPr>
          <w:rFonts w:hint="cs"/>
          <w:rtl/>
        </w:rPr>
        <w:t>نه این</w:t>
      </w:r>
      <w:r w:rsidR="007B5A74">
        <w:rPr>
          <w:rFonts w:hint="cs"/>
          <w:rtl/>
        </w:rPr>
        <w:t xml:space="preserve"> </w:t>
      </w:r>
      <w:r w:rsidR="00AA6398">
        <w:rPr>
          <w:rFonts w:hint="cs"/>
          <w:rtl/>
        </w:rPr>
        <w:t>که روایت را ضعیف می دانستند اما عمل می کردند.</w:t>
      </w:r>
      <w:r w:rsidR="00B868A4">
        <w:rPr>
          <w:rFonts w:hint="cs"/>
          <w:rtl/>
        </w:rPr>
        <w:t xml:space="preserve"> مثلا یزید بن اسحاق را که در این روایت هست، تصحیح می کردند.</w:t>
      </w:r>
    </w:p>
    <w:p w:rsidR="00D67469" w:rsidRDefault="009E30FD" w:rsidP="009E30FD">
      <w:pPr>
        <w:pStyle w:val="Heading2"/>
        <w:rPr>
          <w:rtl/>
        </w:rPr>
      </w:pPr>
      <w:bookmarkStart w:id="9" w:name="_Toc24176275"/>
      <w:bookmarkStart w:id="10" w:name="_Toc24220397"/>
      <w:r>
        <w:rPr>
          <w:rFonts w:hint="cs"/>
          <w:rtl/>
        </w:rPr>
        <w:t>بررسی متن روایت هارون بن حمزه</w:t>
      </w:r>
      <w:bookmarkEnd w:id="9"/>
      <w:bookmarkEnd w:id="10"/>
    </w:p>
    <w:p w:rsidR="009E30FD" w:rsidRPr="00AE0AC6" w:rsidRDefault="009E30FD" w:rsidP="009E30FD">
      <w:pPr>
        <w:jc w:val="both"/>
        <w:rPr>
          <w:color w:val="008000"/>
        </w:rPr>
      </w:pPr>
      <w:r w:rsidRPr="00AE0AC6">
        <w:rPr>
          <w:rFonts w:hint="cs"/>
          <w:rtl/>
        </w:rPr>
        <w:t xml:space="preserve">مُحَمَّدُ بْنُ يَعْقُوبَ عَنْ مُحَمَّدِ بْنِ يَحْيَى عَنْ مُحَمَّدِ بْنِ الْحُسَيْنِ عَنْ يَزِيدَ بْنِ إِسْحَاقَ عَنْ هَارُونَ بْنِ حَمْزَةَ عَنْ أَبِي عَبْدِ اللَّهِ </w:t>
      </w:r>
      <w:r w:rsidR="004506C8">
        <w:rPr>
          <w:rFonts w:hint="cs"/>
          <w:rtl/>
        </w:rPr>
        <w:t>(</w:t>
      </w:r>
      <w:r w:rsidRPr="00AE0AC6">
        <w:rPr>
          <w:rFonts w:hint="cs"/>
          <w:rtl/>
        </w:rPr>
        <w:t>ع</w:t>
      </w:r>
      <w:r w:rsidR="004506C8">
        <w:rPr>
          <w:rFonts w:hint="cs"/>
          <w:rtl/>
        </w:rPr>
        <w:t>)</w:t>
      </w:r>
      <w:r w:rsidRPr="00AE0AC6">
        <w:rPr>
          <w:rFonts w:hint="cs"/>
          <w:rtl/>
        </w:rPr>
        <w:t xml:space="preserve">‏ </w:t>
      </w:r>
      <w:r w:rsidRPr="00AE0AC6">
        <w:rPr>
          <w:rFonts w:hint="cs"/>
          <w:color w:val="008000"/>
          <w:rtl/>
        </w:rPr>
        <w:t>فِي امْرَأَةٍ طُلِّقَتْ وَ قَدْ طَعَنَتْ فِي السِّنِّ فَحَاضَتْ حَيْضَةً وَاحِدَةً ثُمَّ ارْتَفَعَ حَيْضُهَا فَقَالَ تَعْتَدُّ بِالْحَيْضَةِ وَ شَهْرَيْنِ مُسْتَقْبِلَيْنِ فَإِنَّهَا قَدْ يَئِسَتْ مِنَ الْمَحِيضِ.</w:t>
      </w:r>
      <w:r w:rsidRPr="009E30FD">
        <w:rPr>
          <w:rStyle w:val="FootnoteReference"/>
          <w:color w:val="000080"/>
          <w:rtl/>
        </w:rPr>
        <w:t xml:space="preserve"> </w:t>
      </w:r>
      <w:r>
        <w:rPr>
          <w:rStyle w:val="FootnoteReference"/>
          <w:color w:val="000080"/>
          <w:rtl/>
        </w:rPr>
        <w:footnoteReference w:id="4"/>
      </w:r>
    </w:p>
    <w:p w:rsidR="008548A7" w:rsidRDefault="00A920F9" w:rsidP="008548A7">
      <w:pPr>
        <w:jc w:val="both"/>
        <w:rPr>
          <w:rtl/>
        </w:rPr>
      </w:pPr>
      <w:r>
        <w:rPr>
          <w:rFonts w:hint="cs"/>
          <w:rtl/>
        </w:rPr>
        <w:t xml:space="preserve">مرحوم سید در مورد تعلیل روایت می فرماید: </w:t>
      </w:r>
      <w:r w:rsidR="008548A7" w:rsidRPr="008548A7">
        <w:rPr>
          <w:rFonts w:hint="cs"/>
          <w:color w:val="000080"/>
          <w:rtl/>
        </w:rPr>
        <w:t>«و</w:t>
      </w:r>
      <w:r w:rsidR="008548A7" w:rsidRPr="00D93E67">
        <w:rPr>
          <w:rFonts w:hint="cs"/>
          <w:color w:val="0000FF"/>
          <w:rtl/>
        </w:rPr>
        <w:t xml:space="preserve"> المراد من التعليل أنّها حيث يئست من المحيض فتنتقل عدتها من الأقراء إلى الأشهر</w:t>
      </w:r>
      <w:r w:rsidR="008548A7" w:rsidRPr="009E30FD">
        <w:rPr>
          <w:rFonts w:hint="cs"/>
          <w:color w:val="0000FF"/>
          <w:rtl/>
        </w:rPr>
        <w:t xml:space="preserve"> </w:t>
      </w:r>
      <w:r w:rsidR="008548A7" w:rsidRPr="00D93E67">
        <w:rPr>
          <w:rFonts w:hint="cs"/>
          <w:color w:val="0000FF"/>
          <w:rtl/>
        </w:rPr>
        <w:t>و يستفاد منه أنّ العدة لا ب</w:t>
      </w:r>
      <w:r w:rsidR="008548A7">
        <w:rPr>
          <w:rFonts w:hint="cs"/>
          <w:color w:val="0000FF"/>
          <w:rtl/>
        </w:rPr>
        <w:t>د منها و يكون الشهران بدل القرئی</w:t>
      </w:r>
      <w:r w:rsidR="008548A7" w:rsidRPr="00D93E67">
        <w:rPr>
          <w:rFonts w:hint="cs"/>
          <w:color w:val="0000FF"/>
          <w:rtl/>
        </w:rPr>
        <w:t>ن الآخرين</w:t>
      </w:r>
      <w:r w:rsidR="008548A7">
        <w:rPr>
          <w:rStyle w:val="FootnoteReference"/>
          <w:color w:val="0000FF"/>
          <w:rtl/>
        </w:rPr>
        <w:footnoteReference w:id="5"/>
      </w:r>
      <w:r w:rsidR="008548A7">
        <w:rPr>
          <w:rFonts w:hint="cs"/>
          <w:color w:val="0000FF"/>
          <w:rtl/>
        </w:rPr>
        <w:t>»</w:t>
      </w:r>
    </w:p>
    <w:p w:rsidR="00D67469" w:rsidRDefault="00B2201E" w:rsidP="0007569F">
      <w:pPr>
        <w:jc w:val="both"/>
        <w:rPr>
          <w:rtl/>
        </w:rPr>
      </w:pPr>
      <w:r>
        <w:rPr>
          <w:rFonts w:hint="cs"/>
          <w:rtl/>
        </w:rPr>
        <w:t xml:space="preserve">می فرماید: چون از حیض </w:t>
      </w:r>
      <w:r w:rsidR="0007569F">
        <w:rPr>
          <w:rFonts w:hint="cs"/>
          <w:rtl/>
        </w:rPr>
        <w:t xml:space="preserve">مایوس </w:t>
      </w:r>
      <w:r>
        <w:rPr>
          <w:rFonts w:hint="cs"/>
          <w:rtl/>
        </w:rPr>
        <w:t>شده است، باید عده اش از قرء به ماه منتقل گردد.</w:t>
      </w:r>
      <w:r w:rsidR="003A4F56">
        <w:rPr>
          <w:rFonts w:hint="cs"/>
          <w:rtl/>
        </w:rPr>
        <w:t xml:space="preserve"> هیچ توضیحی نمی دهد که یائسه شدن چه نکته ای دارد که عده اش از قرء به ماه تبدیل می شود.</w:t>
      </w:r>
    </w:p>
    <w:p w:rsidR="003F0A5C" w:rsidRDefault="003A4F56" w:rsidP="00B2201E">
      <w:pPr>
        <w:jc w:val="both"/>
        <w:rPr>
          <w:rtl/>
        </w:rPr>
      </w:pPr>
      <w:r>
        <w:rPr>
          <w:rFonts w:hint="cs"/>
          <w:rtl/>
        </w:rPr>
        <w:t>توضیح مطلب سید نیازمند این بحث می باشد که حکم روایت مطابق قاعده است یا خلاف قاعده می باشد.</w:t>
      </w:r>
    </w:p>
    <w:p w:rsidR="003A4F56" w:rsidRDefault="007272B9" w:rsidP="00B2201E">
      <w:pPr>
        <w:jc w:val="both"/>
        <w:rPr>
          <w:rtl/>
        </w:rPr>
      </w:pPr>
      <w:r>
        <w:rPr>
          <w:rFonts w:hint="cs"/>
          <w:rtl/>
        </w:rPr>
        <w:t>در این رابطه به بررسی عبار</w:t>
      </w:r>
      <w:r w:rsidR="00890EE3">
        <w:rPr>
          <w:rFonts w:hint="cs"/>
          <w:rtl/>
        </w:rPr>
        <w:t>ا</w:t>
      </w:r>
      <w:r>
        <w:rPr>
          <w:rFonts w:hint="cs"/>
          <w:rtl/>
        </w:rPr>
        <w:t>ت فقها می پردازیم:</w:t>
      </w:r>
    </w:p>
    <w:p w:rsidR="007272B9" w:rsidRDefault="007272B9" w:rsidP="007272B9">
      <w:pPr>
        <w:pStyle w:val="Heading3"/>
        <w:rPr>
          <w:rtl/>
        </w:rPr>
      </w:pPr>
      <w:bookmarkStart w:id="11" w:name="_Toc24176276"/>
      <w:bookmarkStart w:id="12" w:name="_Toc24220398"/>
      <w:r>
        <w:rPr>
          <w:rFonts w:hint="cs"/>
          <w:rtl/>
        </w:rPr>
        <w:t>عبارت مبانی منهاج الصالحین</w:t>
      </w:r>
      <w:bookmarkEnd w:id="11"/>
      <w:bookmarkEnd w:id="12"/>
    </w:p>
    <w:p w:rsidR="00D67469" w:rsidRDefault="00AF4F1E" w:rsidP="00AF4F1E">
      <w:pPr>
        <w:jc w:val="both"/>
        <w:rPr>
          <w:rtl/>
        </w:rPr>
      </w:pPr>
      <w:r>
        <w:rPr>
          <w:rFonts w:hint="cs"/>
          <w:rtl/>
        </w:rPr>
        <w:t>حاج آقا تقی قمی در مبانی منهاج الصالحین</w:t>
      </w:r>
      <w:r w:rsidR="00E22C43">
        <w:rPr>
          <w:rFonts w:hint="cs"/>
          <w:rtl/>
        </w:rPr>
        <w:t xml:space="preserve"> روایت را مطابق قاعده دانسته و</w:t>
      </w:r>
      <w:r>
        <w:rPr>
          <w:rFonts w:hint="cs"/>
          <w:rtl/>
        </w:rPr>
        <w:t xml:space="preserve"> می فرماید:</w:t>
      </w:r>
    </w:p>
    <w:p w:rsidR="00962A4F" w:rsidRPr="00AF4F1E" w:rsidRDefault="00962A4F" w:rsidP="00962A4F">
      <w:pPr>
        <w:jc w:val="both"/>
        <w:rPr>
          <w:color w:val="000080"/>
          <w:rtl/>
        </w:rPr>
      </w:pPr>
      <w:r w:rsidRPr="00AF4F1E">
        <w:rPr>
          <w:rFonts w:hint="cs"/>
          <w:color w:val="000080"/>
          <w:rtl/>
        </w:rPr>
        <w:t>لاحظ ما رواه ابن حمزة عن أبي عبد اللّه عليه السلام في امرأة طلقت و قد طعنت في السن فحاضت حيضة واحدة ثم ارتفع حيضها فقال: تعتد بالحيضة‌ لكن الرواية ضعيفة بابن اسحاق شعر نعم لا يبعد أن يتم المدعى بحسب القاعدة بأن يقال: قد ثبتت العدة بالطلاق و حيث ان المفروض انقطاع الدم عنها يقوم كل شهر مقام حيضة فتكون عدتها مركبة من الطهر الواقع فيه الطلاق و شهرين بعد انقطاع الدم و اللّه العالم.</w:t>
      </w:r>
      <w:r w:rsidR="00AF4F1E">
        <w:rPr>
          <w:rStyle w:val="FootnoteReference"/>
          <w:color w:val="000080"/>
          <w:rtl/>
        </w:rPr>
        <w:footnoteReference w:id="6"/>
      </w:r>
    </w:p>
    <w:p w:rsidR="00D67469" w:rsidRDefault="007272B9" w:rsidP="007272B9">
      <w:pPr>
        <w:pStyle w:val="Heading3"/>
        <w:rPr>
          <w:rtl/>
        </w:rPr>
      </w:pPr>
      <w:bookmarkStart w:id="13" w:name="_Toc24176277"/>
      <w:bookmarkStart w:id="14" w:name="_Toc24220399"/>
      <w:r>
        <w:rPr>
          <w:rFonts w:hint="cs"/>
          <w:rtl/>
        </w:rPr>
        <w:t>عبارت تفصیل الشریعة</w:t>
      </w:r>
      <w:bookmarkEnd w:id="13"/>
      <w:bookmarkEnd w:id="14"/>
    </w:p>
    <w:p w:rsidR="007C38A4" w:rsidRDefault="007C38A4" w:rsidP="007C38A4">
      <w:pPr>
        <w:jc w:val="both"/>
        <w:rPr>
          <w:rtl/>
        </w:rPr>
      </w:pPr>
      <w:r>
        <w:rPr>
          <w:rFonts w:hint="cs"/>
          <w:rtl/>
        </w:rPr>
        <w:t xml:space="preserve">مرحوم آقای فاضل در تفصیل الشریعه </w:t>
      </w:r>
      <w:r w:rsidR="00110EEE">
        <w:rPr>
          <w:rFonts w:hint="cs"/>
          <w:rtl/>
        </w:rPr>
        <w:t xml:space="preserve">روایت را خلاف قاعده دانسته و </w:t>
      </w:r>
      <w:r>
        <w:rPr>
          <w:rFonts w:hint="cs"/>
          <w:rtl/>
        </w:rPr>
        <w:t>می فرماید:</w:t>
      </w:r>
    </w:p>
    <w:p w:rsidR="007C38A4" w:rsidRPr="007C38A4" w:rsidRDefault="007C38A4" w:rsidP="007C38A4">
      <w:pPr>
        <w:jc w:val="both"/>
        <w:rPr>
          <w:color w:val="000080"/>
        </w:rPr>
      </w:pPr>
      <w:r w:rsidRPr="007C38A4">
        <w:rPr>
          <w:rFonts w:hint="cs"/>
          <w:color w:val="000080"/>
          <w:rtl/>
        </w:rPr>
        <w:t xml:space="preserve">العمدة في هذه المسألة بيان أنّ بلوغ سنّ اليأس في أثناء العدّة، سواء كانت ذات الأقراء أو ذات الشهور، لا يوجب تماميّة العدّة و انقضاءَها، و إن كان مقتضى القاعدة ذلك؛ بناءً على ما اخترناه من عدم ثبوت العدّة لليائسة و الصغيرة؛ لعدم الفرق في ذلك بين أن يكون بلوغ سنّ اليأس قبل الشروع في العدّة أو في أثنائها، و الدليل عليه </w:t>
      </w:r>
      <w:r w:rsidR="00301872">
        <w:rPr>
          <w:rFonts w:hint="cs"/>
          <w:color w:val="000080"/>
          <w:rtl/>
        </w:rPr>
        <w:t>-</w:t>
      </w:r>
      <w:r w:rsidRPr="007C38A4">
        <w:rPr>
          <w:rFonts w:hint="cs"/>
          <w:color w:val="000080"/>
          <w:rtl/>
        </w:rPr>
        <w:t>مضافاً إلى أنّه لا خلاف فيه</w:t>
      </w:r>
      <w:r w:rsidR="00301872">
        <w:rPr>
          <w:rFonts w:hint="cs"/>
          <w:color w:val="000080"/>
          <w:rtl/>
        </w:rPr>
        <w:t>-</w:t>
      </w:r>
      <w:r w:rsidRPr="007C38A4">
        <w:rPr>
          <w:rFonts w:hint="cs"/>
          <w:color w:val="000080"/>
          <w:rtl/>
        </w:rPr>
        <w:t xml:space="preserve"> رواية هارون بن حمزة، عن أبي عبد اللّه (عليه السّلام) في امرأة طلّقت، و قد طعنت في السنّ، فحاضت حيضة واحدة، ثم ارتفع حيضها، فقال: تعتدّ بالحيضة و شهرين مستقبلين، فإنّها قد يئست من المحيض.</w:t>
      </w:r>
    </w:p>
    <w:p w:rsidR="007C38A4" w:rsidRPr="007C38A4" w:rsidRDefault="007C38A4" w:rsidP="007C38A4">
      <w:pPr>
        <w:jc w:val="both"/>
        <w:rPr>
          <w:color w:val="000080"/>
          <w:rtl/>
        </w:rPr>
      </w:pPr>
      <w:r w:rsidRPr="007C38A4">
        <w:rPr>
          <w:rFonts w:hint="cs"/>
          <w:color w:val="000080"/>
          <w:rtl/>
        </w:rPr>
        <w:t>و الرواية تدل على عدم الانقضاء بمجرّد عروض اليأس في الأثناء على خلاف القاعدة، فلا فرق بين الصورة المذكورة و بين غيرها من الصور، كما أنّه لا فرق بين ذات الأقراء و ذات الشهور، بل في الجواهر: أنّه حتى لو لم تكن ذات اقراء، و قد صادف طلاقها لحظة قبل زمن سنّ اليأس. نعم، لو فرض اتّحاد زمان آخر صيغة الطلاق مع أوّل زمن اليأس اتّجه عدم اعتدادها حينئذٍ. و ال</w:t>
      </w:r>
      <w:r w:rsidR="00322A2A">
        <w:rPr>
          <w:rFonts w:hint="cs"/>
          <w:color w:val="000080"/>
          <w:rtl/>
        </w:rPr>
        <w:t>سرّ في الصورة الأخيرة المستدركة</w:t>
      </w:r>
      <w:r w:rsidRPr="007C38A4">
        <w:rPr>
          <w:rFonts w:hint="cs"/>
          <w:color w:val="000080"/>
          <w:rtl/>
        </w:rPr>
        <w:t xml:space="preserve"> أنّ الحكم بوجوب ا</w:t>
      </w:r>
      <w:r w:rsidR="008258B7">
        <w:rPr>
          <w:rFonts w:hint="cs"/>
          <w:color w:val="000080"/>
          <w:rtl/>
        </w:rPr>
        <w:t>لاعتداد إنّما يترتّب على الطلاق</w:t>
      </w:r>
      <w:r w:rsidR="006B6C74">
        <w:rPr>
          <w:rFonts w:hint="cs"/>
          <w:color w:val="000080"/>
          <w:rtl/>
        </w:rPr>
        <w:t xml:space="preserve"> الذي‌ لا يتحقّق إلّا بآخر صيغة</w:t>
      </w:r>
      <w:r w:rsidRPr="007C38A4">
        <w:rPr>
          <w:rFonts w:hint="cs"/>
          <w:color w:val="000080"/>
          <w:rtl/>
        </w:rPr>
        <w:t xml:space="preserve"> و المفروض تحقّق اليأس غير الموجب للعدّة حينئذٍ، فالمتّجه عدم الاعتداد بخلاف الصورة الأُخرى، فتدبّر جيّداً.</w:t>
      </w:r>
      <w:r w:rsidR="00024C7C">
        <w:rPr>
          <w:rStyle w:val="FootnoteReference"/>
          <w:color w:val="000080"/>
          <w:rtl/>
        </w:rPr>
        <w:footnoteReference w:id="7"/>
      </w:r>
    </w:p>
    <w:p w:rsidR="007C38A4" w:rsidRDefault="007272B9" w:rsidP="007272B9">
      <w:pPr>
        <w:pStyle w:val="Heading3"/>
        <w:rPr>
          <w:rtl/>
        </w:rPr>
      </w:pPr>
      <w:bookmarkStart w:id="15" w:name="_Toc24176278"/>
      <w:bookmarkStart w:id="16" w:name="_Toc24220400"/>
      <w:r>
        <w:rPr>
          <w:rFonts w:hint="cs"/>
          <w:rtl/>
        </w:rPr>
        <w:t>عبارت نهایة المرام</w:t>
      </w:r>
      <w:bookmarkEnd w:id="15"/>
      <w:bookmarkEnd w:id="16"/>
    </w:p>
    <w:p w:rsidR="00810564" w:rsidRDefault="00E0572F" w:rsidP="00D67469">
      <w:pPr>
        <w:jc w:val="both"/>
        <w:rPr>
          <w:rtl/>
        </w:rPr>
      </w:pPr>
      <w:r>
        <w:rPr>
          <w:rtl/>
        </w:rPr>
        <w:t>سید محمد موسوی عاملی</w:t>
      </w:r>
      <w:r>
        <w:rPr>
          <w:rFonts w:hint="cs"/>
          <w:rtl/>
        </w:rPr>
        <w:t xml:space="preserve"> ( </w:t>
      </w:r>
      <w:r w:rsidR="00810564">
        <w:rPr>
          <w:rFonts w:hint="cs"/>
          <w:rtl/>
        </w:rPr>
        <w:t>صاحب مدارک</w:t>
      </w:r>
      <w:r>
        <w:rPr>
          <w:rFonts w:hint="cs"/>
          <w:rtl/>
        </w:rPr>
        <w:t>)</w:t>
      </w:r>
      <w:r w:rsidR="00810564">
        <w:rPr>
          <w:rFonts w:hint="cs"/>
          <w:rtl/>
        </w:rPr>
        <w:t xml:space="preserve"> در نهایة المرام می فرماید:</w:t>
      </w:r>
    </w:p>
    <w:p w:rsidR="002B3D33" w:rsidRPr="00810564" w:rsidRDefault="002B3D33" w:rsidP="00810564">
      <w:pPr>
        <w:rPr>
          <w:color w:val="000080"/>
        </w:rPr>
      </w:pPr>
      <w:r w:rsidRPr="00810564">
        <w:rPr>
          <w:rFonts w:hint="cs"/>
          <w:color w:val="000080"/>
          <w:rtl/>
        </w:rPr>
        <w:t>هذا الحكم مقطوع به في كلام الأصحاب.</w:t>
      </w:r>
    </w:p>
    <w:p w:rsidR="002B3D33" w:rsidRPr="00810564" w:rsidRDefault="002B3D33" w:rsidP="00810564">
      <w:pPr>
        <w:rPr>
          <w:color w:val="000080"/>
          <w:rtl/>
        </w:rPr>
      </w:pPr>
      <w:r w:rsidRPr="00810564">
        <w:rPr>
          <w:rFonts w:hint="cs"/>
          <w:color w:val="000080"/>
          <w:rtl/>
        </w:rPr>
        <w:t>و استدلوا عليه بما رواه الشيخ، عن هارون بن حمزة، عن أبي عبد اللّه عليه السّلام في امرأة طلّقت و قد طعنت في السنّ فحاضت حيضة واحدة ثمَّ ارتفع حيضها فقال: تعتدّ بالحيض (بالحيضة- ئل) و شهرين مستقبلين فإنها قد يئست من المحيض و هذه الرواية قاصرة من حيث السند عن إثبات هذا الحكم و ان كان العمل بمضمونها أحوط.</w:t>
      </w:r>
    </w:p>
    <w:p w:rsidR="002B3D33" w:rsidRPr="00810564" w:rsidRDefault="002B3D33" w:rsidP="00810564">
      <w:pPr>
        <w:rPr>
          <w:color w:val="000080"/>
          <w:rtl/>
        </w:rPr>
      </w:pPr>
      <w:r w:rsidRPr="00810564">
        <w:rPr>
          <w:rFonts w:hint="cs"/>
          <w:color w:val="000080"/>
          <w:rtl/>
        </w:rPr>
        <w:t>و لو فرض بلوغها حدّ اليأس بعد ان حاضت مرّتين، احتمل سقوط‌ الاعتداد عنها للأصل، و إكمال العدّة بشهر كما يلوح من الرواية.</w:t>
      </w:r>
      <w:r w:rsidR="00EB112C">
        <w:rPr>
          <w:rStyle w:val="FootnoteReference"/>
          <w:color w:val="000080"/>
          <w:rtl/>
        </w:rPr>
        <w:footnoteReference w:id="8"/>
      </w:r>
    </w:p>
    <w:p w:rsidR="002B3D33" w:rsidRDefault="00BA7D34" w:rsidP="00D67469">
      <w:pPr>
        <w:jc w:val="both"/>
        <w:rPr>
          <w:rtl/>
        </w:rPr>
      </w:pPr>
      <w:r>
        <w:rPr>
          <w:rFonts w:hint="cs"/>
          <w:rtl/>
        </w:rPr>
        <w:t>توضیح</w:t>
      </w:r>
      <w:r w:rsidR="00723656">
        <w:rPr>
          <w:rFonts w:hint="cs"/>
          <w:rtl/>
        </w:rPr>
        <w:t xml:space="preserve"> بیشتر</w:t>
      </w:r>
      <w:r>
        <w:rPr>
          <w:rFonts w:hint="cs"/>
          <w:rtl/>
        </w:rPr>
        <w:t xml:space="preserve"> کلام سید بعد از تامل طلاب در مورد طبق قاعده بودن روایت یا عدم آن در جلسه‌ی بعد می آید.</w:t>
      </w:r>
    </w:p>
    <w:p w:rsidR="002F3C53" w:rsidRDefault="002F3C53" w:rsidP="00CD051D">
      <w:pPr>
        <w:pStyle w:val="Heading3"/>
        <w:rPr>
          <w:rtl/>
        </w:rPr>
      </w:pPr>
      <w:bookmarkStart w:id="17" w:name="_Toc23821417"/>
      <w:bookmarkStart w:id="18" w:name="_Toc24176279"/>
      <w:bookmarkStart w:id="19" w:name="_Toc24220401"/>
      <w:r>
        <w:rPr>
          <w:rFonts w:hint="cs"/>
          <w:rtl/>
        </w:rPr>
        <w:t>بیان دیگر در مراد از تعلیل</w:t>
      </w:r>
      <w:bookmarkEnd w:id="17"/>
      <w:bookmarkEnd w:id="18"/>
      <w:bookmarkEnd w:id="19"/>
    </w:p>
    <w:p w:rsidR="002F3C53" w:rsidRDefault="00A63DFC" w:rsidP="002F3C53">
      <w:pPr>
        <w:rPr>
          <w:rtl/>
        </w:rPr>
      </w:pPr>
      <w:r>
        <w:rPr>
          <w:rFonts w:hint="cs"/>
          <w:rtl/>
        </w:rPr>
        <w:t xml:space="preserve">جلسه‌ی قبل گفتیم: </w:t>
      </w:r>
      <w:r w:rsidR="002F3C53">
        <w:rPr>
          <w:rFonts w:hint="cs"/>
          <w:rtl/>
        </w:rPr>
        <w:t>روایت دیگری از هارون بن حمزه هست که مراد از این تعلیل را روشن می کند.</w:t>
      </w:r>
    </w:p>
    <w:p w:rsidR="002F3C53" w:rsidRPr="00EE5646" w:rsidRDefault="002F3C53" w:rsidP="002F3C53">
      <w:pPr>
        <w:rPr>
          <w:color w:val="008000"/>
        </w:rPr>
      </w:pPr>
      <w:r w:rsidRPr="00EE5646">
        <w:rPr>
          <w:rFonts w:hint="cs"/>
          <w:rtl/>
        </w:rPr>
        <w:t xml:space="preserve">سَعْدٌ عَنْ مُحَمَّدِ بْنِ بُنْدَارَ عَنْ مَاجِيلَوَيْهِ عَنْ مُحَمَّدِ بْنِ عَلِيٍّ الصَّيْرَفِيِّ قَالَ حَدَّثَنَا يَزِيدُ بْنُ إِسْحَاقَ شَعِرٍ قَالَ حَدَّثَنَا هَارُونُ بْنُ حَمْزَةَ الْغَنَوِيُّ الصَّيْرَفِيُّ قَالَ: </w:t>
      </w:r>
      <w:r w:rsidRPr="00EE5646">
        <w:rPr>
          <w:rFonts w:hint="cs"/>
          <w:color w:val="008000"/>
          <w:rtl/>
        </w:rPr>
        <w:t xml:space="preserve">سَأَلْتُ أَبَا عَبْدِ اللَّهِ </w:t>
      </w:r>
      <w:r w:rsidR="004506C8">
        <w:rPr>
          <w:rFonts w:hint="cs"/>
          <w:color w:val="008000"/>
          <w:rtl/>
        </w:rPr>
        <w:t>(</w:t>
      </w:r>
      <w:r w:rsidRPr="00EE5646">
        <w:rPr>
          <w:rFonts w:hint="cs"/>
          <w:color w:val="008000"/>
          <w:rtl/>
        </w:rPr>
        <w:t>ع</w:t>
      </w:r>
      <w:r w:rsidR="004506C8">
        <w:rPr>
          <w:rFonts w:hint="cs"/>
          <w:color w:val="008000"/>
          <w:rtl/>
        </w:rPr>
        <w:t>)</w:t>
      </w:r>
      <w:r w:rsidRPr="00EE5646">
        <w:rPr>
          <w:rFonts w:hint="cs"/>
          <w:color w:val="008000"/>
          <w:rtl/>
        </w:rPr>
        <w:t xml:space="preserve"> عَنْ‏ جَارِيَةٍ حَدَثَةٍ طُلِّقَتْ وَ لَمْ تَحِضْ بَعْدُ فَمَضَى لَهَا شَهْرَانِ ثُمَّ حَاضَتْ أَ تَعْتَدُّ بِالشَّهْرَيْنِ قَالَ نَعَمْ وَ تُكْمِلُ عِدَّتَهَا شَهْراً فَقُلْتُ أَ تُكْمِلُ عِدَّتَهَا بِحَيْضَةٍ قَالَ لَا بَلْ بِشَهْرٍ مَضَى</w:t>
      </w:r>
      <w:r w:rsidR="00314E1A">
        <w:rPr>
          <w:rFonts w:hint="cs"/>
          <w:color w:val="008000"/>
          <w:rtl/>
        </w:rPr>
        <w:t>،</w:t>
      </w:r>
      <w:r w:rsidRPr="00EE5646">
        <w:rPr>
          <w:rFonts w:hint="cs"/>
          <w:color w:val="008000"/>
          <w:rtl/>
        </w:rPr>
        <w:t xml:space="preserve"> آخِرُ عِدَّتِهَا عَلَى مَا مَضَى عَلَيْهِ أَوَّلُهَا.</w:t>
      </w:r>
      <w:r>
        <w:rPr>
          <w:rStyle w:val="FootnoteReference"/>
          <w:color w:val="008000"/>
          <w:rtl/>
        </w:rPr>
        <w:footnoteReference w:id="9"/>
      </w:r>
    </w:p>
    <w:p w:rsidR="002F3C53" w:rsidRDefault="002F3C53" w:rsidP="002F3C53">
      <w:pPr>
        <w:rPr>
          <w:rtl/>
        </w:rPr>
      </w:pPr>
      <w:r>
        <w:rPr>
          <w:rFonts w:hint="cs"/>
          <w:rtl/>
        </w:rPr>
        <w:t>جاریه ای که تا به حال حیض ندیده است طلاق داده می شود و پس از دو ماه حیض می بیند، امام می فرماید: عده اش را با یک ماه کامل می کند.</w:t>
      </w:r>
    </w:p>
    <w:p w:rsidR="002F3C53" w:rsidRDefault="002F3C53" w:rsidP="002F3C53">
      <w:pPr>
        <w:rPr>
          <w:rtl/>
        </w:rPr>
      </w:pPr>
      <w:r>
        <w:rPr>
          <w:rFonts w:hint="cs"/>
          <w:rtl/>
        </w:rPr>
        <w:t>سوال می شود حال که حیض دیده است آیا عده اش را با یک حیض کامل کند؟</w:t>
      </w:r>
    </w:p>
    <w:p w:rsidR="002F3C53" w:rsidRDefault="002F3C53" w:rsidP="002F3C53">
      <w:pPr>
        <w:rPr>
          <w:rtl/>
        </w:rPr>
      </w:pPr>
      <w:r>
        <w:rPr>
          <w:rFonts w:hint="cs"/>
          <w:rtl/>
        </w:rPr>
        <w:t>امام می فرماید: اگر عده اش را با ماه شروع کرده است باید با ماه هم به اتمام برساند و عده تلفیقی نمی شود.</w:t>
      </w:r>
    </w:p>
    <w:p w:rsidR="002F3C53" w:rsidRDefault="002F3C53" w:rsidP="002F3C53">
      <w:pPr>
        <w:rPr>
          <w:rtl/>
        </w:rPr>
      </w:pPr>
      <w:r>
        <w:rPr>
          <w:rFonts w:hint="cs"/>
          <w:rtl/>
        </w:rPr>
        <w:t xml:space="preserve">ملاک شروع عده است، اگر با قرء بوده باید </w:t>
      </w:r>
      <w:r w:rsidR="006F2046">
        <w:rPr>
          <w:rFonts w:hint="cs"/>
          <w:rtl/>
        </w:rPr>
        <w:t>با قرء هم پایان یابد؛ اما اگر با</w:t>
      </w:r>
      <w:r>
        <w:rPr>
          <w:rFonts w:hint="cs"/>
          <w:rtl/>
        </w:rPr>
        <w:t xml:space="preserve"> ماه بوده باید با ماه به اتمام برسد.</w:t>
      </w:r>
    </w:p>
    <w:p w:rsidR="002F3C53" w:rsidRDefault="002F3C53" w:rsidP="001B4E15">
      <w:pPr>
        <w:jc w:val="both"/>
        <w:rPr>
          <w:rtl/>
        </w:rPr>
      </w:pPr>
      <w:r>
        <w:rPr>
          <w:rFonts w:hint="cs"/>
          <w:rtl/>
        </w:rPr>
        <w:t xml:space="preserve">تعلیل روایت ناظر به همین مطلب است که گر چه در باب عده قانونی وجود دارد که عده به همان شکل که شروع شده است باید به همان شکل هم پایان یابد، اما </w:t>
      </w:r>
      <w:r w:rsidR="001B4E15">
        <w:rPr>
          <w:rFonts w:hint="cs"/>
          <w:rtl/>
        </w:rPr>
        <w:t xml:space="preserve">به دلیل این که </w:t>
      </w:r>
      <w:r>
        <w:rPr>
          <w:rFonts w:hint="cs"/>
          <w:rtl/>
        </w:rPr>
        <w:t xml:space="preserve">وقتی زنی عده را با حیض شروع کرد و سپس یائسه شد، نمی تواند به همان نحوی که عده را شروع </w:t>
      </w:r>
      <w:r w:rsidR="001B4E15">
        <w:rPr>
          <w:rFonts w:hint="cs"/>
          <w:rtl/>
        </w:rPr>
        <w:t>کرده است، آن را به پایان برساند</w:t>
      </w:r>
      <w:r>
        <w:rPr>
          <w:rFonts w:hint="cs"/>
          <w:rtl/>
        </w:rPr>
        <w:t>، شارع مقدس دو ماه را عوض دو حیضی که باید با آن عده را تکمیل می کرد، قرار داده است.</w:t>
      </w:r>
    </w:p>
    <w:p w:rsidR="00D67469" w:rsidRDefault="00CD051D" w:rsidP="00526336">
      <w:pPr>
        <w:pStyle w:val="Heading4"/>
        <w:rPr>
          <w:rtl/>
        </w:rPr>
      </w:pPr>
      <w:bookmarkStart w:id="20" w:name="_Toc24176280"/>
      <w:bookmarkStart w:id="21" w:name="_Toc24220402"/>
      <w:r>
        <w:rPr>
          <w:rFonts w:hint="cs"/>
          <w:rtl/>
        </w:rPr>
        <w:t>بررسی سندی</w:t>
      </w:r>
      <w:r w:rsidR="00526336">
        <w:rPr>
          <w:rFonts w:hint="cs"/>
          <w:rtl/>
        </w:rPr>
        <w:t xml:space="preserve"> روایت</w:t>
      </w:r>
      <w:bookmarkEnd w:id="20"/>
      <w:bookmarkEnd w:id="21"/>
    </w:p>
    <w:p w:rsidR="00D67469" w:rsidRDefault="000D346D" w:rsidP="00D67469">
      <w:pPr>
        <w:jc w:val="both"/>
        <w:rPr>
          <w:rtl/>
        </w:rPr>
      </w:pPr>
      <w:r>
        <w:rPr>
          <w:rFonts w:hint="cs"/>
          <w:rtl/>
        </w:rPr>
        <w:t xml:space="preserve">سند روایت به این شکل است: </w:t>
      </w:r>
      <w:r w:rsidRPr="00EE5646">
        <w:rPr>
          <w:rFonts w:hint="cs"/>
          <w:rtl/>
        </w:rPr>
        <w:t>سَعْدٌ عَنْ مُحَمَّدِ بْنِ بُنْدَارَ عَنْ مَاجِيلَوَيْهِ عَنْ مُحَمَّدِ بْنِ عَلِيٍّ الصَّيْرَفِيِّ قَالَ حَدَّثَنَا يَزِيدُ بْنُ إِسْحَاقَ شَعِرٍ قَالَ حَدَّثَنَا هَارُونُ بْنُ حَمْزَةَ الْغَنَوِيُّ الصَّيْرَفِيُّ</w:t>
      </w:r>
    </w:p>
    <w:p w:rsidR="00A71731" w:rsidRDefault="000D346D" w:rsidP="000D346D">
      <w:pPr>
        <w:jc w:val="both"/>
        <w:rPr>
          <w:rtl/>
        </w:rPr>
      </w:pPr>
      <w:r>
        <w:rPr>
          <w:rFonts w:hint="cs"/>
          <w:rtl/>
        </w:rPr>
        <w:t>در «</w:t>
      </w:r>
      <w:r w:rsidRPr="00EE5646">
        <w:rPr>
          <w:rFonts w:hint="cs"/>
          <w:rtl/>
        </w:rPr>
        <w:t>مُحَمَّدِ بْنِ بُنْدَارَ عَنْ مَاجِيلَوَيْهِ</w:t>
      </w:r>
      <w:r>
        <w:rPr>
          <w:rFonts w:hint="cs"/>
          <w:rtl/>
        </w:rPr>
        <w:t>»</w:t>
      </w:r>
      <w:r w:rsidR="001C767F">
        <w:rPr>
          <w:rFonts w:hint="cs"/>
          <w:rtl/>
        </w:rPr>
        <w:t>،</w:t>
      </w:r>
      <w:r>
        <w:rPr>
          <w:rFonts w:hint="cs"/>
          <w:rtl/>
        </w:rPr>
        <w:t xml:space="preserve"> </w:t>
      </w:r>
      <w:r w:rsidR="001C767F">
        <w:rPr>
          <w:rFonts w:hint="cs"/>
          <w:rtl/>
        </w:rPr>
        <w:t>«</w:t>
      </w:r>
      <w:r>
        <w:rPr>
          <w:rFonts w:hint="cs"/>
          <w:rtl/>
        </w:rPr>
        <w:t>عن</w:t>
      </w:r>
      <w:r w:rsidR="001C767F">
        <w:rPr>
          <w:rFonts w:hint="cs"/>
          <w:rtl/>
        </w:rPr>
        <w:t>»</w:t>
      </w:r>
      <w:r>
        <w:rPr>
          <w:rFonts w:hint="cs"/>
          <w:rtl/>
        </w:rPr>
        <w:t xml:space="preserve"> زائد است و صحیح آن «</w:t>
      </w:r>
      <w:r w:rsidRPr="00EE5646">
        <w:rPr>
          <w:rFonts w:hint="cs"/>
          <w:rtl/>
        </w:rPr>
        <w:t>مُحَمَّدِ بْنِ بُنْدَارَ مَاجِيلَوَيْهِ</w:t>
      </w:r>
      <w:r>
        <w:rPr>
          <w:rFonts w:hint="cs"/>
          <w:rtl/>
        </w:rPr>
        <w:t>» می باشد.</w:t>
      </w:r>
    </w:p>
    <w:p w:rsidR="009625FA" w:rsidRDefault="00824E1E" w:rsidP="000D346D">
      <w:pPr>
        <w:jc w:val="both"/>
        <w:rPr>
          <w:rtl/>
        </w:rPr>
      </w:pPr>
      <w:r>
        <w:rPr>
          <w:rFonts w:hint="cs"/>
          <w:rtl/>
        </w:rPr>
        <w:t>ماجیلویه لقب خانوادگی آن ها می باشد.</w:t>
      </w:r>
    </w:p>
    <w:p w:rsidR="000D346D" w:rsidRDefault="002C3BF6" w:rsidP="00D67469">
      <w:pPr>
        <w:jc w:val="both"/>
        <w:rPr>
          <w:rtl/>
        </w:rPr>
      </w:pPr>
      <w:r>
        <w:rPr>
          <w:rFonts w:hint="cs"/>
          <w:rtl/>
        </w:rPr>
        <w:t>در نسب این خانواده در رجال نجاشی اشتباهاتی رخ داده است.</w:t>
      </w:r>
    </w:p>
    <w:p w:rsidR="00106761" w:rsidRDefault="00106761" w:rsidP="00D67469">
      <w:pPr>
        <w:jc w:val="both"/>
        <w:rPr>
          <w:rtl/>
        </w:rPr>
      </w:pPr>
      <w:r>
        <w:rPr>
          <w:rFonts w:hint="cs"/>
          <w:rtl/>
        </w:rPr>
        <w:t>بندار کنیه اش ابوالقاسم بوده است.</w:t>
      </w:r>
    </w:p>
    <w:p w:rsidR="00F879B5" w:rsidRDefault="00F879B5" w:rsidP="00D67469">
      <w:pPr>
        <w:jc w:val="both"/>
        <w:rPr>
          <w:rtl/>
        </w:rPr>
      </w:pPr>
      <w:r>
        <w:rPr>
          <w:rFonts w:hint="cs"/>
          <w:rtl/>
        </w:rPr>
        <w:t>نامش هم عبدالله بوده است.</w:t>
      </w:r>
    </w:p>
    <w:p w:rsidR="00F879B5" w:rsidRDefault="00F879B5" w:rsidP="00D67469">
      <w:pPr>
        <w:jc w:val="both"/>
        <w:rPr>
          <w:rtl/>
        </w:rPr>
      </w:pPr>
      <w:r>
        <w:rPr>
          <w:rFonts w:hint="cs"/>
          <w:rtl/>
        </w:rPr>
        <w:t xml:space="preserve">دو پسر به نام های علی و محمد داشته </w:t>
      </w:r>
      <w:r w:rsidR="005C6059">
        <w:rPr>
          <w:rFonts w:hint="cs"/>
          <w:rtl/>
        </w:rPr>
        <w:t>است که محمد بن بندار در سند مورد بحث ما آمده است.</w:t>
      </w:r>
    </w:p>
    <w:p w:rsidR="00F879B5" w:rsidRDefault="00F879B5" w:rsidP="00D67469">
      <w:pPr>
        <w:jc w:val="both"/>
        <w:rPr>
          <w:rtl/>
        </w:rPr>
      </w:pPr>
      <w:r>
        <w:rPr>
          <w:rFonts w:hint="cs"/>
          <w:rtl/>
        </w:rPr>
        <w:t>علی پسری به نام محمد داشته و محمد پسری به نام علی داشته است.</w:t>
      </w:r>
    </w:p>
    <w:p w:rsidR="009625FA" w:rsidRDefault="00EE14A6" w:rsidP="00D67469">
      <w:pPr>
        <w:jc w:val="both"/>
        <w:rPr>
          <w:rtl/>
        </w:rPr>
      </w:pPr>
      <w:r>
        <w:rPr>
          <w:rFonts w:hint="cs"/>
          <w:rtl/>
        </w:rPr>
        <w:t>محمد بن علی ماجیلویه استاد شیخ صدوق می باشد.</w:t>
      </w:r>
    </w:p>
    <w:p w:rsidR="009625FA" w:rsidRDefault="00AE0CFD" w:rsidP="00D67469">
      <w:pPr>
        <w:jc w:val="both"/>
        <w:rPr>
          <w:rtl/>
        </w:rPr>
      </w:pPr>
      <w:r>
        <w:rPr>
          <w:rFonts w:hint="cs"/>
          <w:rtl/>
        </w:rPr>
        <w:t>علی بن محمد بن بندار استاد شیخ کلینی است.</w:t>
      </w:r>
    </w:p>
    <w:p w:rsidR="002121EB" w:rsidRDefault="002121EB" w:rsidP="00D67469">
      <w:pPr>
        <w:jc w:val="both"/>
        <w:rPr>
          <w:rtl/>
        </w:rPr>
      </w:pPr>
      <w:r>
        <w:rPr>
          <w:rFonts w:hint="cs"/>
          <w:rtl/>
        </w:rPr>
        <w:t xml:space="preserve">محمد بن بندار که در سند مورد بحث ما آمده است، داماد </w:t>
      </w:r>
      <w:r w:rsidR="00B07B82">
        <w:rPr>
          <w:rFonts w:hint="cs"/>
          <w:rtl/>
        </w:rPr>
        <w:t xml:space="preserve">احمد </w:t>
      </w:r>
      <w:r>
        <w:rPr>
          <w:rFonts w:hint="cs"/>
          <w:rtl/>
        </w:rPr>
        <w:t>برقی است.</w:t>
      </w:r>
    </w:p>
    <w:p w:rsidR="009625FA" w:rsidRDefault="00925650" w:rsidP="00D67469">
      <w:pPr>
        <w:jc w:val="both"/>
        <w:rPr>
          <w:rtl/>
        </w:rPr>
      </w:pPr>
      <w:r>
        <w:rPr>
          <w:rFonts w:hint="cs"/>
          <w:rtl/>
        </w:rPr>
        <w:t>محمد بن بندار و پسرش علی بن محمد بن بندار هر دو شاگرد برقی هستند.</w:t>
      </w:r>
    </w:p>
    <w:p w:rsidR="009E30FD" w:rsidRDefault="008F340D" w:rsidP="00D67469">
      <w:pPr>
        <w:jc w:val="both"/>
        <w:rPr>
          <w:rtl/>
        </w:rPr>
      </w:pPr>
      <w:r>
        <w:rPr>
          <w:rFonts w:hint="cs"/>
          <w:rtl/>
        </w:rPr>
        <w:t>استاد صدوق</w:t>
      </w:r>
      <w:r w:rsidR="00BA01A3">
        <w:rPr>
          <w:rFonts w:hint="cs"/>
          <w:rtl/>
        </w:rPr>
        <w:t>،</w:t>
      </w:r>
      <w:r w:rsidR="00A5349D">
        <w:rPr>
          <w:rFonts w:hint="cs"/>
          <w:rtl/>
        </w:rPr>
        <w:t xml:space="preserve"> محمد بن علی بن بندار</w:t>
      </w:r>
      <w:r>
        <w:rPr>
          <w:rFonts w:hint="cs"/>
          <w:rtl/>
        </w:rPr>
        <w:t xml:space="preserve"> از عمویش محمد بن بندار بسیار روایت می کند.</w:t>
      </w:r>
      <w:r w:rsidR="00A5349D">
        <w:rPr>
          <w:rFonts w:hint="cs"/>
          <w:rtl/>
        </w:rPr>
        <w:t xml:space="preserve"> ( محمد بن علی ماجیلویه عن عمه محمد بن بندار)</w:t>
      </w:r>
    </w:p>
    <w:p w:rsidR="00D67469" w:rsidRDefault="0081552F" w:rsidP="006503FA">
      <w:pPr>
        <w:jc w:val="both"/>
        <w:rPr>
          <w:rtl/>
        </w:rPr>
      </w:pPr>
      <w:r>
        <w:rPr>
          <w:rFonts w:hint="cs"/>
          <w:rtl/>
        </w:rPr>
        <w:t>در مورد بسیاری از افراد این خانواده ماجیلویه گفته شده است.</w:t>
      </w:r>
      <w:r w:rsidR="006503FA">
        <w:rPr>
          <w:rFonts w:hint="cs"/>
          <w:rtl/>
        </w:rPr>
        <w:t xml:space="preserve"> مثلا محمد بن علی ماجیلویه یا محمد بن بندار ماجیلویه.</w:t>
      </w:r>
    </w:p>
    <w:p w:rsidR="00D67469" w:rsidRDefault="006503FA" w:rsidP="00D67469">
      <w:pPr>
        <w:jc w:val="both"/>
        <w:rPr>
          <w:rtl/>
        </w:rPr>
      </w:pPr>
      <w:r>
        <w:rPr>
          <w:rFonts w:hint="cs"/>
          <w:rtl/>
        </w:rPr>
        <w:t>ویه پسوند تشبیه است. مثلا سیبویه به معنای سیب گونه است.</w:t>
      </w:r>
    </w:p>
    <w:p w:rsidR="00D67469" w:rsidRDefault="009F214D" w:rsidP="000D3DB9">
      <w:pPr>
        <w:jc w:val="both"/>
        <w:rPr>
          <w:rtl/>
        </w:rPr>
      </w:pPr>
      <w:r>
        <w:rPr>
          <w:rFonts w:hint="cs"/>
          <w:rtl/>
        </w:rPr>
        <w:t xml:space="preserve">یک </w:t>
      </w:r>
      <w:r w:rsidR="000D3DB9">
        <w:rPr>
          <w:rFonts w:hint="cs"/>
          <w:rtl/>
        </w:rPr>
        <w:t>نحوی معروف به نام نفط</w:t>
      </w:r>
      <w:r>
        <w:rPr>
          <w:rFonts w:hint="cs"/>
          <w:rtl/>
        </w:rPr>
        <w:t>ویه هست. به خاطر این</w:t>
      </w:r>
      <w:r w:rsidR="007B5A74">
        <w:rPr>
          <w:rFonts w:hint="cs"/>
          <w:rtl/>
        </w:rPr>
        <w:t xml:space="preserve"> </w:t>
      </w:r>
      <w:r>
        <w:rPr>
          <w:rFonts w:hint="cs"/>
          <w:rtl/>
        </w:rPr>
        <w:t xml:space="preserve">که </w:t>
      </w:r>
      <w:r w:rsidR="00921140">
        <w:rPr>
          <w:rFonts w:hint="cs"/>
          <w:rtl/>
        </w:rPr>
        <w:t xml:space="preserve">خیلی </w:t>
      </w:r>
      <w:r w:rsidR="000D3DB9">
        <w:rPr>
          <w:rFonts w:hint="cs"/>
          <w:rtl/>
        </w:rPr>
        <w:t>سیاه بوده به او نفط</w:t>
      </w:r>
      <w:r>
        <w:rPr>
          <w:rFonts w:hint="cs"/>
          <w:rtl/>
        </w:rPr>
        <w:t>ویه می گفتند.</w:t>
      </w:r>
      <w:r w:rsidR="000D3DB9" w:rsidRPr="000D3DB9">
        <w:rPr>
          <w:rFonts w:hint="cs"/>
          <w:rtl/>
        </w:rPr>
        <w:t xml:space="preserve"> </w:t>
      </w:r>
      <w:r w:rsidR="000D3DB9">
        <w:rPr>
          <w:rFonts w:hint="cs"/>
          <w:rtl/>
        </w:rPr>
        <w:t>در تاریخ معجم الادباء شعرهایی در مذمتش گفته اند.</w:t>
      </w:r>
      <w:r w:rsidR="00D425EF">
        <w:rPr>
          <w:rStyle w:val="FootnoteReference"/>
          <w:rtl/>
        </w:rPr>
        <w:footnoteReference w:id="10"/>
      </w:r>
    </w:p>
    <w:p w:rsidR="009F214D" w:rsidRDefault="00C30F0D" w:rsidP="00D67469">
      <w:pPr>
        <w:jc w:val="both"/>
        <w:rPr>
          <w:rtl/>
        </w:rPr>
      </w:pPr>
      <w:r>
        <w:rPr>
          <w:rFonts w:hint="cs"/>
          <w:rtl/>
        </w:rPr>
        <w:t>در وثاقت محمد بن بندار بحثی نیست</w:t>
      </w:r>
      <w:r w:rsidR="00787558">
        <w:rPr>
          <w:rFonts w:hint="cs"/>
          <w:rtl/>
        </w:rPr>
        <w:t>.</w:t>
      </w:r>
    </w:p>
    <w:p w:rsidR="009F214D" w:rsidRDefault="00C30F0D" w:rsidP="00D67469">
      <w:pPr>
        <w:jc w:val="both"/>
        <w:rPr>
          <w:rtl/>
        </w:rPr>
      </w:pPr>
      <w:r>
        <w:rPr>
          <w:rFonts w:hint="cs"/>
          <w:rtl/>
        </w:rPr>
        <w:t xml:space="preserve">محمد </w:t>
      </w:r>
      <w:r w:rsidR="003D0A2C">
        <w:rPr>
          <w:rFonts w:hint="cs"/>
          <w:rtl/>
        </w:rPr>
        <w:t>بن علی الصیرفی توثیق ندارد و قابل تصحیح نیست.</w:t>
      </w:r>
    </w:p>
    <w:p w:rsidR="009F214D" w:rsidRDefault="003D0A2C" w:rsidP="003D0A2C">
      <w:pPr>
        <w:jc w:val="both"/>
        <w:rPr>
          <w:rtl/>
        </w:rPr>
      </w:pPr>
      <w:r>
        <w:rPr>
          <w:rFonts w:hint="cs"/>
          <w:rtl/>
        </w:rPr>
        <w:t>حال باید ببینیم روایت طبق قاعده است که تعلیل روایت هارون بن حمزه ( فانها قد یئست من المحیض)</w:t>
      </w:r>
      <w:r w:rsidRPr="003D0A2C">
        <w:rPr>
          <w:rFonts w:hint="cs"/>
          <w:rtl/>
        </w:rPr>
        <w:t xml:space="preserve"> </w:t>
      </w:r>
      <w:r w:rsidR="00787558">
        <w:rPr>
          <w:rFonts w:hint="cs"/>
          <w:rtl/>
        </w:rPr>
        <w:t xml:space="preserve">را </w:t>
      </w:r>
      <w:r>
        <w:rPr>
          <w:rFonts w:hint="cs"/>
          <w:rtl/>
        </w:rPr>
        <w:t>تفسیر کند یا طبق قاعده نیست.</w:t>
      </w:r>
    </w:p>
    <w:p w:rsidR="00D67469" w:rsidRPr="006162A2" w:rsidRDefault="00D67469" w:rsidP="00D67469">
      <w:pPr>
        <w:jc w:val="both"/>
        <w:rPr>
          <w:rtl/>
        </w:rPr>
      </w:pPr>
    </w:p>
    <w:sectPr w:rsidR="00D67469"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3C1" w:rsidRDefault="004153C1" w:rsidP="008B750B">
      <w:pPr>
        <w:spacing w:line="240" w:lineRule="auto"/>
      </w:pPr>
      <w:r>
        <w:separator/>
      </w:r>
    </w:p>
  </w:endnote>
  <w:endnote w:type="continuationSeparator" w:id="0">
    <w:p w:rsidR="004153C1" w:rsidRDefault="004153C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E15B3" w:rsidRPr="00CE15B3">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DB270A" w:rsidP="001B6799">
          <w:pPr>
            <w:pStyle w:val="Footer"/>
            <w:bidi w:val="0"/>
            <w:rPr>
              <w:color w:val="808080" w:themeColor="background1" w:themeShade="80"/>
              <w:rtl/>
            </w:rPr>
          </w:pPr>
          <w:bookmarkStart w:id="30" w:name="BokAdres"/>
          <w:bookmarkEnd w:id="30"/>
          <w:r>
            <w:rPr>
              <w:color w:val="808080" w:themeColor="background1" w:themeShade="80"/>
            </w:rPr>
            <w:t>F1js1_13980818-018_mk3_mfeb.ir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3C1" w:rsidRDefault="004153C1" w:rsidP="008B750B">
      <w:pPr>
        <w:spacing w:line="240" w:lineRule="auto"/>
      </w:pPr>
      <w:r>
        <w:separator/>
      </w:r>
    </w:p>
  </w:footnote>
  <w:footnote w:type="continuationSeparator" w:id="0">
    <w:p w:rsidR="004153C1" w:rsidRDefault="004153C1" w:rsidP="008B750B">
      <w:pPr>
        <w:spacing w:line="240" w:lineRule="auto"/>
      </w:pPr>
      <w:r>
        <w:continuationSeparator/>
      </w:r>
    </w:p>
  </w:footnote>
  <w:footnote w:id="1">
    <w:p w:rsidR="00A920F9" w:rsidRPr="00F57808" w:rsidRDefault="00A920F9" w:rsidP="00A920F9">
      <w:pPr>
        <w:pStyle w:val="FootnoteText"/>
      </w:pPr>
      <w:r w:rsidRPr="00F57808">
        <w:footnoteRef/>
      </w:r>
      <w:r w:rsidRPr="00F57808">
        <w:rPr>
          <w:rtl/>
        </w:rPr>
        <w:t xml:space="preserve"> </w:t>
      </w:r>
      <w:hyperlink r:id="rId1" w:history="1">
        <w:r w:rsidRPr="00F57808">
          <w:rPr>
            <w:rStyle w:val="Hyperlink"/>
            <w:rFonts w:hint="cs"/>
            <w:rtl/>
          </w:rPr>
          <w:t>تکملة</w:t>
        </w:r>
        <w:r w:rsidRPr="00F57808">
          <w:rPr>
            <w:rStyle w:val="Hyperlink"/>
            <w:rtl/>
          </w:rPr>
          <w:t xml:space="preserve"> </w:t>
        </w:r>
        <w:r w:rsidRPr="00F57808">
          <w:rPr>
            <w:rStyle w:val="Hyperlink"/>
            <w:rFonts w:hint="cs"/>
            <w:rtl/>
          </w:rPr>
          <w:t>العروة</w:t>
        </w:r>
        <w:r w:rsidRPr="00F57808">
          <w:rPr>
            <w:rStyle w:val="Hyperlink"/>
            <w:rtl/>
          </w:rPr>
          <w:t xml:space="preserve"> </w:t>
        </w:r>
        <w:r w:rsidRPr="00F57808">
          <w:rPr>
            <w:rStyle w:val="Hyperlink"/>
            <w:rFonts w:hint="cs"/>
            <w:rtl/>
          </w:rPr>
          <w:t>الوثقی،</w:t>
        </w:r>
        <w:r w:rsidRPr="00F57808">
          <w:rPr>
            <w:rStyle w:val="Hyperlink"/>
            <w:rtl/>
          </w:rPr>
          <w:t xml:space="preserve"> </w:t>
        </w:r>
        <w:r w:rsidRPr="00F57808">
          <w:rPr>
            <w:rStyle w:val="Hyperlink"/>
            <w:rFonts w:hint="cs"/>
            <w:rtl/>
          </w:rPr>
          <w:t>السید</w:t>
        </w:r>
        <w:r w:rsidRPr="00F57808">
          <w:rPr>
            <w:rStyle w:val="Hyperlink"/>
            <w:rtl/>
          </w:rPr>
          <w:t xml:space="preserve"> </w:t>
        </w:r>
        <w:r w:rsidRPr="00F57808">
          <w:rPr>
            <w:rStyle w:val="Hyperlink"/>
            <w:rFonts w:hint="cs"/>
            <w:rtl/>
          </w:rPr>
          <w:t>محمد</w:t>
        </w:r>
        <w:r w:rsidRPr="00F57808">
          <w:rPr>
            <w:rStyle w:val="Hyperlink"/>
            <w:rtl/>
          </w:rPr>
          <w:t xml:space="preserve"> </w:t>
        </w:r>
        <w:r w:rsidRPr="00F57808">
          <w:rPr>
            <w:rStyle w:val="Hyperlink"/>
            <w:rFonts w:hint="cs"/>
            <w:rtl/>
          </w:rPr>
          <w:t>کاظم</w:t>
        </w:r>
        <w:r w:rsidRPr="00F57808">
          <w:rPr>
            <w:rStyle w:val="Hyperlink"/>
            <w:rtl/>
          </w:rPr>
          <w:t xml:space="preserve"> </w:t>
        </w:r>
        <w:r w:rsidRPr="00F57808">
          <w:rPr>
            <w:rStyle w:val="Hyperlink"/>
            <w:rFonts w:hint="cs"/>
            <w:rtl/>
          </w:rPr>
          <w:t>الطباطبائی</w:t>
        </w:r>
        <w:r w:rsidRPr="00F57808">
          <w:rPr>
            <w:rStyle w:val="Hyperlink"/>
            <w:rtl/>
          </w:rPr>
          <w:t xml:space="preserve"> </w:t>
        </w:r>
        <w:r w:rsidRPr="00F57808">
          <w:rPr>
            <w:rStyle w:val="Hyperlink"/>
            <w:rFonts w:hint="cs"/>
            <w:rtl/>
          </w:rPr>
          <w:t>الیزدی،</w:t>
        </w:r>
        <w:r w:rsidRPr="00F57808">
          <w:rPr>
            <w:rStyle w:val="Hyperlink"/>
            <w:rtl/>
          </w:rPr>
          <w:t xml:space="preserve"> </w:t>
        </w:r>
        <w:r w:rsidRPr="00F57808">
          <w:rPr>
            <w:rStyle w:val="Hyperlink"/>
            <w:rFonts w:hint="cs"/>
            <w:rtl/>
          </w:rPr>
          <w:t>ج</w:t>
        </w:r>
        <w:r w:rsidRPr="00F57808">
          <w:rPr>
            <w:rStyle w:val="Hyperlink"/>
            <w:rtl/>
          </w:rPr>
          <w:t>1</w:t>
        </w:r>
        <w:r w:rsidRPr="00F57808">
          <w:rPr>
            <w:rStyle w:val="Hyperlink"/>
            <w:rFonts w:hint="cs"/>
            <w:rtl/>
          </w:rPr>
          <w:t>،</w:t>
        </w:r>
        <w:r w:rsidRPr="00F57808">
          <w:rPr>
            <w:rStyle w:val="Hyperlink"/>
            <w:rtl/>
          </w:rPr>
          <w:t xml:space="preserve"> </w:t>
        </w:r>
        <w:r w:rsidRPr="00F57808">
          <w:rPr>
            <w:rStyle w:val="Hyperlink"/>
            <w:rFonts w:hint="cs"/>
            <w:rtl/>
          </w:rPr>
          <w:t>ص</w:t>
        </w:r>
        <w:r w:rsidRPr="00F57808">
          <w:rPr>
            <w:rStyle w:val="Hyperlink"/>
            <w:rtl/>
          </w:rPr>
          <w:t>55</w:t>
        </w:r>
        <w:r w:rsidRPr="00F57808">
          <w:rPr>
            <w:rStyle w:val="Hyperlink"/>
          </w:rPr>
          <w:t>.</w:t>
        </w:r>
      </w:hyperlink>
    </w:p>
  </w:footnote>
  <w:footnote w:id="2">
    <w:p w:rsidR="00AE0AC6" w:rsidRPr="00AE0AC6" w:rsidRDefault="00AE0AC6" w:rsidP="00AE0AC6">
      <w:pPr>
        <w:pStyle w:val="FootnoteText"/>
      </w:pPr>
      <w:r w:rsidRPr="00AE0AC6">
        <w:footnoteRef/>
      </w:r>
      <w:r w:rsidRPr="00AE0AC6">
        <w:rPr>
          <w:rtl/>
        </w:rPr>
        <w:t xml:space="preserve"> </w:t>
      </w:r>
      <w:hyperlink r:id="rId2" w:history="1">
        <w:r w:rsidRPr="00AE0AC6">
          <w:rPr>
            <w:rStyle w:val="Hyperlink"/>
            <w:rFonts w:hint="cs"/>
            <w:rtl/>
          </w:rPr>
          <w:t>تهذیب</w:t>
        </w:r>
        <w:r w:rsidRPr="00AE0AC6">
          <w:rPr>
            <w:rStyle w:val="Hyperlink"/>
            <w:rtl/>
          </w:rPr>
          <w:t xml:space="preserve"> </w:t>
        </w:r>
        <w:r w:rsidRPr="00AE0AC6">
          <w:rPr>
            <w:rStyle w:val="Hyperlink"/>
            <w:rFonts w:hint="cs"/>
            <w:rtl/>
          </w:rPr>
          <w:t>الاحکام،</w:t>
        </w:r>
        <w:r w:rsidRPr="00AE0AC6">
          <w:rPr>
            <w:rStyle w:val="Hyperlink"/>
            <w:rtl/>
          </w:rPr>
          <w:t xml:space="preserve"> </w:t>
        </w:r>
        <w:r w:rsidRPr="00AE0AC6">
          <w:rPr>
            <w:rStyle w:val="Hyperlink"/>
            <w:rFonts w:hint="cs"/>
            <w:rtl/>
          </w:rPr>
          <w:t>شیخ</w:t>
        </w:r>
        <w:r w:rsidRPr="00AE0AC6">
          <w:rPr>
            <w:rStyle w:val="Hyperlink"/>
            <w:rtl/>
          </w:rPr>
          <w:t xml:space="preserve"> </w:t>
        </w:r>
        <w:r w:rsidRPr="00AE0AC6">
          <w:rPr>
            <w:rStyle w:val="Hyperlink"/>
            <w:rFonts w:hint="cs"/>
            <w:rtl/>
          </w:rPr>
          <w:t>طوسی،</w:t>
        </w:r>
        <w:r w:rsidRPr="00AE0AC6">
          <w:rPr>
            <w:rStyle w:val="Hyperlink"/>
            <w:rtl/>
          </w:rPr>
          <w:t xml:space="preserve"> </w:t>
        </w:r>
        <w:r w:rsidRPr="00AE0AC6">
          <w:rPr>
            <w:rStyle w:val="Hyperlink"/>
            <w:rFonts w:hint="cs"/>
            <w:rtl/>
          </w:rPr>
          <w:t>ج</w:t>
        </w:r>
        <w:r w:rsidRPr="00AE0AC6">
          <w:rPr>
            <w:rStyle w:val="Hyperlink"/>
            <w:rtl/>
          </w:rPr>
          <w:t>8</w:t>
        </w:r>
        <w:r w:rsidRPr="00AE0AC6">
          <w:rPr>
            <w:rStyle w:val="Hyperlink"/>
            <w:rFonts w:hint="cs"/>
            <w:rtl/>
          </w:rPr>
          <w:t>،</w:t>
        </w:r>
        <w:r w:rsidRPr="00AE0AC6">
          <w:rPr>
            <w:rStyle w:val="Hyperlink"/>
            <w:rtl/>
          </w:rPr>
          <w:t xml:space="preserve"> </w:t>
        </w:r>
        <w:r w:rsidRPr="00AE0AC6">
          <w:rPr>
            <w:rStyle w:val="Hyperlink"/>
            <w:rFonts w:hint="cs"/>
            <w:rtl/>
          </w:rPr>
          <w:t>ص</w:t>
        </w:r>
        <w:r w:rsidRPr="00AE0AC6">
          <w:rPr>
            <w:rStyle w:val="Hyperlink"/>
            <w:rtl/>
          </w:rPr>
          <w:t>121.</w:t>
        </w:r>
      </w:hyperlink>
    </w:p>
  </w:footnote>
  <w:footnote w:id="3">
    <w:p w:rsidR="0098741A" w:rsidRPr="0098741A" w:rsidRDefault="0098741A" w:rsidP="0098741A">
      <w:pPr>
        <w:pStyle w:val="FootnoteText"/>
      </w:pPr>
      <w:r w:rsidRPr="0098741A">
        <w:footnoteRef/>
      </w:r>
      <w:r w:rsidRPr="0098741A">
        <w:rPr>
          <w:rtl/>
        </w:rPr>
        <w:t xml:space="preserve"> </w:t>
      </w:r>
      <w:hyperlink r:id="rId3" w:history="1">
        <w:r w:rsidRPr="0098741A">
          <w:rPr>
            <w:rStyle w:val="Hyperlink"/>
            <w:rFonts w:hint="cs"/>
            <w:rtl/>
          </w:rPr>
          <w:t>استبصار،</w:t>
        </w:r>
        <w:r w:rsidRPr="0098741A">
          <w:rPr>
            <w:rStyle w:val="Hyperlink"/>
            <w:rtl/>
          </w:rPr>
          <w:t xml:space="preserve"> </w:t>
        </w:r>
        <w:r w:rsidRPr="0098741A">
          <w:rPr>
            <w:rStyle w:val="Hyperlink"/>
            <w:rFonts w:hint="cs"/>
            <w:rtl/>
          </w:rPr>
          <w:t>شیخ</w:t>
        </w:r>
        <w:r w:rsidRPr="0098741A">
          <w:rPr>
            <w:rStyle w:val="Hyperlink"/>
            <w:rtl/>
          </w:rPr>
          <w:t xml:space="preserve"> </w:t>
        </w:r>
        <w:r w:rsidRPr="0098741A">
          <w:rPr>
            <w:rStyle w:val="Hyperlink"/>
            <w:rFonts w:hint="cs"/>
            <w:rtl/>
          </w:rPr>
          <w:t>طوسی،</w:t>
        </w:r>
        <w:r w:rsidRPr="0098741A">
          <w:rPr>
            <w:rStyle w:val="Hyperlink"/>
            <w:rtl/>
          </w:rPr>
          <w:t xml:space="preserve"> </w:t>
        </w:r>
        <w:r w:rsidRPr="0098741A">
          <w:rPr>
            <w:rStyle w:val="Hyperlink"/>
            <w:rFonts w:hint="cs"/>
            <w:rtl/>
          </w:rPr>
          <w:t>ج</w:t>
        </w:r>
        <w:r w:rsidRPr="0098741A">
          <w:rPr>
            <w:rStyle w:val="Hyperlink"/>
            <w:rtl/>
          </w:rPr>
          <w:t>3</w:t>
        </w:r>
        <w:r w:rsidRPr="0098741A">
          <w:rPr>
            <w:rStyle w:val="Hyperlink"/>
            <w:rFonts w:hint="cs"/>
            <w:rtl/>
          </w:rPr>
          <w:t>،</w:t>
        </w:r>
        <w:r w:rsidRPr="0098741A">
          <w:rPr>
            <w:rStyle w:val="Hyperlink"/>
            <w:rtl/>
          </w:rPr>
          <w:t xml:space="preserve"> </w:t>
        </w:r>
        <w:r w:rsidRPr="0098741A">
          <w:rPr>
            <w:rStyle w:val="Hyperlink"/>
            <w:rFonts w:hint="cs"/>
            <w:rtl/>
          </w:rPr>
          <w:t>ص</w:t>
        </w:r>
        <w:r w:rsidRPr="0098741A">
          <w:rPr>
            <w:rStyle w:val="Hyperlink"/>
            <w:rtl/>
          </w:rPr>
          <w:t>325.</w:t>
        </w:r>
      </w:hyperlink>
    </w:p>
  </w:footnote>
  <w:footnote w:id="4">
    <w:p w:rsidR="009E30FD" w:rsidRPr="00AE0AC6" w:rsidRDefault="009E30FD" w:rsidP="009E30FD">
      <w:pPr>
        <w:pStyle w:val="FootnoteText"/>
      </w:pPr>
      <w:r w:rsidRPr="00AE0AC6">
        <w:footnoteRef/>
      </w:r>
      <w:r w:rsidRPr="00AE0AC6">
        <w:rPr>
          <w:rtl/>
        </w:rPr>
        <w:t xml:space="preserve"> </w:t>
      </w:r>
      <w:hyperlink r:id="rId4" w:history="1">
        <w:r w:rsidRPr="00AE0AC6">
          <w:rPr>
            <w:rStyle w:val="Hyperlink"/>
            <w:rFonts w:hint="cs"/>
            <w:rtl/>
          </w:rPr>
          <w:t>تهذیب</w:t>
        </w:r>
        <w:r w:rsidRPr="00AE0AC6">
          <w:rPr>
            <w:rStyle w:val="Hyperlink"/>
            <w:rtl/>
          </w:rPr>
          <w:t xml:space="preserve"> </w:t>
        </w:r>
        <w:r w:rsidRPr="00AE0AC6">
          <w:rPr>
            <w:rStyle w:val="Hyperlink"/>
            <w:rFonts w:hint="cs"/>
            <w:rtl/>
          </w:rPr>
          <w:t>الاحکام،</w:t>
        </w:r>
        <w:r w:rsidRPr="00AE0AC6">
          <w:rPr>
            <w:rStyle w:val="Hyperlink"/>
            <w:rtl/>
          </w:rPr>
          <w:t xml:space="preserve"> </w:t>
        </w:r>
        <w:r w:rsidRPr="00AE0AC6">
          <w:rPr>
            <w:rStyle w:val="Hyperlink"/>
            <w:rFonts w:hint="cs"/>
            <w:rtl/>
          </w:rPr>
          <w:t>شیخ</w:t>
        </w:r>
        <w:r w:rsidRPr="00AE0AC6">
          <w:rPr>
            <w:rStyle w:val="Hyperlink"/>
            <w:rtl/>
          </w:rPr>
          <w:t xml:space="preserve"> </w:t>
        </w:r>
        <w:r w:rsidRPr="00AE0AC6">
          <w:rPr>
            <w:rStyle w:val="Hyperlink"/>
            <w:rFonts w:hint="cs"/>
            <w:rtl/>
          </w:rPr>
          <w:t>طوسی،</w:t>
        </w:r>
        <w:r w:rsidRPr="00AE0AC6">
          <w:rPr>
            <w:rStyle w:val="Hyperlink"/>
            <w:rtl/>
          </w:rPr>
          <w:t xml:space="preserve"> </w:t>
        </w:r>
        <w:r w:rsidRPr="00AE0AC6">
          <w:rPr>
            <w:rStyle w:val="Hyperlink"/>
            <w:rFonts w:hint="cs"/>
            <w:rtl/>
          </w:rPr>
          <w:t>ج</w:t>
        </w:r>
        <w:r w:rsidRPr="00AE0AC6">
          <w:rPr>
            <w:rStyle w:val="Hyperlink"/>
            <w:rtl/>
          </w:rPr>
          <w:t>8</w:t>
        </w:r>
        <w:r w:rsidRPr="00AE0AC6">
          <w:rPr>
            <w:rStyle w:val="Hyperlink"/>
            <w:rFonts w:hint="cs"/>
            <w:rtl/>
          </w:rPr>
          <w:t>،</w:t>
        </w:r>
        <w:r w:rsidRPr="00AE0AC6">
          <w:rPr>
            <w:rStyle w:val="Hyperlink"/>
            <w:rtl/>
          </w:rPr>
          <w:t xml:space="preserve"> </w:t>
        </w:r>
        <w:r w:rsidRPr="00AE0AC6">
          <w:rPr>
            <w:rStyle w:val="Hyperlink"/>
            <w:rFonts w:hint="cs"/>
            <w:rtl/>
          </w:rPr>
          <w:t>ص</w:t>
        </w:r>
        <w:r w:rsidRPr="00AE0AC6">
          <w:rPr>
            <w:rStyle w:val="Hyperlink"/>
            <w:rtl/>
          </w:rPr>
          <w:t>121.</w:t>
        </w:r>
      </w:hyperlink>
    </w:p>
  </w:footnote>
  <w:footnote w:id="5">
    <w:p w:rsidR="008548A7" w:rsidRPr="00F57808" w:rsidRDefault="008548A7" w:rsidP="008548A7">
      <w:pPr>
        <w:pStyle w:val="FootnoteText"/>
      </w:pPr>
      <w:r w:rsidRPr="00F57808">
        <w:footnoteRef/>
      </w:r>
      <w:r w:rsidRPr="00F57808">
        <w:rPr>
          <w:rtl/>
        </w:rPr>
        <w:t xml:space="preserve"> </w:t>
      </w:r>
      <w:hyperlink r:id="rId5" w:history="1">
        <w:r w:rsidRPr="00F57808">
          <w:rPr>
            <w:rStyle w:val="Hyperlink"/>
            <w:rFonts w:hint="cs"/>
            <w:rtl/>
          </w:rPr>
          <w:t>تکملة</w:t>
        </w:r>
        <w:r w:rsidRPr="00F57808">
          <w:rPr>
            <w:rStyle w:val="Hyperlink"/>
            <w:rtl/>
          </w:rPr>
          <w:t xml:space="preserve"> </w:t>
        </w:r>
        <w:r w:rsidRPr="00F57808">
          <w:rPr>
            <w:rStyle w:val="Hyperlink"/>
            <w:rFonts w:hint="cs"/>
            <w:rtl/>
          </w:rPr>
          <w:t>العروة</w:t>
        </w:r>
        <w:r w:rsidRPr="00F57808">
          <w:rPr>
            <w:rStyle w:val="Hyperlink"/>
            <w:rtl/>
          </w:rPr>
          <w:t xml:space="preserve"> </w:t>
        </w:r>
        <w:r w:rsidRPr="00F57808">
          <w:rPr>
            <w:rStyle w:val="Hyperlink"/>
            <w:rFonts w:hint="cs"/>
            <w:rtl/>
          </w:rPr>
          <w:t>الوثقی،</w:t>
        </w:r>
        <w:r w:rsidRPr="00F57808">
          <w:rPr>
            <w:rStyle w:val="Hyperlink"/>
            <w:rtl/>
          </w:rPr>
          <w:t xml:space="preserve"> </w:t>
        </w:r>
        <w:r w:rsidRPr="00F57808">
          <w:rPr>
            <w:rStyle w:val="Hyperlink"/>
            <w:rFonts w:hint="cs"/>
            <w:rtl/>
          </w:rPr>
          <w:t>السید</w:t>
        </w:r>
        <w:r w:rsidRPr="00F57808">
          <w:rPr>
            <w:rStyle w:val="Hyperlink"/>
            <w:rtl/>
          </w:rPr>
          <w:t xml:space="preserve"> </w:t>
        </w:r>
        <w:r w:rsidRPr="00F57808">
          <w:rPr>
            <w:rStyle w:val="Hyperlink"/>
            <w:rFonts w:hint="cs"/>
            <w:rtl/>
          </w:rPr>
          <w:t>محمد</w:t>
        </w:r>
        <w:r w:rsidRPr="00F57808">
          <w:rPr>
            <w:rStyle w:val="Hyperlink"/>
            <w:rtl/>
          </w:rPr>
          <w:t xml:space="preserve"> </w:t>
        </w:r>
        <w:r w:rsidRPr="00F57808">
          <w:rPr>
            <w:rStyle w:val="Hyperlink"/>
            <w:rFonts w:hint="cs"/>
            <w:rtl/>
          </w:rPr>
          <w:t>کاظم</w:t>
        </w:r>
        <w:r w:rsidRPr="00F57808">
          <w:rPr>
            <w:rStyle w:val="Hyperlink"/>
            <w:rtl/>
          </w:rPr>
          <w:t xml:space="preserve"> </w:t>
        </w:r>
        <w:r w:rsidRPr="00F57808">
          <w:rPr>
            <w:rStyle w:val="Hyperlink"/>
            <w:rFonts w:hint="cs"/>
            <w:rtl/>
          </w:rPr>
          <w:t>الطباطبائی</w:t>
        </w:r>
        <w:r w:rsidRPr="00F57808">
          <w:rPr>
            <w:rStyle w:val="Hyperlink"/>
            <w:rtl/>
          </w:rPr>
          <w:t xml:space="preserve"> </w:t>
        </w:r>
        <w:r w:rsidRPr="00F57808">
          <w:rPr>
            <w:rStyle w:val="Hyperlink"/>
            <w:rFonts w:hint="cs"/>
            <w:rtl/>
          </w:rPr>
          <w:t>الیزدی،</w:t>
        </w:r>
        <w:r w:rsidRPr="00F57808">
          <w:rPr>
            <w:rStyle w:val="Hyperlink"/>
            <w:rtl/>
          </w:rPr>
          <w:t xml:space="preserve"> </w:t>
        </w:r>
        <w:r w:rsidRPr="00F57808">
          <w:rPr>
            <w:rStyle w:val="Hyperlink"/>
            <w:rFonts w:hint="cs"/>
            <w:rtl/>
          </w:rPr>
          <w:t>ج</w:t>
        </w:r>
        <w:r w:rsidRPr="00F57808">
          <w:rPr>
            <w:rStyle w:val="Hyperlink"/>
            <w:rtl/>
          </w:rPr>
          <w:t>1</w:t>
        </w:r>
        <w:r w:rsidRPr="00F57808">
          <w:rPr>
            <w:rStyle w:val="Hyperlink"/>
            <w:rFonts w:hint="cs"/>
            <w:rtl/>
          </w:rPr>
          <w:t>،</w:t>
        </w:r>
        <w:r w:rsidRPr="00F57808">
          <w:rPr>
            <w:rStyle w:val="Hyperlink"/>
            <w:rtl/>
          </w:rPr>
          <w:t xml:space="preserve"> </w:t>
        </w:r>
        <w:r w:rsidRPr="00F57808">
          <w:rPr>
            <w:rStyle w:val="Hyperlink"/>
            <w:rFonts w:hint="cs"/>
            <w:rtl/>
          </w:rPr>
          <w:t>ص</w:t>
        </w:r>
        <w:r w:rsidRPr="00F57808">
          <w:rPr>
            <w:rStyle w:val="Hyperlink"/>
            <w:rtl/>
          </w:rPr>
          <w:t>55</w:t>
        </w:r>
        <w:r w:rsidRPr="00F57808">
          <w:rPr>
            <w:rStyle w:val="Hyperlink"/>
          </w:rPr>
          <w:t>.</w:t>
        </w:r>
      </w:hyperlink>
    </w:p>
  </w:footnote>
  <w:footnote w:id="6">
    <w:p w:rsidR="00AF4F1E" w:rsidRDefault="00AF4F1E" w:rsidP="00024C7C">
      <w:pPr>
        <w:pStyle w:val="FootnoteText"/>
      </w:pPr>
      <w:r w:rsidRPr="007F365B">
        <w:rPr>
          <w:rStyle w:val="FootnoteReference"/>
          <w:vertAlign w:val="baseline"/>
        </w:rPr>
        <w:footnoteRef/>
      </w:r>
      <w:r w:rsidRPr="007F365B">
        <w:rPr>
          <w:rtl/>
        </w:rPr>
        <w:t xml:space="preserve"> </w:t>
      </w:r>
      <w:r w:rsidRPr="00AF4F1E">
        <w:rPr>
          <w:rFonts w:hint="cs"/>
          <w:rtl/>
        </w:rPr>
        <w:t>مباني منهاج الصالحين، ج‌10، ص: 464‌</w:t>
      </w:r>
    </w:p>
  </w:footnote>
  <w:footnote w:id="7">
    <w:p w:rsidR="00024C7C" w:rsidRDefault="00024C7C" w:rsidP="003E6EC6">
      <w:pPr>
        <w:pStyle w:val="FootnoteText"/>
      </w:pPr>
      <w:r w:rsidRPr="00024C7C">
        <w:rPr>
          <w:rStyle w:val="FootnoteReference"/>
          <w:vertAlign w:val="baseline"/>
        </w:rPr>
        <w:footnoteRef/>
      </w:r>
      <w:r w:rsidRPr="00024C7C">
        <w:rPr>
          <w:rtl/>
        </w:rPr>
        <w:t xml:space="preserve"> </w:t>
      </w:r>
      <w:r w:rsidRPr="00024C7C">
        <w:rPr>
          <w:rFonts w:hint="cs"/>
          <w:rtl/>
        </w:rPr>
        <w:t xml:space="preserve">تفصيل </w:t>
      </w:r>
      <w:r w:rsidRPr="00024C7C">
        <w:rPr>
          <w:rFonts w:hint="cs"/>
          <w:rtl/>
        </w:rPr>
        <w:t>الشريعة في شرح تحرير الوسيلة - الطلاق، المواريث، ص: 121‌</w:t>
      </w:r>
    </w:p>
  </w:footnote>
  <w:footnote w:id="8">
    <w:p w:rsidR="00EB112C" w:rsidRDefault="00EB112C" w:rsidP="003E6EC6">
      <w:pPr>
        <w:pStyle w:val="FootnoteText"/>
      </w:pPr>
      <w:r w:rsidRPr="00EB112C">
        <w:rPr>
          <w:rStyle w:val="FootnoteReference"/>
          <w:vertAlign w:val="baseline"/>
        </w:rPr>
        <w:footnoteRef/>
      </w:r>
      <w:r>
        <w:rPr>
          <w:rtl/>
        </w:rPr>
        <w:t xml:space="preserve"> </w:t>
      </w:r>
      <w:r w:rsidRPr="00EB112C">
        <w:rPr>
          <w:rFonts w:hint="cs"/>
          <w:rtl/>
        </w:rPr>
        <w:t xml:space="preserve">نهاية </w:t>
      </w:r>
      <w:r w:rsidRPr="00EB112C">
        <w:rPr>
          <w:rFonts w:hint="cs"/>
          <w:rtl/>
        </w:rPr>
        <w:t>المرام في شرح مختصر شرائع الإسلام، ج‌2، ص: 94</w:t>
      </w:r>
    </w:p>
  </w:footnote>
  <w:footnote w:id="9">
    <w:p w:rsidR="002F3C53" w:rsidRPr="00EE5646" w:rsidRDefault="002F3C53" w:rsidP="002F3C53">
      <w:pPr>
        <w:pStyle w:val="FootnoteText"/>
      </w:pPr>
      <w:r w:rsidRPr="00EE5646">
        <w:footnoteRef/>
      </w:r>
      <w:r w:rsidRPr="00EE5646">
        <w:rPr>
          <w:rtl/>
        </w:rPr>
        <w:t xml:space="preserve"> </w:t>
      </w:r>
      <w:hyperlink r:id="rId6" w:history="1">
        <w:r w:rsidRPr="00EE5646">
          <w:rPr>
            <w:rStyle w:val="Hyperlink"/>
            <w:rFonts w:hint="cs"/>
            <w:rtl/>
          </w:rPr>
          <w:t>تهذیب</w:t>
        </w:r>
        <w:r w:rsidRPr="00EE5646">
          <w:rPr>
            <w:rStyle w:val="Hyperlink"/>
            <w:rtl/>
          </w:rPr>
          <w:t xml:space="preserve"> </w:t>
        </w:r>
        <w:r w:rsidRPr="00EE5646">
          <w:rPr>
            <w:rStyle w:val="Hyperlink"/>
            <w:rFonts w:hint="cs"/>
            <w:rtl/>
          </w:rPr>
          <w:t>الاحکام،</w:t>
        </w:r>
        <w:r w:rsidRPr="00EE5646">
          <w:rPr>
            <w:rStyle w:val="Hyperlink"/>
            <w:rtl/>
          </w:rPr>
          <w:t xml:space="preserve"> </w:t>
        </w:r>
        <w:r w:rsidRPr="00EE5646">
          <w:rPr>
            <w:rStyle w:val="Hyperlink"/>
            <w:rFonts w:hint="cs"/>
            <w:rtl/>
          </w:rPr>
          <w:t>شیخ</w:t>
        </w:r>
        <w:r w:rsidRPr="00EE5646">
          <w:rPr>
            <w:rStyle w:val="Hyperlink"/>
            <w:rtl/>
          </w:rPr>
          <w:t xml:space="preserve"> </w:t>
        </w:r>
        <w:r w:rsidRPr="00EE5646">
          <w:rPr>
            <w:rStyle w:val="Hyperlink"/>
            <w:rFonts w:hint="cs"/>
            <w:rtl/>
          </w:rPr>
          <w:t>طوسی،</w:t>
        </w:r>
        <w:r w:rsidRPr="00EE5646">
          <w:rPr>
            <w:rStyle w:val="Hyperlink"/>
            <w:rtl/>
          </w:rPr>
          <w:t xml:space="preserve"> </w:t>
        </w:r>
        <w:r w:rsidRPr="00EE5646">
          <w:rPr>
            <w:rStyle w:val="Hyperlink"/>
            <w:rFonts w:hint="cs"/>
            <w:rtl/>
          </w:rPr>
          <w:t>ج</w:t>
        </w:r>
        <w:r w:rsidRPr="00EE5646">
          <w:rPr>
            <w:rStyle w:val="Hyperlink"/>
            <w:rtl/>
          </w:rPr>
          <w:t>8</w:t>
        </w:r>
        <w:r w:rsidRPr="00EE5646">
          <w:rPr>
            <w:rStyle w:val="Hyperlink"/>
            <w:rFonts w:hint="cs"/>
            <w:rtl/>
          </w:rPr>
          <w:t>،</w:t>
        </w:r>
        <w:r w:rsidRPr="00EE5646">
          <w:rPr>
            <w:rStyle w:val="Hyperlink"/>
            <w:rtl/>
          </w:rPr>
          <w:t xml:space="preserve"> </w:t>
        </w:r>
        <w:r w:rsidRPr="00EE5646">
          <w:rPr>
            <w:rStyle w:val="Hyperlink"/>
            <w:rFonts w:hint="cs"/>
            <w:rtl/>
          </w:rPr>
          <w:t>ص</w:t>
        </w:r>
        <w:r w:rsidRPr="00EE5646">
          <w:rPr>
            <w:rStyle w:val="Hyperlink"/>
            <w:rtl/>
          </w:rPr>
          <w:t>139.</w:t>
        </w:r>
      </w:hyperlink>
    </w:p>
  </w:footnote>
  <w:footnote w:id="10">
    <w:p w:rsidR="00D425EF" w:rsidRPr="00D425EF" w:rsidRDefault="00D425EF" w:rsidP="00D425EF">
      <w:pPr>
        <w:pStyle w:val="FootnoteText"/>
        <w:rPr>
          <w:b/>
          <w:bCs/>
          <w:rtl/>
        </w:rPr>
      </w:pPr>
      <w:r>
        <w:rPr>
          <w:rStyle w:val="FootnoteReference"/>
        </w:rPr>
        <w:footnoteRef/>
      </w:r>
      <w:r>
        <w:rPr>
          <w:rtl/>
        </w:rPr>
        <w:t xml:space="preserve"> </w:t>
      </w:r>
      <w:r w:rsidRPr="00D425EF">
        <w:rPr>
          <w:b/>
          <w:bCs/>
          <w:rtl/>
        </w:rPr>
        <w:t>لَو أُنزِلَ الوَحيُ عَلَى نِفطَوَيه</w:t>
      </w:r>
    </w:p>
    <w:p w:rsidR="00D425EF" w:rsidRPr="00D425EF" w:rsidRDefault="00D425EF" w:rsidP="00D425EF">
      <w:pPr>
        <w:pStyle w:val="FootnoteText"/>
        <w:rPr>
          <w:b/>
          <w:bCs/>
          <w:rtl/>
        </w:rPr>
      </w:pPr>
      <w:r w:rsidRPr="00D425EF">
        <w:rPr>
          <w:b/>
          <w:bCs/>
          <w:rtl/>
        </w:rPr>
        <w:t>لَكَانَ ذَاكَ الوَحيُ سُخطًا عَلَيه</w:t>
      </w:r>
    </w:p>
    <w:p w:rsidR="00D425EF" w:rsidRPr="00D425EF" w:rsidRDefault="00D425EF" w:rsidP="00D425EF">
      <w:pPr>
        <w:pStyle w:val="FootnoteText"/>
        <w:rPr>
          <w:b/>
          <w:bCs/>
          <w:rtl/>
        </w:rPr>
      </w:pPr>
      <w:r w:rsidRPr="00D425EF">
        <w:rPr>
          <w:b/>
          <w:bCs/>
          <w:rtl/>
        </w:rPr>
        <w:t>وَشَاعِرٌ يُدعَى بنِصفِ اسمِه</w:t>
      </w:r>
    </w:p>
    <w:p w:rsidR="00D425EF" w:rsidRPr="00D425EF" w:rsidRDefault="00D425EF" w:rsidP="00D425EF">
      <w:pPr>
        <w:pStyle w:val="FootnoteText"/>
        <w:rPr>
          <w:b/>
          <w:bCs/>
          <w:rtl/>
        </w:rPr>
      </w:pPr>
      <w:r w:rsidRPr="00D425EF">
        <w:rPr>
          <w:b/>
          <w:bCs/>
          <w:rtl/>
        </w:rPr>
        <w:t>مُستَأهِلٌ لِلصَّفعِ فِي أَخدَعَيه</w:t>
      </w:r>
    </w:p>
    <w:p w:rsidR="00D425EF" w:rsidRPr="00D425EF" w:rsidRDefault="00D425EF" w:rsidP="00D425EF">
      <w:pPr>
        <w:pStyle w:val="FootnoteText"/>
        <w:rPr>
          <w:b/>
          <w:bCs/>
          <w:rtl/>
        </w:rPr>
      </w:pPr>
      <w:r w:rsidRPr="00D425EF">
        <w:rPr>
          <w:b/>
          <w:bCs/>
          <w:rtl/>
        </w:rPr>
        <w:t>أَحرَقَهُ اللهُ بِنِصفِ اسمِه</w:t>
      </w:r>
    </w:p>
    <w:p w:rsidR="00D425EF" w:rsidRDefault="00D425EF" w:rsidP="00D425EF">
      <w:pPr>
        <w:pStyle w:val="FootnoteText"/>
      </w:pPr>
      <w:r w:rsidRPr="00D425EF">
        <w:rPr>
          <w:b/>
          <w:bCs/>
          <w:rtl/>
        </w:rPr>
        <w:t>وصَيَّر البَاقِي صُراخًا عليه</w:t>
      </w:r>
      <w:bookmarkStart w:id="22" w:name="_GoBack"/>
      <w:bookmarkEnd w:id="2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5B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3" w:name="BokNum"/>
    <w:bookmarkEnd w:id="23"/>
    <w:r w:rsidR="00DB270A">
      <w:rPr>
        <w:b/>
        <w:bCs/>
        <w:sz w:val="20"/>
        <w:szCs w:val="24"/>
        <w:rtl/>
      </w:rPr>
      <w:t>018</w:t>
    </w:r>
    <w:r w:rsidR="001A4ED8">
      <w:rPr>
        <w:rFonts w:hint="cs"/>
        <w:b/>
        <w:bCs/>
        <w:sz w:val="20"/>
        <w:szCs w:val="24"/>
        <w:rtl/>
      </w:rPr>
      <w:tab/>
    </w:r>
  </w:p>
  <w:p w:rsidR="00CE15B3"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4" w:name="Bokdars"/>
    <w:bookmarkEnd w:id="24"/>
    <w:r w:rsidR="00DB270A">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5" w:name="Bokostad"/>
    <w:bookmarkEnd w:id="25"/>
    <w:r w:rsidR="00DB270A">
      <w:rPr>
        <w:rFonts w:hint="cs"/>
        <w:b/>
        <w:bCs/>
        <w:color w:val="632423" w:themeColor="accent2" w:themeShade="80"/>
        <w:sz w:val="20"/>
        <w:szCs w:val="24"/>
        <w:rtl/>
      </w:rPr>
      <w:t>سید</w:t>
    </w:r>
    <w:r w:rsidR="00DB270A">
      <w:rPr>
        <w:b/>
        <w:bCs/>
        <w:color w:val="632423" w:themeColor="accent2" w:themeShade="80"/>
        <w:sz w:val="20"/>
        <w:szCs w:val="24"/>
        <w:rtl/>
      </w:rPr>
      <w:t xml:space="preserve"> </w:t>
    </w:r>
    <w:r w:rsidR="00DB270A">
      <w:rPr>
        <w:rFonts w:hint="cs"/>
        <w:b/>
        <w:bCs/>
        <w:color w:val="632423" w:themeColor="accent2" w:themeShade="80"/>
        <w:sz w:val="20"/>
        <w:szCs w:val="24"/>
        <w:rtl/>
      </w:rPr>
      <w:t>محمد</w:t>
    </w:r>
    <w:r w:rsidR="00DB270A">
      <w:rPr>
        <w:b/>
        <w:bCs/>
        <w:color w:val="632423" w:themeColor="accent2" w:themeShade="80"/>
        <w:sz w:val="20"/>
        <w:szCs w:val="24"/>
        <w:rtl/>
      </w:rPr>
      <w:t xml:space="preserve"> </w:t>
    </w:r>
    <w:r w:rsidR="00DB270A">
      <w:rPr>
        <w:rFonts w:hint="cs"/>
        <w:b/>
        <w:bCs/>
        <w:color w:val="632423" w:themeColor="accent2" w:themeShade="80"/>
        <w:sz w:val="20"/>
        <w:szCs w:val="24"/>
        <w:rtl/>
      </w:rPr>
      <w:t>جواد</w:t>
    </w:r>
    <w:r w:rsidR="00DB270A">
      <w:rPr>
        <w:b/>
        <w:bCs/>
        <w:color w:val="632423" w:themeColor="accent2" w:themeShade="80"/>
        <w:sz w:val="20"/>
        <w:szCs w:val="24"/>
        <w:rtl/>
      </w:rPr>
      <w:t xml:space="preserve"> </w:t>
    </w:r>
    <w:r w:rsidR="00DB270A">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CE15B3" w:rsidRDefault="00935A55" w:rsidP="00CE15B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26" w:name="BokTarikh"/>
    <w:bookmarkEnd w:id="26"/>
    <w:r w:rsidR="00DB270A">
      <w:rPr>
        <w:sz w:val="24"/>
        <w:szCs w:val="24"/>
        <w:rtl/>
      </w:rPr>
      <w:t>18 /8 /1398</w:t>
    </w:r>
  </w:p>
  <w:p w:rsidR="00CE15B3" w:rsidRDefault="00935A55" w:rsidP="00CE15B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7" w:name="BokSabj"/>
    <w:bookmarkEnd w:id="27"/>
    <w:r w:rsidR="00DB270A">
      <w:rPr>
        <w:rFonts w:hint="cs"/>
        <w:color w:val="000000" w:themeColor="text1"/>
        <w:sz w:val="24"/>
        <w:szCs w:val="24"/>
        <w:rtl/>
      </w:rPr>
      <w:t>اقوال</w:t>
    </w:r>
    <w:r w:rsidR="00DB270A">
      <w:rPr>
        <w:color w:val="000000" w:themeColor="text1"/>
        <w:sz w:val="24"/>
        <w:szCs w:val="24"/>
        <w:rtl/>
      </w:rPr>
      <w:t xml:space="preserve"> </w:t>
    </w:r>
    <w:r w:rsidR="00DB270A">
      <w:rPr>
        <w:rFonts w:hint="cs"/>
        <w:color w:val="000000" w:themeColor="text1"/>
        <w:sz w:val="24"/>
        <w:szCs w:val="24"/>
        <w:rtl/>
      </w:rPr>
      <w:t>فقها</w:t>
    </w:r>
    <w:r w:rsidR="00DB270A">
      <w:rPr>
        <w:color w:val="000000" w:themeColor="text1"/>
        <w:sz w:val="24"/>
        <w:szCs w:val="24"/>
        <w:rtl/>
      </w:rPr>
      <w:t xml:space="preserve"> </w:t>
    </w:r>
    <w:r w:rsidR="00DB270A">
      <w:rPr>
        <w:rFonts w:hint="cs"/>
        <w:color w:val="000000" w:themeColor="text1"/>
        <w:sz w:val="24"/>
        <w:szCs w:val="24"/>
        <w:rtl/>
      </w:rPr>
      <w:t>در</w:t>
    </w:r>
    <w:r w:rsidR="00DB270A">
      <w:rPr>
        <w:color w:val="000000" w:themeColor="text1"/>
        <w:sz w:val="24"/>
        <w:szCs w:val="24"/>
        <w:rtl/>
      </w:rPr>
      <w:t xml:space="preserve"> </w:t>
    </w:r>
    <w:r w:rsidR="00DB270A">
      <w:rPr>
        <w:rFonts w:hint="cs"/>
        <w:color w:val="000000" w:themeColor="text1"/>
        <w:sz w:val="24"/>
        <w:szCs w:val="24"/>
        <w:rtl/>
      </w:rPr>
      <w:t>عده</w:t>
    </w:r>
  </w:p>
  <w:p w:rsidR="00CE15B3" w:rsidRDefault="00935A55" w:rsidP="00CE15B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28" w:name="Bokmoqarer"/>
    <w:bookmarkEnd w:id="28"/>
    <w:r w:rsidR="008763E0">
      <w:rPr>
        <w:rFonts w:hint="cs"/>
        <w:sz w:val="24"/>
        <w:szCs w:val="24"/>
        <w:rtl/>
      </w:rPr>
      <w:t>مرکز فقهی امام محمد باقر علیه السلام</w:t>
    </w:r>
  </w:p>
  <w:p w:rsidR="00FA3B17" w:rsidRPr="00F16B53" w:rsidRDefault="00935A55" w:rsidP="00CE15B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29" w:name="BokSabj2"/>
    <w:bookmarkEnd w:id="29"/>
    <w:r w:rsidR="00DB270A">
      <w:rPr>
        <w:rFonts w:hint="cs"/>
        <w:sz w:val="24"/>
        <w:szCs w:val="24"/>
        <w:rtl/>
      </w:rPr>
      <w:t>متن</w:t>
    </w:r>
    <w:r w:rsidR="00DB270A">
      <w:rPr>
        <w:sz w:val="24"/>
        <w:szCs w:val="24"/>
        <w:rtl/>
      </w:rPr>
      <w:t xml:space="preserve"> </w:t>
    </w:r>
    <w:r w:rsidR="00DB270A">
      <w:rPr>
        <w:rFonts w:hint="cs"/>
        <w:sz w:val="24"/>
        <w:szCs w:val="24"/>
        <w:rtl/>
      </w:rPr>
      <w:t>تکمله</w:t>
    </w:r>
    <w:r w:rsidR="00DB270A">
      <w:rPr>
        <w:sz w:val="24"/>
        <w:szCs w:val="24"/>
        <w:rtl/>
      </w:rPr>
      <w:t xml:space="preserve"> </w:t>
    </w:r>
    <w:r w:rsidR="00DB270A">
      <w:rPr>
        <w:rFonts w:hint="cs"/>
        <w:sz w:val="24"/>
        <w:szCs w:val="24"/>
        <w:rtl/>
      </w:rPr>
      <w:t>ی</w:t>
    </w:r>
    <w:r w:rsidR="00DB270A">
      <w:rPr>
        <w:sz w:val="24"/>
        <w:szCs w:val="24"/>
        <w:rtl/>
      </w:rPr>
      <w:t xml:space="preserve"> </w:t>
    </w:r>
    <w:r w:rsidR="00B20A9B">
      <w:rPr>
        <w:rFonts w:hint="cs"/>
        <w:sz w:val="24"/>
        <w:szCs w:val="24"/>
        <w:rtl/>
      </w:rPr>
      <w:t>عروة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84E5F"/>
    <w:multiLevelType w:val="hybridMultilevel"/>
    <w:tmpl w:val="AE88076E"/>
    <w:lvl w:ilvl="0" w:tplc="71DC6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4C7C"/>
    <w:rsid w:val="00025777"/>
    <w:rsid w:val="00025B70"/>
    <w:rsid w:val="000353D7"/>
    <w:rsid w:val="00035444"/>
    <w:rsid w:val="00055496"/>
    <w:rsid w:val="00062F7D"/>
    <w:rsid w:val="0007569F"/>
    <w:rsid w:val="00080A41"/>
    <w:rsid w:val="0008299B"/>
    <w:rsid w:val="00090DA6"/>
    <w:rsid w:val="000913AA"/>
    <w:rsid w:val="00094847"/>
    <w:rsid w:val="00096C63"/>
    <w:rsid w:val="000B5DB5"/>
    <w:rsid w:val="000C3947"/>
    <w:rsid w:val="000D2A37"/>
    <w:rsid w:val="000D30E9"/>
    <w:rsid w:val="000D346D"/>
    <w:rsid w:val="000D3DB9"/>
    <w:rsid w:val="000D6818"/>
    <w:rsid w:val="000E335E"/>
    <w:rsid w:val="000F16CF"/>
    <w:rsid w:val="000F5BAC"/>
    <w:rsid w:val="000F6BC8"/>
    <w:rsid w:val="00102585"/>
    <w:rsid w:val="00106761"/>
    <w:rsid w:val="00110EEE"/>
    <w:rsid w:val="00114AB7"/>
    <w:rsid w:val="00116B2B"/>
    <w:rsid w:val="00124E3D"/>
    <w:rsid w:val="00127E95"/>
    <w:rsid w:val="00130659"/>
    <w:rsid w:val="001347C7"/>
    <w:rsid w:val="001356B0"/>
    <w:rsid w:val="0014262C"/>
    <w:rsid w:val="00151937"/>
    <w:rsid w:val="001668C5"/>
    <w:rsid w:val="00181844"/>
    <w:rsid w:val="001837E9"/>
    <w:rsid w:val="00187DFA"/>
    <w:rsid w:val="001A1BC1"/>
    <w:rsid w:val="001A1EA5"/>
    <w:rsid w:val="001A2574"/>
    <w:rsid w:val="001A27D7"/>
    <w:rsid w:val="001A294E"/>
    <w:rsid w:val="001A4ED8"/>
    <w:rsid w:val="001B2488"/>
    <w:rsid w:val="001B4E15"/>
    <w:rsid w:val="001B6799"/>
    <w:rsid w:val="001C1362"/>
    <w:rsid w:val="001C767F"/>
    <w:rsid w:val="001C78E4"/>
    <w:rsid w:val="001D2E9A"/>
    <w:rsid w:val="001D3D80"/>
    <w:rsid w:val="001D597F"/>
    <w:rsid w:val="001E3FD4"/>
    <w:rsid w:val="0020241A"/>
    <w:rsid w:val="00203821"/>
    <w:rsid w:val="0020535D"/>
    <w:rsid w:val="00211632"/>
    <w:rsid w:val="002121EB"/>
    <w:rsid w:val="0021630D"/>
    <w:rsid w:val="0022430C"/>
    <w:rsid w:val="0024121B"/>
    <w:rsid w:val="00247D2F"/>
    <w:rsid w:val="00256560"/>
    <w:rsid w:val="0027605E"/>
    <w:rsid w:val="00281E00"/>
    <w:rsid w:val="00294A52"/>
    <w:rsid w:val="002A7654"/>
    <w:rsid w:val="002B3D33"/>
    <w:rsid w:val="002B575F"/>
    <w:rsid w:val="002B729B"/>
    <w:rsid w:val="002C23B5"/>
    <w:rsid w:val="002C371E"/>
    <w:rsid w:val="002C3BF6"/>
    <w:rsid w:val="002C53A2"/>
    <w:rsid w:val="002D0040"/>
    <w:rsid w:val="002D2FA8"/>
    <w:rsid w:val="002D76EA"/>
    <w:rsid w:val="002E220F"/>
    <w:rsid w:val="002F3C53"/>
    <w:rsid w:val="00301872"/>
    <w:rsid w:val="00307311"/>
    <w:rsid w:val="00314E1A"/>
    <w:rsid w:val="0032100F"/>
    <w:rsid w:val="00322A2A"/>
    <w:rsid w:val="0033402C"/>
    <w:rsid w:val="00340521"/>
    <w:rsid w:val="00345C73"/>
    <w:rsid w:val="00354A99"/>
    <w:rsid w:val="00360311"/>
    <w:rsid w:val="00361922"/>
    <w:rsid w:val="0037339B"/>
    <w:rsid w:val="00384499"/>
    <w:rsid w:val="00386C11"/>
    <w:rsid w:val="00397466"/>
    <w:rsid w:val="003A4F56"/>
    <w:rsid w:val="003A6148"/>
    <w:rsid w:val="003B64C7"/>
    <w:rsid w:val="003C33F6"/>
    <w:rsid w:val="003C3D2E"/>
    <w:rsid w:val="003C43A5"/>
    <w:rsid w:val="003D08C5"/>
    <w:rsid w:val="003D0A2C"/>
    <w:rsid w:val="003D3AB7"/>
    <w:rsid w:val="003E1C5C"/>
    <w:rsid w:val="003E6650"/>
    <w:rsid w:val="003E6EC6"/>
    <w:rsid w:val="003F0A5C"/>
    <w:rsid w:val="003F5B46"/>
    <w:rsid w:val="00401363"/>
    <w:rsid w:val="00402E47"/>
    <w:rsid w:val="00411E79"/>
    <w:rsid w:val="004153C1"/>
    <w:rsid w:val="00425015"/>
    <w:rsid w:val="00430994"/>
    <w:rsid w:val="00441B6D"/>
    <w:rsid w:val="004506C8"/>
    <w:rsid w:val="004556EF"/>
    <w:rsid w:val="00462B07"/>
    <w:rsid w:val="00465BD2"/>
    <w:rsid w:val="004715C8"/>
    <w:rsid w:val="00472378"/>
    <w:rsid w:val="0047436B"/>
    <w:rsid w:val="00481C31"/>
    <w:rsid w:val="00482FC1"/>
    <w:rsid w:val="00483027"/>
    <w:rsid w:val="004851A4"/>
    <w:rsid w:val="004862CE"/>
    <w:rsid w:val="004871AA"/>
    <w:rsid w:val="004918D7"/>
    <w:rsid w:val="004926E1"/>
    <w:rsid w:val="004A2FEA"/>
    <w:rsid w:val="004A4C66"/>
    <w:rsid w:val="004C1A18"/>
    <w:rsid w:val="004C50A8"/>
    <w:rsid w:val="004D2DD7"/>
    <w:rsid w:val="004D75C5"/>
    <w:rsid w:val="004E2186"/>
    <w:rsid w:val="004E66FB"/>
    <w:rsid w:val="004F470A"/>
    <w:rsid w:val="004F4C59"/>
    <w:rsid w:val="00500C8F"/>
    <w:rsid w:val="00501909"/>
    <w:rsid w:val="00507BBB"/>
    <w:rsid w:val="005128DF"/>
    <w:rsid w:val="0051485E"/>
    <w:rsid w:val="0051592A"/>
    <w:rsid w:val="005206FE"/>
    <w:rsid w:val="005257ED"/>
    <w:rsid w:val="00526336"/>
    <w:rsid w:val="005306F8"/>
    <w:rsid w:val="0054023D"/>
    <w:rsid w:val="005426BF"/>
    <w:rsid w:val="0056213C"/>
    <w:rsid w:val="00576768"/>
    <w:rsid w:val="00580C24"/>
    <w:rsid w:val="005968EF"/>
    <w:rsid w:val="00596C1E"/>
    <w:rsid w:val="005A14B6"/>
    <w:rsid w:val="005A2E26"/>
    <w:rsid w:val="005B3934"/>
    <w:rsid w:val="005B7BCA"/>
    <w:rsid w:val="005C0DAE"/>
    <w:rsid w:val="005C188E"/>
    <w:rsid w:val="005C6059"/>
    <w:rsid w:val="005D2349"/>
    <w:rsid w:val="005E1B60"/>
    <w:rsid w:val="005E1BA4"/>
    <w:rsid w:val="005E5507"/>
    <w:rsid w:val="005E607B"/>
    <w:rsid w:val="005F0A8D"/>
    <w:rsid w:val="00601229"/>
    <w:rsid w:val="00603B67"/>
    <w:rsid w:val="006162A2"/>
    <w:rsid w:val="006240DA"/>
    <w:rsid w:val="0063256E"/>
    <w:rsid w:val="00633F04"/>
    <w:rsid w:val="00635219"/>
    <w:rsid w:val="00635EC0"/>
    <w:rsid w:val="00640B58"/>
    <w:rsid w:val="006503FA"/>
    <w:rsid w:val="00651B02"/>
    <w:rsid w:val="00651B19"/>
    <w:rsid w:val="00660A29"/>
    <w:rsid w:val="00663D8E"/>
    <w:rsid w:val="00695519"/>
    <w:rsid w:val="006A4134"/>
    <w:rsid w:val="006A54D6"/>
    <w:rsid w:val="006A5DDA"/>
    <w:rsid w:val="006A6701"/>
    <w:rsid w:val="006B21F4"/>
    <w:rsid w:val="006B3753"/>
    <w:rsid w:val="006B6C74"/>
    <w:rsid w:val="006B7AD6"/>
    <w:rsid w:val="006C50FD"/>
    <w:rsid w:val="006D1DD4"/>
    <w:rsid w:val="006D4014"/>
    <w:rsid w:val="006D44C1"/>
    <w:rsid w:val="006E5651"/>
    <w:rsid w:val="006E5B85"/>
    <w:rsid w:val="006F026A"/>
    <w:rsid w:val="006F2046"/>
    <w:rsid w:val="006F3AFD"/>
    <w:rsid w:val="0070265B"/>
    <w:rsid w:val="00704813"/>
    <w:rsid w:val="0070729E"/>
    <w:rsid w:val="0072290D"/>
    <w:rsid w:val="00723656"/>
    <w:rsid w:val="00723D6D"/>
    <w:rsid w:val="00724537"/>
    <w:rsid w:val="007272B9"/>
    <w:rsid w:val="00731724"/>
    <w:rsid w:val="0073474B"/>
    <w:rsid w:val="00735511"/>
    <w:rsid w:val="00737208"/>
    <w:rsid w:val="007421BD"/>
    <w:rsid w:val="00744DE6"/>
    <w:rsid w:val="00762452"/>
    <w:rsid w:val="007639E0"/>
    <w:rsid w:val="00775507"/>
    <w:rsid w:val="00783473"/>
    <w:rsid w:val="0078594B"/>
    <w:rsid w:val="00787558"/>
    <w:rsid w:val="00795E02"/>
    <w:rsid w:val="007979D0"/>
    <w:rsid w:val="007A4E18"/>
    <w:rsid w:val="007A7B8C"/>
    <w:rsid w:val="007B5A74"/>
    <w:rsid w:val="007C38A4"/>
    <w:rsid w:val="007C6D9E"/>
    <w:rsid w:val="007D1C43"/>
    <w:rsid w:val="007D6C53"/>
    <w:rsid w:val="007E1564"/>
    <w:rsid w:val="007E1E87"/>
    <w:rsid w:val="007E5B3F"/>
    <w:rsid w:val="007F2257"/>
    <w:rsid w:val="007F365B"/>
    <w:rsid w:val="0080091D"/>
    <w:rsid w:val="00804108"/>
    <w:rsid w:val="00804FC4"/>
    <w:rsid w:val="00810564"/>
    <w:rsid w:val="0081552F"/>
    <w:rsid w:val="00816367"/>
    <w:rsid w:val="00816A0B"/>
    <w:rsid w:val="00824B22"/>
    <w:rsid w:val="00824E1E"/>
    <w:rsid w:val="008258B7"/>
    <w:rsid w:val="00830C53"/>
    <w:rsid w:val="00837FAA"/>
    <w:rsid w:val="00841F77"/>
    <w:rsid w:val="0085276D"/>
    <w:rsid w:val="008548A7"/>
    <w:rsid w:val="00863390"/>
    <w:rsid w:val="0086385C"/>
    <w:rsid w:val="00871916"/>
    <w:rsid w:val="008763E0"/>
    <w:rsid w:val="00890EE3"/>
    <w:rsid w:val="008956DD"/>
    <w:rsid w:val="008A510E"/>
    <w:rsid w:val="008A522A"/>
    <w:rsid w:val="008B4464"/>
    <w:rsid w:val="008B750B"/>
    <w:rsid w:val="008C3162"/>
    <w:rsid w:val="008D1F14"/>
    <w:rsid w:val="008E3924"/>
    <w:rsid w:val="008F13F7"/>
    <w:rsid w:val="008F223E"/>
    <w:rsid w:val="008F340D"/>
    <w:rsid w:val="008F5B4D"/>
    <w:rsid w:val="008F7EAE"/>
    <w:rsid w:val="00907425"/>
    <w:rsid w:val="00921140"/>
    <w:rsid w:val="00923C34"/>
    <w:rsid w:val="00924152"/>
    <w:rsid w:val="0092513D"/>
    <w:rsid w:val="00925650"/>
    <w:rsid w:val="00927A9F"/>
    <w:rsid w:val="009335CC"/>
    <w:rsid w:val="00935A55"/>
    <w:rsid w:val="00940BA5"/>
    <w:rsid w:val="00941CEB"/>
    <w:rsid w:val="0094720F"/>
    <w:rsid w:val="00953B28"/>
    <w:rsid w:val="00954322"/>
    <w:rsid w:val="00957CAA"/>
    <w:rsid w:val="00960350"/>
    <w:rsid w:val="009625FA"/>
    <w:rsid w:val="00962A4F"/>
    <w:rsid w:val="0096778A"/>
    <w:rsid w:val="00977656"/>
    <w:rsid w:val="009846A7"/>
    <w:rsid w:val="0098741A"/>
    <w:rsid w:val="0098794D"/>
    <w:rsid w:val="0099497B"/>
    <w:rsid w:val="009A43BA"/>
    <w:rsid w:val="009A49B4"/>
    <w:rsid w:val="009A519E"/>
    <w:rsid w:val="009B0D05"/>
    <w:rsid w:val="009B4CA6"/>
    <w:rsid w:val="009B79F8"/>
    <w:rsid w:val="009C66D5"/>
    <w:rsid w:val="009D13FD"/>
    <w:rsid w:val="009D266A"/>
    <w:rsid w:val="009E30FD"/>
    <w:rsid w:val="009F214D"/>
    <w:rsid w:val="009F7E07"/>
    <w:rsid w:val="00A01522"/>
    <w:rsid w:val="00A10A11"/>
    <w:rsid w:val="00A12A70"/>
    <w:rsid w:val="00A13C6A"/>
    <w:rsid w:val="00A17B09"/>
    <w:rsid w:val="00A4058A"/>
    <w:rsid w:val="00A457C6"/>
    <w:rsid w:val="00A46AD0"/>
    <w:rsid w:val="00A47063"/>
    <w:rsid w:val="00A473A8"/>
    <w:rsid w:val="00A513F0"/>
    <w:rsid w:val="00A5349D"/>
    <w:rsid w:val="00A61AC8"/>
    <w:rsid w:val="00A6366F"/>
    <w:rsid w:val="00A63DFC"/>
    <w:rsid w:val="00A65D4C"/>
    <w:rsid w:val="00A70512"/>
    <w:rsid w:val="00A71731"/>
    <w:rsid w:val="00A903B6"/>
    <w:rsid w:val="00A920F9"/>
    <w:rsid w:val="00AA1F60"/>
    <w:rsid w:val="00AA40D7"/>
    <w:rsid w:val="00AA6398"/>
    <w:rsid w:val="00AB5F7D"/>
    <w:rsid w:val="00AC0C50"/>
    <w:rsid w:val="00AC6FE2"/>
    <w:rsid w:val="00AE0AC6"/>
    <w:rsid w:val="00AE0CFD"/>
    <w:rsid w:val="00AF3925"/>
    <w:rsid w:val="00AF4F1E"/>
    <w:rsid w:val="00B07B82"/>
    <w:rsid w:val="00B1296B"/>
    <w:rsid w:val="00B20A9B"/>
    <w:rsid w:val="00B2201E"/>
    <w:rsid w:val="00B2292F"/>
    <w:rsid w:val="00B43169"/>
    <w:rsid w:val="00B501A8"/>
    <w:rsid w:val="00B55AE4"/>
    <w:rsid w:val="00B5691F"/>
    <w:rsid w:val="00B70B46"/>
    <w:rsid w:val="00B739B0"/>
    <w:rsid w:val="00B814A3"/>
    <w:rsid w:val="00B868A4"/>
    <w:rsid w:val="00B9597A"/>
    <w:rsid w:val="00B96F38"/>
    <w:rsid w:val="00BA01A3"/>
    <w:rsid w:val="00BA121A"/>
    <w:rsid w:val="00BA311C"/>
    <w:rsid w:val="00BA7D34"/>
    <w:rsid w:val="00BC716B"/>
    <w:rsid w:val="00BD0E74"/>
    <w:rsid w:val="00BD5CE5"/>
    <w:rsid w:val="00BD5F8C"/>
    <w:rsid w:val="00BE29DD"/>
    <w:rsid w:val="00C066AF"/>
    <w:rsid w:val="00C10E06"/>
    <w:rsid w:val="00C145B8"/>
    <w:rsid w:val="00C165FA"/>
    <w:rsid w:val="00C2438F"/>
    <w:rsid w:val="00C30F0D"/>
    <w:rsid w:val="00C31AF0"/>
    <w:rsid w:val="00C32A7E"/>
    <w:rsid w:val="00C34F28"/>
    <w:rsid w:val="00C368DF"/>
    <w:rsid w:val="00C442C5"/>
    <w:rsid w:val="00C57B5C"/>
    <w:rsid w:val="00C57C7C"/>
    <w:rsid w:val="00C61049"/>
    <w:rsid w:val="00C63FFE"/>
    <w:rsid w:val="00C875B0"/>
    <w:rsid w:val="00C91EB6"/>
    <w:rsid w:val="00CA10B0"/>
    <w:rsid w:val="00CA2F8E"/>
    <w:rsid w:val="00CA3EE2"/>
    <w:rsid w:val="00CA7FD5"/>
    <w:rsid w:val="00CB3287"/>
    <w:rsid w:val="00CB33E2"/>
    <w:rsid w:val="00CB4E68"/>
    <w:rsid w:val="00CC2733"/>
    <w:rsid w:val="00CD0050"/>
    <w:rsid w:val="00CD051D"/>
    <w:rsid w:val="00CE15B3"/>
    <w:rsid w:val="00CE7481"/>
    <w:rsid w:val="00CF0A8F"/>
    <w:rsid w:val="00CF43D0"/>
    <w:rsid w:val="00D048CE"/>
    <w:rsid w:val="00D10998"/>
    <w:rsid w:val="00D15CBD"/>
    <w:rsid w:val="00D221CB"/>
    <w:rsid w:val="00D23391"/>
    <w:rsid w:val="00D31805"/>
    <w:rsid w:val="00D425EF"/>
    <w:rsid w:val="00D433E7"/>
    <w:rsid w:val="00D552B9"/>
    <w:rsid w:val="00D67469"/>
    <w:rsid w:val="00D735B2"/>
    <w:rsid w:val="00D74021"/>
    <w:rsid w:val="00D76D01"/>
    <w:rsid w:val="00D922A9"/>
    <w:rsid w:val="00D9394A"/>
    <w:rsid w:val="00DB0CBB"/>
    <w:rsid w:val="00DB270A"/>
    <w:rsid w:val="00DB67CC"/>
    <w:rsid w:val="00DC3783"/>
    <w:rsid w:val="00DD070F"/>
    <w:rsid w:val="00DE1070"/>
    <w:rsid w:val="00E00219"/>
    <w:rsid w:val="00E0316B"/>
    <w:rsid w:val="00E0572F"/>
    <w:rsid w:val="00E17FF9"/>
    <w:rsid w:val="00E22C43"/>
    <w:rsid w:val="00E25E10"/>
    <w:rsid w:val="00E50B41"/>
    <w:rsid w:val="00E5219B"/>
    <w:rsid w:val="00E52D07"/>
    <w:rsid w:val="00E5518B"/>
    <w:rsid w:val="00E609FE"/>
    <w:rsid w:val="00E630BE"/>
    <w:rsid w:val="00E71526"/>
    <w:rsid w:val="00E75920"/>
    <w:rsid w:val="00E80D96"/>
    <w:rsid w:val="00E871FA"/>
    <w:rsid w:val="00E936A4"/>
    <w:rsid w:val="00E954BB"/>
    <w:rsid w:val="00EA45E7"/>
    <w:rsid w:val="00EB112C"/>
    <w:rsid w:val="00EB78E3"/>
    <w:rsid w:val="00EB7BE3"/>
    <w:rsid w:val="00EC1C4B"/>
    <w:rsid w:val="00EC735A"/>
    <w:rsid w:val="00ED5F38"/>
    <w:rsid w:val="00EE14A6"/>
    <w:rsid w:val="00EE6FAA"/>
    <w:rsid w:val="00EF27FE"/>
    <w:rsid w:val="00F01CD8"/>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79B5"/>
    <w:rsid w:val="00F914EB"/>
    <w:rsid w:val="00F91B85"/>
    <w:rsid w:val="00F938E7"/>
    <w:rsid w:val="00FA3B17"/>
    <w:rsid w:val="00FA5E8D"/>
    <w:rsid w:val="00FA5F3D"/>
    <w:rsid w:val="00FB399E"/>
    <w:rsid w:val="00FB7F50"/>
    <w:rsid w:val="00FC2A85"/>
    <w:rsid w:val="00FC40AF"/>
    <w:rsid w:val="00FC67D7"/>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9874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5684">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7266268">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905216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7794085">
      <w:bodyDiv w:val="1"/>
      <w:marLeft w:val="0"/>
      <w:marRight w:val="0"/>
      <w:marTop w:val="0"/>
      <w:marBottom w:val="0"/>
      <w:divBdr>
        <w:top w:val="none" w:sz="0" w:space="0" w:color="auto"/>
        <w:left w:val="none" w:sz="0" w:space="0" w:color="auto"/>
        <w:bottom w:val="none" w:sz="0" w:space="0" w:color="auto"/>
        <w:right w:val="none" w:sz="0" w:space="0" w:color="auto"/>
      </w:divBdr>
    </w:div>
    <w:div w:id="263734952">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662128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351710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04603134">
      <w:bodyDiv w:val="1"/>
      <w:marLeft w:val="0"/>
      <w:marRight w:val="0"/>
      <w:marTop w:val="0"/>
      <w:marBottom w:val="0"/>
      <w:divBdr>
        <w:top w:val="none" w:sz="0" w:space="0" w:color="auto"/>
        <w:left w:val="none" w:sz="0" w:space="0" w:color="auto"/>
        <w:bottom w:val="none" w:sz="0" w:space="0" w:color="auto"/>
        <w:right w:val="none" w:sz="0" w:space="0" w:color="auto"/>
      </w:divBdr>
    </w:div>
    <w:div w:id="1033189835">
      <w:bodyDiv w:val="1"/>
      <w:marLeft w:val="0"/>
      <w:marRight w:val="0"/>
      <w:marTop w:val="0"/>
      <w:marBottom w:val="0"/>
      <w:divBdr>
        <w:top w:val="none" w:sz="0" w:space="0" w:color="auto"/>
        <w:left w:val="none" w:sz="0" w:space="0" w:color="auto"/>
        <w:bottom w:val="none" w:sz="0" w:space="0" w:color="auto"/>
        <w:right w:val="none" w:sz="0" w:space="0" w:color="auto"/>
      </w:divBdr>
    </w:div>
    <w:div w:id="109347568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397737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17702263">
      <w:bodyDiv w:val="1"/>
      <w:marLeft w:val="0"/>
      <w:marRight w:val="0"/>
      <w:marTop w:val="0"/>
      <w:marBottom w:val="0"/>
      <w:divBdr>
        <w:top w:val="none" w:sz="0" w:space="0" w:color="auto"/>
        <w:left w:val="none" w:sz="0" w:space="0" w:color="auto"/>
        <w:bottom w:val="none" w:sz="0" w:space="0" w:color="auto"/>
        <w:right w:val="none" w:sz="0" w:space="0" w:color="auto"/>
      </w:divBdr>
    </w:div>
    <w:div w:id="145439894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14241247">
      <w:bodyDiv w:val="1"/>
      <w:marLeft w:val="0"/>
      <w:marRight w:val="0"/>
      <w:marTop w:val="0"/>
      <w:marBottom w:val="0"/>
      <w:divBdr>
        <w:top w:val="none" w:sz="0" w:space="0" w:color="auto"/>
        <w:left w:val="none" w:sz="0" w:space="0" w:color="auto"/>
        <w:bottom w:val="none" w:sz="0" w:space="0" w:color="auto"/>
        <w:right w:val="none" w:sz="0" w:space="0" w:color="auto"/>
      </w:divBdr>
    </w:div>
    <w:div w:id="1732801461">
      <w:bodyDiv w:val="1"/>
      <w:marLeft w:val="0"/>
      <w:marRight w:val="0"/>
      <w:marTop w:val="0"/>
      <w:marBottom w:val="0"/>
      <w:divBdr>
        <w:top w:val="none" w:sz="0" w:space="0" w:color="auto"/>
        <w:left w:val="none" w:sz="0" w:space="0" w:color="auto"/>
        <w:bottom w:val="none" w:sz="0" w:space="0" w:color="auto"/>
        <w:right w:val="none" w:sz="0" w:space="0" w:color="auto"/>
      </w:divBdr>
    </w:div>
    <w:div w:id="1742016765">
      <w:bodyDiv w:val="1"/>
      <w:marLeft w:val="0"/>
      <w:marRight w:val="0"/>
      <w:marTop w:val="0"/>
      <w:marBottom w:val="0"/>
      <w:divBdr>
        <w:top w:val="none" w:sz="0" w:space="0" w:color="auto"/>
        <w:left w:val="none" w:sz="0" w:space="0" w:color="auto"/>
        <w:bottom w:val="none" w:sz="0" w:space="0" w:color="auto"/>
        <w:right w:val="none" w:sz="0" w:space="0" w:color="auto"/>
      </w:divBdr>
    </w:div>
    <w:div w:id="178765324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1032034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2/3/325/&#1607;&#1575;&#1585;&#1608;&#1606;" TargetMode="External"/><Relationship Id="rId2" Type="http://schemas.openxmlformats.org/officeDocument/2006/relationships/hyperlink" Target="http://lib.eshia.ir/10083/8/121/&#1607;&#1575;&#1585;&#1608;&#1606;" TargetMode="External"/><Relationship Id="rId1" Type="http://schemas.openxmlformats.org/officeDocument/2006/relationships/hyperlink" Target="http://lib.eshia.ir/10081/1/55/3" TargetMode="External"/><Relationship Id="rId6" Type="http://schemas.openxmlformats.org/officeDocument/2006/relationships/hyperlink" Target="http://lib.eshia.ir/10083/8/139/&#1576;&#1581;&#1740;&#1590;&#1577;" TargetMode="External"/><Relationship Id="rId5" Type="http://schemas.openxmlformats.org/officeDocument/2006/relationships/hyperlink" Target="http://lib.eshia.ir/10081/1/55/3" TargetMode="External"/><Relationship Id="rId4" Type="http://schemas.openxmlformats.org/officeDocument/2006/relationships/hyperlink" Target="http://lib.eshia.ir/10083/8/121/&#1607;&#1575;&#1585;&#1608;&#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D01E4-7917-40B1-9394-83FE786E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18</TotalTime>
  <Pages>7</Pages>
  <Words>1583</Words>
  <Characters>9028</Characters>
  <Application>Microsoft Office Word</Application>
  <DocSecurity>0</DocSecurity>
  <Lines>75</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10590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cp:lastPrinted>2019-11-10T03:34:00Z</cp:lastPrinted>
  <dcterms:created xsi:type="dcterms:W3CDTF">2019-11-10T03:34:00Z</dcterms:created>
  <dcterms:modified xsi:type="dcterms:W3CDTF">2019-12-04T07:38:00Z</dcterms:modified>
  <cp:contentStatus>ویرایش 2.5</cp:contentStatus>
  <cp:version>2.7</cp:version>
</cp:coreProperties>
</file>