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BC" w:rsidRDefault="003825BC" w:rsidP="003825B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3825BC" w:rsidRDefault="003825BC" w:rsidP="00512E8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w:t>
      </w:r>
      <w:r w:rsidR="00512E8F">
        <w:rPr>
          <w:rFonts w:ascii="IRANSans" w:hAnsi="IRANSans" w:cs="IRANSans" w:hint="cs"/>
          <w:b/>
          <w:bCs/>
          <w:color w:val="0101FF"/>
          <w:sz w:val="24"/>
          <w:szCs w:val="24"/>
          <w:shd w:val="clear" w:color="auto" w:fill="FFFFFF"/>
          <w:rtl/>
        </w:rPr>
        <w:t>182</w:t>
      </w:r>
      <w:r>
        <w:rPr>
          <w:rFonts w:ascii="IRANSans" w:hAnsi="IRANSans" w:cs="IRANSans"/>
          <w:b/>
          <w:bCs/>
          <w:color w:val="0101FF"/>
          <w:sz w:val="24"/>
          <w:szCs w:val="24"/>
          <w:shd w:val="clear" w:color="auto" w:fill="FFFFFF"/>
          <w:rtl/>
        </w:rPr>
        <w:t xml:space="preserve">– </w:t>
      </w:r>
      <w:r w:rsidR="00512E8F">
        <w:rPr>
          <w:rFonts w:ascii="IRANSans" w:hAnsi="IRANSans" w:cs="IRANSans" w:hint="cs"/>
          <w:b/>
          <w:bCs/>
          <w:color w:val="0101FF"/>
          <w:sz w:val="24"/>
          <w:szCs w:val="24"/>
          <w:shd w:val="clear" w:color="auto" w:fill="FFFFFF"/>
          <w:rtl/>
        </w:rPr>
        <w:t>16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960A14" w:rsidRDefault="008F5B4D" w:rsidP="00960A14">
      <w:pPr>
        <w:rPr>
          <w:rtl/>
        </w:rPr>
      </w:pPr>
      <w:r w:rsidRPr="009C66D5">
        <w:rPr>
          <w:rStyle w:val="Emphasis"/>
          <w:rFonts w:hint="cs"/>
          <w:b/>
          <w:bCs w:val="0"/>
          <w:rtl/>
        </w:rPr>
        <w:t>خلاصه</w:t>
      </w:r>
      <w:r w:rsidR="00DD3E6B">
        <w:rPr>
          <w:rStyle w:val="Emphasis"/>
          <w:rFonts w:hint="cs"/>
          <w:b/>
          <w:bCs w:val="0"/>
          <w:rtl/>
        </w:rPr>
        <w:t>‌ی</w:t>
      </w:r>
      <w:r w:rsidRPr="009C66D5">
        <w:rPr>
          <w:rStyle w:val="Emphasis"/>
          <w:rFonts w:hint="cs"/>
          <w:b/>
          <w:bCs w:val="0"/>
          <w:rtl/>
        </w:rPr>
        <w:t xml:space="preserve"> مباحث گذشته:</w:t>
      </w:r>
    </w:p>
    <w:p w:rsidR="00247D2F" w:rsidRDefault="00960A14" w:rsidP="00572592">
      <w:pPr>
        <w:jc w:val="both"/>
        <w:rPr>
          <w:rtl/>
        </w:rPr>
      </w:pPr>
      <w:r>
        <w:rPr>
          <w:rFonts w:hint="cs"/>
          <w:rtl/>
        </w:rPr>
        <w:t xml:space="preserve">جلسه‌ی قبل آیه‌ی </w:t>
      </w:r>
      <w:r>
        <w:rPr>
          <w:rFonts w:ascii="Arial" w:hAnsi="Arial" w:cs="Arial" w:hint="cs"/>
          <w:rtl/>
        </w:rPr>
        <w:t>﴿</w:t>
      </w:r>
      <w:r w:rsidRPr="001D248D">
        <w:rPr>
          <w:rFonts w:hint="cs"/>
          <w:color w:val="008000"/>
          <w:rtl/>
        </w:rPr>
        <w:t>ضَرَبَ اللَّهُ مَثَلاً عَبْداً مَمْلُوكاً لاَ يَقْدِرُ عَلَى شَيْ‌ءٍ وَ مَنْ رَزَقْنَاهُ مِنَّا رِزْقاً حَسَناً فَهُوَ يُنْفِقُ مِنْهُ سِرّاً وَ جَهْراً هَلْ يَسْتَوُونَ الْحَمْدُ لِلَّهِ بَلْ أَكْثَرُهُمْ لاَ يَعْلَمُونَ</w:t>
      </w:r>
      <w:r w:rsidRPr="002922EE">
        <w:rPr>
          <w:rFonts w:ascii="Arial" w:hAnsi="Arial" w:cs="Arial" w:hint="cs"/>
          <w:color w:val="008000"/>
          <w:rtl/>
        </w:rPr>
        <w:t>﴾</w:t>
      </w:r>
      <w:r>
        <w:rPr>
          <w:rFonts w:hint="cs"/>
          <w:rtl/>
        </w:rPr>
        <w:t xml:space="preserve"> </w:t>
      </w:r>
      <w:r>
        <w:rPr>
          <w:rStyle w:val="FootnoteReference"/>
          <w:rtl/>
        </w:rPr>
        <w:footnoteReference w:id="1"/>
      </w:r>
      <w:r>
        <w:rPr>
          <w:rFonts w:hint="cs"/>
          <w:rtl/>
        </w:rPr>
        <w:t xml:space="preserve"> را مطرح کردیم. گفتیم این آیه مطلق نیست بلکه عام است که می توان برای نفی همه‌ی امور به آن تمسک کرد. در نتیجه هیچ یک از امور تشریعی عبد در اختیار خودش نیست.</w:t>
      </w:r>
      <w:r w:rsidR="00E376A5">
        <w:rPr>
          <w:rFonts w:hint="cs"/>
          <w:rtl/>
        </w:rPr>
        <w:t xml:space="preserve"> </w:t>
      </w:r>
    </w:p>
    <w:p w:rsidR="00960A14" w:rsidRPr="003A6148" w:rsidRDefault="00960A14" w:rsidP="006E7CCD">
      <w:pPr>
        <w:pBdr>
          <w:bottom w:val="double" w:sz="6" w:space="1" w:color="auto"/>
        </w:pBdr>
      </w:pPr>
    </w:p>
    <w:p w:rsidR="008F5B4D" w:rsidRDefault="008F5B4D" w:rsidP="003A6148"/>
    <w:p w:rsidR="00F43FE7" w:rsidRDefault="00F43FE7" w:rsidP="00F43FE7">
      <w:pPr>
        <w:pStyle w:val="Heading1"/>
        <w:rPr>
          <w:rtl/>
        </w:rPr>
      </w:pPr>
      <w:bookmarkStart w:id="0" w:name="_Toc21398920"/>
      <w:bookmarkStart w:id="1" w:name="_Toc21398949"/>
      <w:bookmarkStart w:id="2" w:name="_Toc21399239"/>
      <w:bookmarkStart w:id="3" w:name="_Toc21400011"/>
      <w:r>
        <w:rPr>
          <w:rFonts w:hint="cs"/>
          <w:rtl/>
        </w:rPr>
        <w:t>اشکال به عمومیت آیه</w:t>
      </w:r>
      <w:bookmarkEnd w:id="0"/>
      <w:r w:rsidR="00CE4EA1">
        <w:rPr>
          <w:rFonts w:hint="eastAsia"/>
          <w:rtl/>
        </w:rPr>
        <w:t>‌ی لا یقدر علی شیء</w:t>
      </w:r>
      <w:bookmarkEnd w:id="1"/>
      <w:bookmarkEnd w:id="2"/>
      <w:bookmarkEnd w:id="3"/>
    </w:p>
    <w:p w:rsidR="001A1EA5" w:rsidRPr="00572592" w:rsidRDefault="00572592" w:rsidP="00572592">
      <w:pPr>
        <w:jc w:val="both"/>
        <w:rPr>
          <w:rtl/>
        </w:rPr>
      </w:pPr>
      <w:r>
        <w:rPr>
          <w:rFonts w:hint="cs"/>
          <w:rtl/>
        </w:rPr>
        <w:t>اشکالی مطرح شد</w:t>
      </w:r>
      <w:r>
        <w:rPr>
          <w:rStyle w:val="FootnoteReference"/>
          <w:rtl/>
        </w:rPr>
        <w:footnoteReference w:id="2"/>
      </w:r>
      <w:r>
        <w:rPr>
          <w:rFonts w:hint="cs"/>
          <w:rtl/>
        </w:rPr>
        <w:t xml:space="preserve"> که بحث ما در مورد </w:t>
      </w:r>
      <w:r>
        <w:rPr>
          <w:rFonts w:ascii="Arial" w:hAnsi="Arial" w:cs="Arial" w:hint="cs"/>
          <w:rtl/>
        </w:rPr>
        <w:t>﴿</w:t>
      </w:r>
      <w:r w:rsidRPr="00572592">
        <w:rPr>
          <w:rFonts w:hint="cs"/>
          <w:color w:val="008000"/>
          <w:rtl/>
        </w:rPr>
        <w:t>عبدا مملوکا</w:t>
      </w:r>
      <w:r w:rsidRPr="002922EE">
        <w:rPr>
          <w:rFonts w:ascii="Arial" w:hAnsi="Arial" w:cs="Arial" w:hint="cs"/>
          <w:color w:val="008000"/>
          <w:rtl/>
        </w:rPr>
        <w:t>﴾</w:t>
      </w:r>
      <w:r>
        <w:rPr>
          <w:rFonts w:hint="cs"/>
          <w:rtl/>
        </w:rPr>
        <w:t xml:space="preserve"> می باشد که نکره می باشد و نکره مطلق می باشد و بحث در </w:t>
      </w:r>
      <w:r>
        <w:rPr>
          <w:rFonts w:ascii="Arial" w:hAnsi="Arial" w:cs="Arial" w:hint="cs"/>
          <w:rtl/>
        </w:rPr>
        <w:t>﴿</w:t>
      </w:r>
      <w:r w:rsidRPr="00572592">
        <w:rPr>
          <w:rFonts w:hint="cs"/>
          <w:color w:val="008000"/>
          <w:rtl/>
        </w:rPr>
        <w:t xml:space="preserve"> لاَ يَقْدِرُ عَلَى شَيْ‌ءٍ</w:t>
      </w:r>
      <w:r w:rsidRPr="002922EE">
        <w:rPr>
          <w:rFonts w:ascii="Arial" w:hAnsi="Arial" w:cs="Arial" w:hint="cs"/>
          <w:color w:val="008000"/>
          <w:rtl/>
        </w:rPr>
        <w:t>﴾</w:t>
      </w:r>
      <w:r>
        <w:rPr>
          <w:rFonts w:ascii="Arial" w:hAnsi="Arial" w:cs="Arial" w:hint="cs"/>
          <w:color w:val="008000"/>
          <w:rtl/>
        </w:rPr>
        <w:t xml:space="preserve"> </w:t>
      </w:r>
      <w:r w:rsidRPr="00572592">
        <w:rPr>
          <w:rFonts w:hint="cs"/>
          <w:rtl/>
        </w:rPr>
        <w:t xml:space="preserve">نیست </w:t>
      </w:r>
      <w:r>
        <w:rPr>
          <w:rFonts w:hint="cs"/>
          <w:rtl/>
        </w:rPr>
        <w:t>که بگوییم نکره در سیاق نفی افاده‌ی عموم می کند.</w:t>
      </w:r>
    </w:p>
    <w:p w:rsidR="00572592" w:rsidRDefault="00F43FE7" w:rsidP="00F43FE7">
      <w:pPr>
        <w:pStyle w:val="Heading2"/>
        <w:rPr>
          <w:rtl/>
        </w:rPr>
      </w:pPr>
      <w:bookmarkStart w:id="4" w:name="_Toc21398921"/>
      <w:bookmarkStart w:id="5" w:name="_Toc21398950"/>
      <w:bookmarkStart w:id="6" w:name="_Toc21399240"/>
      <w:bookmarkStart w:id="7" w:name="_Toc21400012"/>
      <w:r>
        <w:rPr>
          <w:rFonts w:hint="cs"/>
          <w:rtl/>
        </w:rPr>
        <w:t>پاسخ به اشکال</w:t>
      </w:r>
      <w:bookmarkEnd w:id="4"/>
      <w:bookmarkEnd w:id="5"/>
      <w:bookmarkEnd w:id="6"/>
      <w:bookmarkEnd w:id="7"/>
    </w:p>
    <w:p w:rsidR="00572592" w:rsidRDefault="00F43FE7" w:rsidP="00572592">
      <w:pPr>
        <w:jc w:val="both"/>
        <w:rPr>
          <w:rtl/>
        </w:rPr>
      </w:pPr>
      <w:r>
        <w:rPr>
          <w:rFonts w:hint="cs"/>
          <w:rtl/>
        </w:rPr>
        <w:t xml:space="preserve">یک بحث قدیمی در تفسیر این آیه وجود دارد که </w:t>
      </w:r>
      <w:r w:rsidR="00983540">
        <w:rPr>
          <w:rFonts w:hint="cs"/>
          <w:rtl/>
        </w:rPr>
        <w:t xml:space="preserve">قید </w:t>
      </w:r>
      <w:r w:rsidR="00983540">
        <w:rPr>
          <w:rFonts w:ascii="Arial" w:hAnsi="Arial" w:cs="Arial" w:hint="cs"/>
          <w:rtl/>
        </w:rPr>
        <w:t>﴿</w:t>
      </w:r>
      <w:r w:rsidR="00983540" w:rsidRPr="00572592">
        <w:rPr>
          <w:rFonts w:hint="cs"/>
          <w:color w:val="008000"/>
          <w:rtl/>
        </w:rPr>
        <w:t xml:space="preserve"> لاَ يَقْدِرُ عَلَى شَيْ‌ءٍ</w:t>
      </w:r>
      <w:r w:rsidR="00983540" w:rsidRPr="002922EE">
        <w:rPr>
          <w:rFonts w:ascii="Arial" w:hAnsi="Arial" w:cs="Arial" w:hint="cs"/>
          <w:color w:val="008000"/>
          <w:rtl/>
        </w:rPr>
        <w:t>﴾</w:t>
      </w:r>
      <w:r w:rsidR="00983540">
        <w:rPr>
          <w:rFonts w:ascii="Arial" w:hAnsi="Arial" w:cs="Arial" w:hint="cs"/>
          <w:color w:val="008000"/>
          <w:rtl/>
        </w:rPr>
        <w:t xml:space="preserve"> </w:t>
      </w:r>
      <w:r w:rsidR="00983540">
        <w:rPr>
          <w:rFonts w:hint="cs"/>
          <w:rtl/>
        </w:rPr>
        <w:t>توضیحی است یا تقییدی است یا به عبارت دیگر وصف کاشف است یا وصف مقید است.</w:t>
      </w:r>
    </w:p>
    <w:p w:rsidR="00572592" w:rsidRDefault="000D7C3E" w:rsidP="000D7C3E">
      <w:pPr>
        <w:jc w:val="both"/>
        <w:rPr>
          <w:rtl/>
        </w:rPr>
      </w:pPr>
      <w:r>
        <w:rPr>
          <w:rFonts w:hint="cs"/>
          <w:rtl/>
        </w:rPr>
        <w:t>از روایت استفاده می شود که این وصف، وصف کاشف</w:t>
      </w:r>
      <w:r w:rsidR="00DD3E6B">
        <w:rPr>
          <w:rFonts w:hint="cs"/>
          <w:rtl/>
        </w:rPr>
        <w:t xml:space="preserve"> ( توضیحی)</w:t>
      </w:r>
      <w:r>
        <w:rPr>
          <w:rFonts w:hint="cs"/>
          <w:rtl/>
        </w:rPr>
        <w:t xml:space="preserve"> است. با دقت در خود آیه هم مشخص می شود که این وصف، وصف توضیحی است.</w:t>
      </w:r>
    </w:p>
    <w:p w:rsidR="00B828B9" w:rsidRDefault="006F0764" w:rsidP="000D0129">
      <w:pPr>
        <w:jc w:val="both"/>
        <w:rPr>
          <w:rtl/>
        </w:rPr>
      </w:pPr>
      <w:r>
        <w:rPr>
          <w:rFonts w:hint="cs"/>
          <w:rtl/>
        </w:rPr>
        <w:t xml:space="preserve">کسانی که این قید را قید تقییدی می دانند، </w:t>
      </w:r>
      <w:r w:rsidR="000D0129">
        <w:rPr>
          <w:rFonts w:hint="cs"/>
          <w:rtl/>
        </w:rPr>
        <w:t>ناچارند</w:t>
      </w:r>
      <w:r>
        <w:rPr>
          <w:rFonts w:hint="cs"/>
          <w:rtl/>
        </w:rPr>
        <w:t xml:space="preserve"> مرتکب خلاف ظاهر شوند.</w:t>
      </w:r>
    </w:p>
    <w:p w:rsidR="00B828B9" w:rsidRPr="00B828B9" w:rsidRDefault="00B828B9" w:rsidP="00B828B9">
      <w:pPr>
        <w:jc w:val="both"/>
        <w:rPr>
          <w:color w:val="008000"/>
        </w:rPr>
      </w:pPr>
      <w:r>
        <w:rPr>
          <w:rFonts w:ascii="Times New Roman" w:hAnsi="Times New Roman" w:cs="Times New Roman"/>
          <w:color w:val="008000"/>
          <w:rtl/>
        </w:rPr>
        <w:t>﴿</w:t>
      </w:r>
      <w:r w:rsidRPr="00B828B9">
        <w:rPr>
          <w:rFonts w:hint="cs"/>
          <w:color w:val="008000"/>
          <w:rtl/>
        </w:rPr>
        <w:t xml:space="preserve"> وَ يَعْبُدُونَ مِنْ دُونِ اللَّهِ مَا لاَ يَمْلِكُ لَهُمْ رِزْقاً مِنَ السَّمَاوَاتِ وَ الْأَرْضِ شَيْئاً وَ لاَ يَسْتَطِيعُونَ </w:t>
      </w:r>
      <w:r w:rsidRPr="00B828B9">
        <w:rPr>
          <w:rFonts w:ascii="Times New Roman" w:hAnsi="Times New Roman" w:cs="Times New Roman" w:hint="cs"/>
          <w:color w:val="008000"/>
          <w:rtl/>
        </w:rPr>
        <w:t>﴿</w:t>
      </w:r>
      <w:r w:rsidRPr="00B828B9">
        <w:rPr>
          <w:rFonts w:hint="cs"/>
          <w:color w:val="008000"/>
          <w:rtl/>
        </w:rPr>
        <w:t>73</w:t>
      </w:r>
      <w:r w:rsidRPr="002922EE">
        <w:rPr>
          <w:rFonts w:ascii="Times New Roman" w:hAnsi="Times New Roman" w:cs="Times New Roman" w:hint="cs"/>
          <w:color w:val="008000"/>
          <w:rtl/>
        </w:rPr>
        <w:t>﴾</w:t>
      </w:r>
    </w:p>
    <w:p w:rsidR="00B828B9" w:rsidRPr="00B828B9" w:rsidRDefault="00B828B9" w:rsidP="00B828B9">
      <w:pPr>
        <w:jc w:val="both"/>
        <w:rPr>
          <w:color w:val="008000"/>
          <w:rtl/>
        </w:rPr>
      </w:pPr>
      <w:r w:rsidRPr="00B828B9">
        <w:rPr>
          <w:rFonts w:hint="cs"/>
          <w:color w:val="008000"/>
          <w:rtl/>
        </w:rPr>
        <w:t xml:space="preserve">فَلاَ تَضْرِبُوا لِلَّهِ الْأَمْثَالَ إِنَّ اللَّهَ يَعْلَمُ وَ أَنْتُمْ لاَ تَعْلَمُونَ </w:t>
      </w:r>
      <w:r w:rsidRPr="00B828B9">
        <w:rPr>
          <w:rFonts w:ascii="Times New Roman" w:hAnsi="Times New Roman" w:cs="Times New Roman" w:hint="cs"/>
          <w:color w:val="008000"/>
          <w:rtl/>
        </w:rPr>
        <w:t>﴿</w:t>
      </w:r>
      <w:r w:rsidRPr="00B828B9">
        <w:rPr>
          <w:rFonts w:hint="cs"/>
          <w:color w:val="008000"/>
          <w:rtl/>
        </w:rPr>
        <w:t>74</w:t>
      </w:r>
      <w:r w:rsidRPr="002922EE">
        <w:rPr>
          <w:rFonts w:ascii="Times New Roman" w:hAnsi="Times New Roman" w:cs="Times New Roman" w:hint="cs"/>
          <w:color w:val="008000"/>
          <w:rtl/>
        </w:rPr>
        <w:t>﴾</w:t>
      </w:r>
    </w:p>
    <w:p w:rsidR="00B828B9" w:rsidRPr="00B828B9" w:rsidRDefault="00B828B9" w:rsidP="00B828B9">
      <w:pPr>
        <w:jc w:val="both"/>
        <w:rPr>
          <w:color w:val="008000"/>
        </w:rPr>
      </w:pPr>
      <w:r w:rsidRPr="00B828B9">
        <w:rPr>
          <w:rFonts w:hint="cs"/>
          <w:color w:val="008000"/>
          <w:rtl/>
        </w:rPr>
        <w:t xml:space="preserve">ضَرَبَ اللَّهُ مَثَلاً عَبْداً مَمْلُوكاً لاَ يَقْدِرُ عَلَى شَيْ‌ءٍ وَ مَنْ رَزَقْنَاهُ مِنَّا رِزْقاً حَسَناً فَهُوَ يُنْفِقُ مِنْهُ سِرّاً وَ جَهْراً هَلْ يَسْتَوُونَ الْحَمْدُ لِلَّهِ بَلْ أَكْثَرُهُمْ لاَ يَعْلَمُونَ </w:t>
      </w:r>
      <w:r w:rsidRPr="00B828B9">
        <w:rPr>
          <w:rFonts w:ascii="Times New Roman" w:hAnsi="Times New Roman" w:cs="Times New Roman" w:hint="cs"/>
          <w:color w:val="008000"/>
          <w:rtl/>
        </w:rPr>
        <w:t>﴿</w:t>
      </w:r>
      <w:r w:rsidRPr="00B828B9">
        <w:rPr>
          <w:rFonts w:hint="cs"/>
          <w:color w:val="008000"/>
          <w:rtl/>
        </w:rPr>
        <w:t>75</w:t>
      </w:r>
      <w:r w:rsidRPr="002922EE">
        <w:rPr>
          <w:rFonts w:ascii="Times New Roman" w:hAnsi="Times New Roman" w:cs="Times New Roman" w:hint="cs"/>
          <w:color w:val="008000"/>
          <w:rtl/>
        </w:rPr>
        <w:t>﴾</w:t>
      </w:r>
      <w:r w:rsidRPr="002922EE">
        <w:rPr>
          <w:rFonts w:ascii="Times New Roman" w:hAnsi="Times New Roman" w:cs="Times New Roman"/>
          <w:color w:val="008000"/>
          <w:rtl/>
        </w:rPr>
        <w:t>﴾</w:t>
      </w:r>
    </w:p>
    <w:p w:rsidR="00B828B9" w:rsidRDefault="00B828B9" w:rsidP="00B828B9">
      <w:pPr>
        <w:jc w:val="both"/>
        <w:rPr>
          <w:rtl/>
        </w:rPr>
      </w:pPr>
      <w:r>
        <w:rPr>
          <w:rFonts w:hint="cs"/>
          <w:rtl/>
        </w:rPr>
        <w:lastRenderedPageBreak/>
        <w:t xml:space="preserve">در این آیات خداوند با بت ها مقایسه شده است و تمثیلی آمده است که رابطه‌ی خداوند و بت ها را تشبیه کرده است به رابطه‌ی عبد مملوکی که هیچ </w:t>
      </w:r>
      <w:r w:rsidR="00EE223F">
        <w:rPr>
          <w:rFonts w:hint="cs"/>
          <w:rtl/>
        </w:rPr>
        <w:t>اختیاری ندارد و شخصی که رزق حسن</w:t>
      </w:r>
      <w:r>
        <w:rPr>
          <w:rFonts w:hint="cs"/>
          <w:rtl/>
        </w:rPr>
        <w:t xml:space="preserve"> به او داده شده است و با اختیار خودش، پنهان و آشکار انفاق می کند.</w:t>
      </w:r>
    </w:p>
    <w:p w:rsidR="00B828B9" w:rsidRDefault="00746AA3" w:rsidP="00746AA3">
      <w:pPr>
        <w:jc w:val="both"/>
        <w:rPr>
          <w:rtl/>
        </w:rPr>
      </w:pPr>
      <w:r>
        <w:rPr>
          <w:rFonts w:hint="cs"/>
          <w:rtl/>
        </w:rPr>
        <w:t>در واقع آیه می فرماید: این بت ها هیچ اختیاری از خودشان ندارند و نمی توانند به شما روزی دهند، چرا این ها را به جای خدا می پرستید؟</w:t>
      </w:r>
    </w:p>
    <w:p w:rsidR="00572592" w:rsidRDefault="00746AA3" w:rsidP="00746AA3">
      <w:pPr>
        <w:jc w:val="both"/>
        <w:rPr>
          <w:rtl/>
        </w:rPr>
      </w:pPr>
      <w:r>
        <w:rPr>
          <w:rFonts w:hint="cs"/>
          <w:rtl/>
        </w:rPr>
        <w:t xml:space="preserve">اگر قید </w:t>
      </w:r>
      <w:r>
        <w:rPr>
          <w:rFonts w:ascii="Arial" w:hAnsi="Arial" w:cs="Arial" w:hint="cs"/>
          <w:rtl/>
        </w:rPr>
        <w:t xml:space="preserve">﴿ </w:t>
      </w:r>
      <w:r>
        <w:rPr>
          <w:rFonts w:hint="cs"/>
          <w:color w:val="008000"/>
          <w:rtl/>
        </w:rPr>
        <w:t xml:space="preserve">مملوکا </w:t>
      </w:r>
      <w:r w:rsidRPr="00572592">
        <w:rPr>
          <w:rFonts w:hint="cs"/>
          <w:color w:val="008000"/>
          <w:rtl/>
        </w:rPr>
        <w:t>لاَ يَقْدِرُ عَلَى شَيْ‌ءٍ</w:t>
      </w:r>
      <w:r w:rsidRPr="002922EE">
        <w:rPr>
          <w:rFonts w:ascii="Arial" w:hAnsi="Arial" w:cs="Arial" w:hint="cs"/>
          <w:color w:val="008000"/>
          <w:rtl/>
        </w:rPr>
        <w:t>﴾</w:t>
      </w:r>
      <w:r>
        <w:rPr>
          <w:rFonts w:ascii="Arial" w:hAnsi="Arial" w:cs="Arial" w:hint="cs"/>
          <w:color w:val="008000"/>
          <w:rtl/>
        </w:rPr>
        <w:t xml:space="preserve"> </w:t>
      </w:r>
      <w:r>
        <w:rPr>
          <w:rFonts w:hint="cs"/>
          <w:rtl/>
        </w:rPr>
        <w:t>تقییدی باشد، مملوکا چه خصوصیتی دارد؟</w:t>
      </w:r>
    </w:p>
    <w:p w:rsidR="00746AA3" w:rsidRDefault="00746AA3" w:rsidP="00746AA3">
      <w:pPr>
        <w:jc w:val="both"/>
        <w:rPr>
          <w:rtl/>
        </w:rPr>
      </w:pPr>
      <w:r>
        <w:rPr>
          <w:rFonts w:hint="cs"/>
          <w:rtl/>
        </w:rPr>
        <w:t>در جواب این سوال در تفاسیر گفته شده که منظور از این قید، عبدا</w:t>
      </w:r>
      <w:r w:rsidR="00EE223F">
        <w:rPr>
          <w:rFonts w:hint="cs"/>
          <w:rtl/>
        </w:rPr>
        <w:t>ً</w:t>
      </w:r>
      <w:r>
        <w:rPr>
          <w:rFonts w:hint="cs"/>
          <w:rtl/>
        </w:rPr>
        <w:t xml:space="preserve"> لله و مملوکا للناس می باشد. بنابراین عبدهایی که برای خدا هستند، ممکن است مملوک باشند و ممکن است مملوک نباشند.</w:t>
      </w:r>
    </w:p>
    <w:p w:rsidR="00636F3C" w:rsidRDefault="00636F3C" w:rsidP="00746AA3">
      <w:pPr>
        <w:jc w:val="both"/>
        <w:rPr>
          <w:rtl/>
        </w:rPr>
      </w:pPr>
      <w:r>
        <w:rPr>
          <w:rFonts w:hint="cs"/>
          <w:rtl/>
        </w:rPr>
        <w:t>این مطلب صحیح نیست؛ زیرا</w:t>
      </w:r>
      <w:r w:rsidR="00D41505">
        <w:rPr>
          <w:rFonts w:hint="cs"/>
          <w:rtl/>
        </w:rPr>
        <w:t>:</w:t>
      </w:r>
    </w:p>
    <w:p w:rsidR="00636F3C" w:rsidRDefault="00636F3C" w:rsidP="00746AA3">
      <w:pPr>
        <w:jc w:val="both"/>
        <w:rPr>
          <w:rtl/>
        </w:rPr>
      </w:pPr>
      <w:r>
        <w:rPr>
          <w:rFonts w:hint="cs"/>
          <w:rtl/>
        </w:rPr>
        <w:t xml:space="preserve"> اولا عبد اگر بدون هیچ قیدی به کار رود، منظور عبد در مقابل حر است.</w:t>
      </w:r>
    </w:p>
    <w:p w:rsidR="00636F3C" w:rsidRDefault="00636F3C" w:rsidP="00746AA3">
      <w:pPr>
        <w:jc w:val="both"/>
        <w:rPr>
          <w:rtl/>
        </w:rPr>
      </w:pPr>
      <w:r>
        <w:rPr>
          <w:rFonts w:hint="cs"/>
          <w:rtl/>
        </w:rPr>
        <w:t>ثانیا این</w:t>
      </w:r>
      <w:r w:rsidR="0021300E">
        <w:rPr>
          <w:rFonts w:hint="cs"/>
          <w:rtl/>
        </w:rPr>
        <w:t xml:space="preserve"> </w:t>
      </w:r>
      <w:r>
        <w:rPr>
          <w:rFonts w:hint="cs"/>
          <w:rtl/>
        </w:rPr>
        <w:t>که متعلق عبد و مملوک متفاوت باشد، خلاف ظاهر است.</w:t>
      </w:r>
    </w:p>
    <w:p w:rsidR="00636F3C" w:rsidRPr="00F25D36" w:rsidRDefault="00636F3C" w:rsidP="00F25D36">
      <w:pPr>
        <w:jc w:val="both"/>
        <w:rPr>
          <w:rtl/>
        </w:rPr>
      </w:pPr>
      <w:r>
        <w:rPr>
          <w:rFonts w:hint="cs"/>
          <w:rtl/>
        </w:rPr>
        <w:t xml:space="preserve">ثالثا </w:t>
      </w:r>
      <w:r w:rsidR="00F25D36">
        <w:rPr>
          <w:rFonts w:ascii="Arial" w:hAnsi="Arial" w:cs="Arial" w:hint="cs"/>
          <w:rtl/>
        </w:rPr>
        <w:t>﴿</w:t>
      </w:r>
      <w:r w:rsidR="00F25D36" w:rsidRPr="00F25D36">
        <w:rPr>
          <w:rFonts w:hint="cs"/>
          <w:color w:val="008000"/>
          <w:rtl/>
        </w:rPr>
        <w:t>مَنْ رَزَقْنَاهُ مِنَّا رِزْقاً حَسَناً</w:t>
      </w:r>
      <w:r w:rsidR="00F25D36" w:rsidRPr="002922EE">
        <w:rPr>
          <w:rFonts w:ascii="Arial" w:hAnsi="Arial" w:cs="Arial" w:hint="cs"/>
          <w:color w:val="008000"/>
          <w:rtl/>
        </w:rPr>
        <w:t>﴾</w:t>
      </w:r>
      <w:r w:rsidR="00F25D36">
        <w:rPr>
          <w:rFonts w:ascii="Arial" w:hAnsi="Arial" w:cs="Arial" w:hint="cs"/>
          <w:color w:val="008000"/>
          <w:rtl/>
        </w:rPr>
        <w:t xml:space="preserve"> </w:t>
      </w:r>
      <w:r w:rsidR="00F25D36" w:rsidRPr="00F25D36">
        <w:rPr>
          <w:rFonts w:hint="cs"/>
          <w:rtl/>
        </w:rPr>
        <w:t xml:space="preserve">هم </w:t>
      </w:r>
      <w:r w:rsidR="00F25D36">
        <w:rPr>
          <w:rFonts w:hint="cs"/>
          <w:rtl/>
        </w:rPr>
        <w:t>عبد است. در این مقایسه عبد خدا بودن چه خصوصیتی دارد که فقط در مملوک</w:t>
      </w:r>
      <w:r w:rsidR="00D41505">
        <w:rPr>
          <w:rFonts w:hint="cs"/>
          <w:rtl/>
        </w:rPr>
        <w:t>،</w:t>
      </w:r>
      <w:r w:rsidR="00F25D36">
        <w:rPr>
          <w:rFonts w:hint="cs"/>
          <w:rtl/>
        </w:rPr>
        <w:t xml:space="preserve"> عبد خدا بودن را ذکر کرده است و در حر ذکر نکرده است.</w:t>
      </w:r>
    </w:p>
    <w:p w:rsidR="00572592" w:rsidRDefault="00B43659" w:rsidP="00572592">
      <w:pPr>
        <w:jc w:val="both"/>
        <w:rPr>
          <w:rtl/>
        </w:rPr>
      </w:pPr>
      <w:r>
        <w:rPr>
          <w:rFonts w:hint="cs"/>
          <w:rtl/>
        </w:rPr>
        <w:t>از روایات و ظهور خود آیه استفاده می شود که قید توضیحی است.</w:t>
      </w:r>
    </w:p>
    <w:p w:rsidR="00E260ED" w:rsidRDefault="00E260ED" w:rsidP="002922EE">
      <w:pPr>
        <w:jc w:val="both"/>
        <w:rPr>
          <w:rtl/>
        </w:rPr>
      </w:pPr>
      <w:r>
        <w:rPr>
          <w:rFonts w:hint="cs"/>
          <w:rtl/>
        </w:rPr>
        <w:t>خداوند در آیه بنده و آزاد را مقایسه می کند. بنده به خاطر مملوک بودنش، قادر بر چیزی نیست.</w:t>
      </w:r>
      <w:r w:rsidR="002922EE">
        <w:rPr>
          <w:rFonts w:hint="cs"/>
          <w:rtl/>
        </w:rPr>
        <w:t xml:space="preserve"> «مملوکا» تمهید برای </w:t>
      </w:r>
      <w:r w:rsidR="002922EE">
        <w:rPr>
          <w:rFonts w:ascii="Arial" w:hAnsi="Arial" w:cs="Arial" w:hint="cs"/>
          <w:rtl/>
        </w:rPr>
        <w:t>﴿</w:t>
      </w:r>
      <w:r w:rsidR="002922EE" w:rsidRPr="002922EE">
        <w:rPr>
          <w:rFonts w:hint="cs"/>
          <w:color w:val="008000"/>
          <w:rtl/>
        </w:rPr>
        <w:t>لاَ يَقْدِرُ عَلَى شَيْ‌ءٍ</w:t>
      </w:r>
      <w:r w:rsidR="002922EE" w:rsidRPr="002922EE">
        <w:rPr>
          <w:rFonts w:ascii="Arial" w:hAnsi="Arial" w:cs="Arial" w:hint="cs"/>
          <w:color w:val="008000"/>
          <w:rtl/>
        </w:rPr>
        <w:t>﴾</w:t>
      </w:r>
      <w:r w:rsidR="002922EE">
        <w:rPr>
          <w:rFonts w:ascii="Arial" w:hAnsi="Arial" w:cs="Arial" w:hint="cs"/>
          <w:color w:val="008000"/>
          <w:rtl/>
        </w:rPr>
        <w:t xml:space="preserve"> </w:t>
      </w:r>
      <w:r w:rsidR="002922EE" w:rsidRPr="002922EE">
        <w:rPr>
          <w:rFonts w:hint="cs"/>
          <w:rtl/>
        </w:rPr>
        <w:t>می باشد</w:t>
      </w:r>
      <w:r w:rsidR="002922EE">
        <w:rPr>
          <w:rFonts w:hint="cs"/>
          <w:rtl/>
        </w:rPr>
        <w:t>. یعنی عبد به جهت مملوکیتش، قادر بر چیزی نیست.</w:t>
      </w:r>
    </w:p>
    <w:p w:rsidR="00746AA3" w:rsidRDefault="00443DBC" w:rsidP="00443DBC">
      <w:pPr>
        <w:jc w:val="both"/>
        <w:rPr>
          <w:rtl/>
        </w:rPr>
      </w:pPr>
      <w:r>
        <w:rPr>
          <w:rFonts w:hint="cs"/>
          <w:rtl/>
        </w:rPr>
        <w:t xml:space="preserve">در این صورت </w:t>
      </w:r>
      <w:r>
        <w:rPr>
          <w:rFonts w:ascii="Arial" w:hAnsi="Arial" w:cs="Arial" w:hint="cs"/>
          <w:rtl/>
        </w:rPr>
        <w:t>﴿</w:t>
      </w:r>
      <w:r w:rsidRPr="002922EE">
        <w:rPr>
          <w:rFonts w:hint="cs"/>
          <w:color w:val="008000"/>
          <w:rtl/>
        </w:rPr>
        <w:t>لاَ يَقْدِرُ عَلَى شَيْ‌ءٍ</w:t>
      </w:r>
      <w:r w:rsidRPr="002922EE">
        <w:rPr>
          <w:rFonts w:ascii="Arial" w:hAnsi="Arial" w:cs="Arial" w:hint="cs"/>
          <w:color w:val="008000"/>
          <w:rtl/>
        </w:rPr>
        <w:t>﴾</w:t>
      </w:r>
      <w:r>
        <w:rPr>
          <w:rFonts w:hint="cs"/>
          <w:rtl/>
        </w:rPr>
        <w:t xml:space="preserve"> از باب عمومیت</w:t>
      </w:r>
      <w:r w:rsidR="006C7D38">
        <w:rPr>
          <w:rFonts w:hint="cs"/>
          <w:rtl/>
        </w:rPr>
        <w:t xml:space="preserve"> و نه از باب اطلاق،</w:t>
      </w:r>
      <w:r>
        <w:rPr>
          <w:rFonts w:hint="cs"/>
          <w:rtl/>
        </w:rPr>
        <w:t xml:space="preserve"> قدرت عبد بر تمام امور تشریعی را نفی می کند.</w:t>
      </w:r>
    </w:p>
    <w:p w:rsidR="00746AA3" w:rsidRDefault="00C330D4" w:rsidP="007905C6">
      <w:pPr>
        <w:pStyle w:val="Heading1"/>
        <w:rPr>
          <w:rtl/>
        </w:rPr>
      </w:pPr>
      <w:bookmarkStart w:id="8" w:name="_Toc21398922"/>
      <w:bookmarkStart w:id="9" w:name="_Toc21398951"/>
      <w:bookmarkStart w:id="10" w:name="_Toc21399241"/>
      <w:bookmarkStart w:id="11" w:name="_Toc21400013"/>
      <w:r>
        <w:rPr>
          <w:rFonts w:hint="cs"/>
          <w:rtl/>
        </w:rPr>
        <w:t>مساله</w:t>
      </w:r>
      <w:r w:rsidR="007905C6">
        <w:rPr>
          <w:rFonts w:hint="eastAsia"/>
          <w:rtl/>
        </w:rPr>
        <w:t>‌</w:t>
      </w:r>
      <w:r w:rsidR="007905C6">
        <w:rPr>
          <w:rFonts w:hint="cs"/>
          <w:rtl/>
        </w:rPr>
        <w:t>ی</w:t>
      </w:r>
      <w:r>
        <w:rPr>
          <w:rFonts w:hint="cs"/>
          <w:rtl/>
        </w:rPr>
        <w:t xml:space="preserve"> اول عروه در کتاب العدد</w:t>
      </w:r>
      <w:bookmarkEnd w:id="8"/>
      <w:bookmarkEnd w:id="9"/>
      <w:bookmarkEnd w:id="10"/>
      <w:bookmarkEnd w:id="11"/>
    </w:p>
    <w:p w:rsidR="00C330D4" w:rsidRPr="006C72DF" w:rsidRDefault="00C330D4" w:rsidP="00C330D4">
      <w:pPr>
        <w:jc w:val="both"/>
        <w:rPr>
          <w:color w:val="000080"/>
        </w:rPr>
      </w:pPr>
      <w:r w:rsidRPr="006C72DF">
        <w:rPr>
          <w:rFonts w:hint="cs"/>
          <w:color w:val="000080"/>
          <w:rtl/>
        </w:rPr>
        <w:t>مسألة 1: لا عدة على من لم يدخل بها قبلا و لا دبرا، فيما عدا المتوفى عنها زوجها</w:t>
      </w:r>
      <w:r w:rsidRPr="006C72DF">
        <w:rPr>
          <w:rFonts w:hint="cs"/>
          <w:color w:val="000080"/>
        </w:rPr>
        <w:t>‌</w:t>
      </w:r>
    </w:p>
    <w:p w:rsidR="00C330D4" w:rsidRPr="006C72DF" w:rsidRDefault="00C330D4" w:rsidP="00C330D4">
      <w:pPr>
        <w:jc w:val="both"/>
        <w:rPr>
          <w:color w:val="000080"/>
          <w:rtl/>
        </w:rPr>
      </w:pPr>
      <w:r w:rsidRPr="006C72DF">
        <w:rPr>
          <w:rFonts w:hint="cs"/>
          <w:color w:val="000080"/>
          <w:rtl/>
        </w:rPr>
        <w:t>فإنها تجب في الوفاة مطلقا و لو مع عدم الدخول، صغيرة كانت الزوجة، أو كبيرة، يائسة أو غيرها، فلا تجب في غير الوفاة بالخلوة مع عدم الوطء، نعم إذا سبق ماؤه من غير وطء بالمساحقة أو بالإنزال فالظاهر وجوب العدة، سواء حملت أو</w:t>
      </w:r>
      <w:r w:rsidR="00E20987">
        <w:rPr>
          <w:rFonts w:hint="cs"/>
          <w:color w:val="000080"/>
          <w:rtl/>
        </w:rPr>
        <w:t xml:space="preserve"> </w:t>
      </w:r>
      <w:r w:rsidRPr="006C72DF">
        <w:rPr>
          <w:rFonts w:hint="cs"/>
          <w:color w:val="000080"/>
          <w:rtl/>
        </w:rPr>
        <w:t>لا، فالموجب لها أحد الأمرين من الدخول و لو مع عدم الانزال و دخول مائه من غير وطء، إذ في بعض الأخبار أنّ العدّة من الماء، و لا فرق في الدخول بين القبل و الدبر، و لا بين كونه في حال اليقظة أو النوم، حتى لو كان المدخل هي المرأة من غير شعور الرجل، و كذا لا فرق بين الكبير و الصغير و الفحل و الخصي إذا تحقق منه الإيلاج و لو بالعلاج، و لا يكفى الالتذاذ من غير دخول، و صحيح أبي عبيدة محمول علي الاستحباب أو علي صورة إدخال مقدار الحشفة، كما أنّ صحيحة ابن أبى نصر في الخصي النافية للعدة مع الدخول منزّلة على إرادة الخلوة و لو اختلفا في الدخول و عدمه يقدم قول نافيه.</w:t>
      </w:r>
      <w:r w:rsidR="00E20987">
        <w:rPr>
          <w:rStyle w:val="FootnoteReference"/>
          <w:color w:val="000080"/>
          <w:rtl/>
        </w:rPr>
        <w:footnoteReference w:id="3"/>
      </w:r>
    </w:p>
    <w:p w:rsidR="007B540E" w:rsidRDefault="00E15A50" w:rsidP="007905C6">
      <w:pPr>
        <w:jc w:val="both"/>
        <w:rPr>
          <w:rtl/>
        </w:rPr>
      </w:pPr>
      <w:r w:rsidRPr="00851BD8">
        <w:rPr>
          <w:rFonts w:hint="cs"/>
          <w:color w:val="0000FF"/>
          <w:rtl/>
        </w:rPr>
        <w:t>«</w:t>
      </w:r>
      <w:r w:rsidRPr="00E15A50">
        <w:rPr>
          <w:rFonts w:hint="cs"/>
          <w:color w:val="000080"/>
          <w:rtl/>
        </w:rPr>
        <w:t>سواء</w:t>
      </w:r>
      <w:r w:rsidRPr="00E15A50">
        <w:rPr>
          <w:color w:val="000080"/>
          <w:rtl/>
        </w:rPr>
        <w:t xml:space="preserve"> </w:t>
      </w:r>
      <w:r w:rsidRPr="00E15A50">
        <w:rPr>
          <w:rFonts w:hint="cs"/>
          <w:color w:val="000080"/>
          <w:rtl/>
        </w:rPr>
        <w:t>حملت</w:t>
      </w:r>
      <w:r w:rsidRPr="00E15A50">
        <w:rPr>
          <w:color w:val="000080"/>
          <w:rtl/>
        </w:rPr>
        <w:t xml:space="preserve"> </w:t>
      </w:r>
      <w:r w:rsidRPr="00E15A50">
        <w:rPr>
          <w:rFonts w:hint="cs"/>
          <w:color w:val="000080"/>
          <w:rtl/>
        </w:rPr>
        <w:t>أو لا</w:t>
      </w:r>
      <w:r w:rsidRPr="00851BD8">
        <w:rPr>
          <w:rFonts w:hint="cs"/>
          <w:color w:val="0000FF"/>
          <w:rtl/>
        </w:rPr>
        <w:t>»</w:t>
      </w:r>
      <w:r>
        <w:rPr>
          <w:rFonts w:hint="cs"/>
          <w:rtl/>
        </w:rPr>
        <w:t xml:space="preserve"> اشاره به کلام مر</w:t>
      </w:r>
      <w:r w:rsidR="007B540E">
        <w:rPr>
          <w:rFonts w:hint="cs"/>
          <w:rtl/>
        </w:rPr>
        <w:t>حوم شهید ثانی در مسالک می باشد.</w:t>
      </w:r>
    </w:p>
    <w:p w:rsidR="00E15A50" w:rsidRDefault="00E15A50" w:rsidP="007905C6">
      <w:pPr>
        <w:jc w:val="both"/>
        <w:rPr>
          <w:rtl/>
        </w:rPr>
      </w:pPr>
      <w:r>
        <w:rPr>
          <w:rFonts w:hint="cs"/>
          <w:rtl/>
        </w:rPr>
        <w:t>شهید ثانی در مسالک می فرماید: ظاهر اصحاب این است که نفس دخول ماء موجب عده نمی شود مگر در مورد حامل که موجب عده می شود.</w:t>
      </w:r>
    </w:p>
    <w:p w:rsidR="00746AA3" w:rsidRDefault="00E15A50" w:rsidP="00572592">
      <w:pPr>
        <w:jc w:val="both"/>
        <w:rPr>
          <w:rtl/>
        </w:rPr>
      </w:pPr>
      <w:r>
        <w:rPr>
          <w:rFonts w:hint="cs"/>
          <w:rtl/>
        </w:rPr>
        <w:t>این</w:t>
      </w:r>
      <w:r w:rsidR="0021300E">
        <w:rPr>
          <w:rFonts w:hint="cs"/>
          <w:rtl/>
        </w:rPr>
        <w:t xml:space="preserve"> </w:t>
      </w:r>
      <w:r>
        <w:rPr>
          <w:rFonts w:hint="cs"/>
          <w:rtl/>
        </w:rPr>
        <w:t>که فرموده: «</w:t>
      </w:r>
      <w:r w:rsidRPr="006C72DF">
        <w:rPr>
          <w:rFonts w:hint="cs"/>
          <w:color w:val="000080"/>
          <w:rtl/>
        </w:rPr>
        <w:t>و لا فرق في الدخول بين القبل و الدبر</w:t>
      </w:r>
      <w:r>
        <w:rPr>
          <w:rFonts w:hint="cs"/>
          <w:color w:val="000080"/>
          <w:rtl/>
        </w:rPr>
        <w:t xml:space="preserve">» </w:t>
      </w:r>
      <w:r w:rsidRPr="00E15A50">
        <w:rPr>
          <w:rFonts w:hint="cs"/>
          <w:rtl/>
        </w:rPr>
        <w:t>به خاطر تمسک به اطلاق است</w:t>
      </w:r>
      <w:r>
        <w:rPr>
          <w:rFonts w:hint="cs"/>
          <w:rtl/>
        </w:rPr>
        <w:t>.</w:t>
      </w:r>
    </w:p>
    <w:p w:rsidR="00E15A50" w:rsidRDefault="00E15A50" w:rsidP="00664C4A">
      <w:pPr>
        <w:jc w:val="both"/>
        <w:rPr>
          <w:rtl/>
        </w:rPr>
      </w:pPr>
      <w:r>
        <w:rPr>
          <w:rFonts w:hint="cs"/>
          <w:rtl/>
        </w:rPr>
        <w:t>البته التقاء ختانین فقط مربوط به قبل است.</w:t>
      </w:r>
      <w:r w:rsidR="0060438D">
        <w:rPr>
          <w:rFonts w:hint="cs"/>
          <w:rtl/>
        </w:rPr>
        <w:t xml:space="preserve"> اما در مقام بیان این نیست که فقط در موارد التقاء ختانین، غسل واجب می شود.</w:t>
      </w:r>
      <w:r w:rsidR="006C4EEE">
        <w:rPr>
          <w:rFonts w:hint="cs"/>
          <w:rtl/>
        </w:rPr>
        <w:t xml:space="preserve"> </w:t>
      </w:r>
      <w:r w:rsidR="00664C4A">
        <w:rPr>
          <w:rFonts w:hint="cs"/>
          <w:rtl/>
        </w:rPr>
        <w:t xml:space="preserve">یعنی </w:t>
      </w:r>
      <w:r w:rsidR="006C4EEE">
        <w:rPr>
          <w:rFonts w:hint="cs"/>
          <w:rtl/>
        </w:rPr>
        <w:t>در مقام بیان موردی که ختانین نیست و وطی در دبر است، نمی باشد و در مورد حکم آن ساکت است.</w:t>
      </w:r>
      <w:r w:rsidR="00664C4A" w:rsidRPr="00664C4A">
        <w:rPr>
          <w:rFonts w:hint="cs"/>
          <w:rtl/>
        </w:rPr>
        <w:t xml:space="preserve"> </w:t>
      </w:r>
      <w:r w:rsidR="00664C4A">
        <w:rPr>
          <w:rFonts w:hint="cs"/>
          <w:rtl/>
        </w:rPr>
        <w:t>بلکه بیان می کند که دخول در قبل تا وقتی که به حد التقاء ختانین نرسیده باشد موجب غسل نمی شود.</w:t>
      </w:r>
    </w:p>
    <w:p w:rsidR="00350C1E" w:rsidRPr="00E15A50" w:rsidRDefault="00350C1E" w:rsidP="00664C4A">
      <w:pPr>
        <w:jc w:val="both"/>
        <w:rPr>
          <w:rtl/>
        </w:rPr>
      </w:pPr>
      <w:r>
        <w:rPr>
          <w:rFonts w:hint="cs"/>
          <w:rtl/>
        </w:rPr>
        <w:t>مانند این</w:t>
      </w:r>
      <w:r w:rsidR="0021300E">
        <w:rPr>
          <w:rFonts w:hint="cs"/>
          <w:rtl/>
        </w:rPr>
        <w:t xml:space="preserve"> </w:t>
      </w:r>
      <w:r>
        <w:rPr>
          <w:rFonts w:hint="cs"/>
          <w:rtl/>
        </w:rPr>
        <w:t>که بگوییم: «اذا جاء زید</w:t>
      </w:r>
      <w:r w:rsidR="007B540E">
        <w:rPr>
          <w:rFonts w:hint="cs"/>
          <w:rtl/>
        </w:rPr>
        <w:t xml:space="preserve"> فاکرمه» مفهوم</w:t>
      </w:r>
      <w:r>
        <w:rPr>
          <w:rFonts w:hint="cs"/>
          <w:rtl/>
        </w:rPr>
        <w:t xml:space="preserve"> این عبارت این نیست که </w:t>
      </w:r>
      <w:r w:rsidR="00C21538">
        <w:rPr>
          <w:rFonts w:hint="cs"/>
          <w:rtl/>
        </w:rPr>
        <w:t xml:space="preserve">در صورت نیامدن زید، </w:t>
      </w:r>
      <w:r>
        <w:rPr>
          <w:rFonts w:hint="cs"/>
          <w:rtl/>
        </w:rPr>
        <w:t>هیچ وجوب اکرامی برای هیچ کس نیست.</w:t>
      </w:r>
    </w:p>
    <w:p w:rsidR="00746AA3" w:rsidRDefault="006C4EEE" w:rsidP="00572592">
      <w:pPr>
        <w:jc w:val="both"/>
        <w:rPr>
          <w:rtl/>
        </w:rPr>
      </w:pPr>
      <w:r>
        <w:rPr>
          <w:rFonts w:hint="cs"/>
          <w:rtl/>
        </w:rPr>
        <w:t>مراد از التقاء ختانین هم مماسه نیست بلکه محازات است.</w:t>
      </w:r>
    </w:p>
    <w:p w:rsidR="006C4EEE" w:rsidRPr="00ED016B" w:rsidRDefault="00ED016B" w:rsidP="00572592">
      <w:pPr>
        <w:jc w:val="both"/>
        <w:rPr>
          <w:rtl/>
        </w:rPr>
      </w:pPr>
      <w:r>
        <w:rPr>
          <w:rFonts w:hint="cs"/>
          <w:rtl/>
        </w:rPr>
        <w:t>در عبارت «</w:t>
      </w:r>
      <w:r w:rsidRPr="006C72DF">
        <w:rPr>
          <w:rFonts w:hint="cs"/>
          <w:color w:val="000080"/>
          <w:rtl/>
        </w:rPr>
        <w:t>الفحل و الخصي إذا تحقق منه الإيلاج و لو بالعلاج</w:t>
      </w:r>
      <w:r>
        <w:rPr>
          <w:rFonts w:hint="cs"/>
          <w:color w:val="000080"/>
          <w:rtl/>
        </w:rPr>
        <w:t xml:space="preserve">» </w:t>
      </w:r>
      <w:r w:rsidRPr="00ED016B">
        <w:rPr>
          <w:rFonts w:hint="cs"/>
          <w:rtl/>
        </w:rPr>
        <w:t>فحل در مقابل خصی می باشد.</w:t>
      </w:r>
    </w:p>
    <w:p w:rsidR="006C4EEE" w:rsidRDefault="0026206F" w:rsidP="00572592">
      <w:pPr>
        <w:jc w:val="both"/>
        <w:rPr>
          <w:rtl/>
        </w:rPr>
      </w:pPr>
      <w:r>
        <w:rPr>
          <w:rFonts w:hint="cs"/>
          <w:rtl/>
        </w:rPr>
        <w:t>در مورد خصی قبلا گفته بودیم که به واسطه‌ی خلوت تمام مهر مستقر می شود.</w:t>
      </w:r>
    </w:p>
    <w:p w:rsidR="0026206F" w:rsidRDefault="0026206F" w:rsidP="00572592">
      <w:pPr>
        <w:jc w:val="both"/>
        <w:rPr>
          <w:rtl/>
        </w:rPr>
      </w:pPr>
      <w:r>
        <w:rPr>
          <w:rFonts w:hint="cs"/>
          <w:rtl/>
        </w:rPr>
        <w:t>این</w:t>
      </w:r>
      <w:r w:rsidR="00AE498C">
        <w:rPr>
          <w:rFonts w:hint="cs"/>
          <w:rtl/>
        </w:rPr>
        <w:t xml:space="preserve"> </w:t>
      </w:r>
      <w:r>
        <w:rPr>
          <w:rFonts w:hint="cs"/>
          <w:rtl/>
        </w:rPr>
        <w:t>جا بحث در عده است که در مورد خصی هم فقط به واسطه‌ی دخول، عده ثابت می شود و به صرف خلوت، عده ثابت نمی شود.</w:t>
      </w:r>
    </w:p>
    <w:p w:rsidR="007905C6" w:rsidRDefault="000B1025" w:rsidP="007905C6">
      <w:pPr>
        <w:jc w:val="both"/>
        <w:rPr>
          <w:rtl/>
        </w:rPr>
      </w:pPr>
      <w:r>
        <w:rPr>
          <w:rFonts w:hint="cs"/>
          <w:rtl/>
        </w:rPr>
        <w:t>صحیحه‌ی ابن ابی نصر هم این مطلب را بیان می کند که در مورد خصی به صرف خلوت، عده ثابت نمی شود اما تمام مهر استقرار می یابد.</w:t>
      </w:r>
    </w:p>
    <w:p w:rsidR="007905C6" w:rsidRDefault="007905C6" w:rsidP="007905C6">
      <w:pPr>
        <w:pStyle w:val="Heading2"/>
        <w:rPr>
          <w:rtl/>
        </w:rPr>
      </w:pPr>
      <w:bookmarkStart w:id="12" w:name="_Toc21400014"/>
      <w:r>
        <w:rPr>
          <w:rFonts w:hint="cs"/>
          <w:rtl/>
        </w:rPr>
        <w:t>صحیحه‌ی ابن ابی نصر</w:t>
      </w:r>
      <w:bookmarkEnd w:id="12"/>
    </w:p>
    <w:p w:rsidR="007905C6" w:rsidRPr="007905C6" w:rsidRDefault="007905C6" w:rsidP="007905C6">
      <w:pPr>
        <w:jc w:val="both"/>
        <w:rPr>
          <w:color w:val="008000"/>
          <w:rtl/>
        </w:rPr>
      </w:pPr>
      <w:r w:rsidRPr="00FE509A">
        <w:rPr>
          <w:rFonts w:hint="cs"/>
          <w:rtl/>
        </w:rPr>
        <w:t xml:space="preserve">عَنْهُ عَنْ أَحْمَدَ بْنِ أَبِي نَصْرٍ قَالَ: </w:t>
      </w:r>
      <w:r w:rsidRPr="00FE509A">
        <w:rPr>
          <w:rFonts w:hint="cs"/>
          <w:color w:val="008000"/>
          <w:rtl/>
        </w:rPr>
        <w:t>سَأَلْتُ الرِّضَا ع عَنْ خَصِيٍّ تَزَوَّجَ امْرَأَةً عَلَى أَلْفِ دِرْهَمٍ ثُمَّ طَلَّقَهَا بَعْدَ مَا دَخَلَ بِهَا قَالَ لَهَا الْأَلْفُ الَّذِي أَخَذَتْ مِنْهُ وَ لَا عِدَّةَ عَلَيْهَا.</w:t>
      </w:r>
      <w:r>
        <w:rPr>
          <w:rStyle w:val="FootnoteReference"/>
          <w:color w:val="008000"/>
          <w:rtl/>
        </w:rPr>
        <w:footnoteReference w:id="4"/>
      </w:r>
    </w:p>
    <w:p w:rsidR="00746AA3" w:rsidRDefault="00E23F4B" w:rsidP="00572592">
      <w:pPr>
        <w:jc w:val="both"/>
        <w:rPr>
          <w:rtl/>
        </w:rPr>
      </w:pPr>
      <w:r>
        <w:rPr>
          <w:rFonts w:hint="cs"/>
          <w:color w:val="000080"/>
          <w:rtl/>
        </w:rPr>
        <w:t>«</w:t>
      </w:r>
      <w:r w:rsidRPr="006C72DF">
        <w:rPr>
          <w:rFonts w:hint="cs"/>
          <w:color w:val="000080"/>
          <w:rtl/>
        </w:rPr>
        <w:t>و لا يكفى الالتذاذ من غير دخول، و صحيح أبي عبيدة محمول علي الاستحباب أو علي صورة إدخال مقدار الحشفة</w:t>
      </w:r>
      <w:r>
        <w:rPr>
          <w:rFonts w:hint="cs"/>
          <w:color w:val="000080"/>
          <w:rtl/>
        </w:rPr>
        <w:t>»</w:t>
      </w:r>
    </w:p>
    <w:p w:rsidR="005633BC" w:rsidRDefault="00282863" w:rsidP="00572592">
      <w:pPr>
        <w:jc w:val="both"/>
        <w:rPr>
          <w:rtl/>
        </w:rPr>
      </w:pPr>
      <w:r>
        <w:rPr>
          <w:rFonts w:hint="cs"/>
          <w:rtl/>
        </w:rPr>
        <w:t xml:space="preserve">مرحوم سید می فرماید: التذاذ بدون دخول سبب وجوب عده نمی </w:t>
      </w:r>
      <w:r w:rsidR="00FB6177">
        <w:rPr>
          <w:rFonts w:hint="cs"/>
          <w:rtl/>
        </w:rPr>
        <w:t>شود و صحیحه‌ی ابی عبیده که به صرف التذاذ عده را ثابت کرده است، حمل بر استحباب می شود و یا حمل بر صورتی می شود که به مقدار حشفه دخول شده باشد.</w:t>
      </w:r>
    </w:p>
    <w:p w:rsidR="007905C6" w:rsidRDefault="007905C6" w:rsidP="007905C6">
      <w:pPr>
        <w:pStyle w:val="Heading2"/>
        <w:rPr>
          <w:rtl/>
        </w:rPr>
      </w:pPr>
      <w:bookmarkStart w:id="13" w:name="_Toc21400015"/>
      <w:r>
        <w:rPr>
          <w:rFonts w:hint="cs"/>
          <w:rtl/>
        </w:rPr>
        <w:t>صحیحه‌ی ابی عبیده</w:t>
      </w:r>
      <w:bookmarkEnd w:id="13"/>
    </w:p>
    <w:p w:rsidR="00A16DCE" w:rsidRPr="00A16DCE" w:rsidRDefault="00A16DCE" w:rsidP="00A16DCE">
      <w:pPr>
        <w:jc w:val="both"/>
        <w:rPr>
          <w:color w:val="008000"/>
        </w:rPr>
      </w:pPr>
      <w:r w:rsidRPr="00A16DCE">
        <w:rPr>
          <w:rFonts w:hint="cs"/>
          <w:rtl/>
        </w:rPr>
        <w:t xml:space="preserve">مُحَمَّدُ بْنُ يَحْيَى عَنْ أَحْمَدَ بْنِ مُحَمَّدٍ وَ عَلِيُّ بْنُ إِبْرَاهِيمَ عَنْ أَبِيهِ جَمِيعاً عَنِ ابْنِ مَحْبُوبٍ عَنْ جَمِيلِ بْنِ صَالِحٍ عَنْ أَبِي عُبَيْدَةَ قَالَ: </w:t>
      </w:r>
      <w:r w:rsidRPr="00A16DCE">
        <w:rPr>
          <w:rFonts w:hint="cs"/>
          <w:color w:val="008000"/>
          <w:rtl/>
        </w:rPr>
        <w:t>سُئِلَ أَبُو جَعْفَرٍ ع عَنْ خَصِيٍّ تَزَوَّجَ امْرَأَةً وَ فَرَضَ لَهَا صَدَاقاً وَ هِيَ تَعْلَمُ أَنَّهُ خَصِيٌّ فَقَالَ جَائِزٌ فَقِيلَ إِنَّهُ مَكَثَ مَعَهَا مَا شَاءَ اللَّهُ ثُمَّ طَلَّقَهَا هَلْ عَلَيْهَا عِدَّةٌ قَالَ نَعَمْ أَ لَيْسَ قَدْ لَذَّ مِنْهَا وَ لَذَّتْ مِنْهُ قِيلَ لَهُ فَهَلْ كَانَ عَلَيْهَا فِيمَا كَانَ يَكُونُ مِنْهُ وَ مِنْهَا غُسْلٌ قَالَ فَقَالَ إِنْ كَانَتْ إِذَا كَانَ ذَلِكَ مِنْهُ أَمْنَتْ فَإِنَّ عَلَيْهَا غُسْلًا قِيلَ لَهُ فَلَهُ أَنْ يَرْجِعَ عَلَيْهَا بِشَيْ‏ءٍ مِنْ صَدَاقِهَا إِذَا طَلَّقَهَا فَقَالَ لَا.</w:t>
      </w:r>
      <w:r>
        <w:rPr>
          <w:rStyle w:val="FootnoteReference"/>
          <w:color w:val="008000"/>
          <w:rtl/>
        </w:rPr>
        <w:footnoteReference w:id="5"/>
      </w:r>
    </w:p>
    <w:p w:rsidR="005633BC" w:rsidRDefault="00C669CA" w:rsidP="00572592">
      <w:pPr>
        <w:jc w:val="both"/>
        <w:rPr>
          <w:rtl/>
        </w:rPr>
      </w:pPr>
      <w:r>
        <w:rPr>
          <w:rFonts w:hint="cs"/>
          <w:rtl/>
        </w:rPr>
        <w:t>حمل دوم مرحوم سید به قرینه‌ی ذیل روایت صحیح نمی باشد.</w:t>
      </w:r>
    </w:p>
    <w:p w:rsidR="005633BC" w:rsidRDefault="005A446C" w:rsidP="00572592">
      <w:pPr>
        <w:jc w:val="both"/>
        <w:rPr>
          <w:rtl/>
        </w:rPr>
      </w:pPr>
      <w:r>
        <w:rPr>
          <w:rFonts w:hint="cs"/>
          <w:rtl/>
        </w:rPr>
        <w:t xml:space="preserve">در ذیل روایت امام علیه السلام فرموده است: </w:t>
      </w:r>
      <w:r w:rsidR="00722E88">
        <w:rPr>
          <w:rFonts w:hint="cs"/>
          <w:rtl/>
        </w:rPr>
        <w:t>اگر امناء برای زن حاصل شود، غسل واجب است و در غیر امناء غسل واجب نیست.</w:t>
      </w:r>
    </w:p>
    <w:p w:rsidR="0018259A" w:rsidRDefault="0018259A" w:rsidP="00572592">
      <w:pPr>
        <w:jc w:val="both"/>
        <w:rPr>
          <w:rtl/>
        </w:rPr>
      </w:pPr>
      <w:r>
        <w:rPr>
          <w:rFonts w:hint="cs"/>
          <w:rtl/>
        </w:rPr>
        <w:t>اگر دخول به مقدار حشفه باشد، امناء شرط نیست.</w:t>
      </w:r>
      <w:r w:rsidR="007905C6">
        <w:rPr>
          <w:rFonts w:hint="cs"/>
          <w:rtl/>
        </w:rPr>
        <w:t xml:space="preserve"> مشخص می شود</w:t>
      </w:r>
      <w:r w:rsidR="001713F2">
        <w:rPr>
          <w:rFonts w:hint="cs"/>
          <w:rtl/>
        </w:rPr>
        <w:t xml:space="preserve"> موضوع روایت فرضِ عدم دخول است.</w:t>
      </w:r>
      <w:r w:rsidR="003769AA">
        <w:rPr>
          <w:rFonts w:hint="cs"/>
          <w:rtl/>
        </w:rPr>
        <w:t xml:space="preserve"> پس حمل دوم مرحوم سید صحیح نیست.</w:t>
      </w:r>
    </w:p>
    <w:p w:rsidR="00572592" w:rsidRDefault="00BB6AC6" w:rsidP="00C70238">
      <w:pPr>
        <w:jc w:val="both"/>
        <w:rPr>
          <w:rtl/>
        </w:rPr>
      </w:pPr>
      <w:r>
        <w:rPr>
          <w:rFonts w:hint="cs"/>
          <w:rtl/>
        </w:rPr>
        <w:t xml:space="preserve">این روایت به صرف التذاذ </w:t>
      </w:r>
      <w:r w:rsidR="00C70238">
        <w:rPr>
          <w:rFonts w:hint="cs"/>
          <w:rtl/>
        </w:rPr>
        <w:t xml:space="preserve">و عدم دخول، </w:t>
      </w:r>
      <w:r>
        <w:rPr>
          <w:rFonts w:hint="cs"/>
          <w:rtl/>
        </w:rPr>
        <w:t>عده را برای خصی ثابت کرده است اما سایر روایات دخول را شرط وجوب عده بیان کرده اند.</w:t>
      </w:r>
    </w:p>
    <w:p w:rsidR="0031066B" w:rsidRDefault="0031066B" w:rsidP="006162A2">
      <w:pPr>
        <w:rPr>
          <w:rtl/>
        </w:rPr>
      </w:pPr>
      <w:r>
        <w:rPr>
          <w:rFonts w:hint="cs"/>
          <w:rtl/>
        </w:rPr>
        <w:t>مرحوم آقای خویی در این گونه موارد می فرماید: جمع عرفی نداریم؛ زیرا دو روایت با هم تناقض دارند.</w:t>
      </w:r>
      <w:r w:rsidR="005F5E63">
        <w:rPr>
          <w:rFonts w:hint="cs"/>
          <w:rtl/>
        </w:rPr>
        <w:t xml:space="preserve"> اگر دو روایت با هم تناقض نداشته باشند، جمع عرفی خواهند داشت.</w:t>
      </w:r>
      <w:r w:rsidR="0096637B">
        <w:rPr>
          <w:rFonts w:hint="cs"/>
          <w:rtl/>
        </w:rPr>
        <w:t xml:space="preserve"> مرحوم نائینی هم این ملاک را بیان کرده است.</w:t>
      </w:r>
    </w:p>
    <w:p w:rsidR="0086218C" w:rsidRDefault="0086218C" w:rsidP="004112FD">
      <w:pPr>
        <w:tabs>
          <w:tab w:val="left" w:pos="2843"/>
        </w:tabs>
        <w:rPr>
          <w:rtl/>
        </w:rPr>
      </w:pPr>
      <w:r>
        <w:rPr>
          <w:rFonts w:hint="cs"/>
          <w:rtl/>
        </w:rPr>
        <w:t>این ملاک، ملاک تامی نیست.</w:t>
      </w:r>
    </w:p>
    <w:p w:rsidR="00CA3424" w:rsidRDefault="004112FD" w:rsidP="004B38F3">
      <w:pPr>
        <w:tabs>
          <w:tab w:val="left" w:pos="2843"/>
        </w:tabs>
        <w:jc w:val="both"/>
        <w:rPr>
          <w:rtl/>
        </w:rPr>
      </w:pPr>
      <w:r>
        <w:rPr>
          <w:rFonts w:hint="cs"/>
          <w:rtl/>
        </w:rPr>
        <w:t>ملاک عقلایی در وجوب عده، بحث اختلاط میاه است. استبعاد عقلایی در ثبوت عده در غیر موارد اختلاط میاه باعث می شود ظهور دلیل</w:t>
      </w:r>
      <w:r w:rsidR="004B38F3">
        <w:rPr>
          <w:rFonts w:hint="cs"/>
          <w:rtl/>
        </w:rPr>
        <w:t xml:space="preserve"> وجوب عده در فرض التذاذ و عدم دخول،</w:t>
      </w:r>
      <w:r>
        <w:rPr>
          <w:rFonts w:hint="cs"/>
          <w:rtl/>
        </w:rPr>
        <w:t xml:space="preserve"> ضعیف شود.</w:t>
      </w:r>
    </w:p>
    <w:p w:rsidR="00DB336C" w:rsidRDefault="00DB336C" w:rsidP="004B38F3">
      <w:pPr>
        <w:tabs>
          <w:tab w:val="left" w:pos="2843"/>
        </w:tabs>
        <w:jc w:val="both"/>
        <w:rPr>
          <w:rtl/>
        </w:rPr>
      </w:pPr>
      <w:r>
        <w:rPr>
          <w:rFonts w:hint="cs"/>
          <w:rtl/>
        </w:rPr>
        <w:t>در عده‌ی و</w:t>
      </w:r>
      <w:r w:rsidR="004B38F3">
        <w:rPr>
          <w:rFonts w:hint="cs"/>
          <w:rtl/>
        </w:rPr>
        <w:t>فات روایاتی که تصریح کرده اند</w:t>
      </w:r>
      <w:r>
        <w:rPr>
          <w:rFonts w:hint="cs"/>
          <w:rtl/>
        </w:rPr>
        <w:t xml:space="preserve"> در صغیره، یائسه و غیر مدخوله هم عده‌ی وفات ثابت می شود، کاشف از این است که نکته‌ی عقلایی دیگری مثل بحث حداد در مورد وفات </w:t>
      </w:r>
      <w:r w:rsidR="00C70238">
        <w:rPr>
          <w:rFonts w:hint="cs"/>
          <w:rtl/>
        </w:rPr>
        <w:t>وجود دارد</w:t>
      </w:r>
      <w:r>
        <w:rPr>
          <w:rFonts w:hint="cs"/>
          <w:rtl/>
        </w:rPr>
        <w:t>.</w:t>
      </w:r>
    </w:p>
    <w:p w:rsidR="00DB336C" w:rsidRDefault="00DB336C" w:rsidP="004B38F3">
      <w:pPr>
        <w:tabs>
          <w:tab w:val="left" w:pos="2843"/>
        </w:tabs>
        <w:jc w:val="both"/>
        <w:rPr>
          <w:rtl/>
        </w:rPr>
      </w:pPr>
      <w:r>
        <w:rPr>
          <w:rFonts w:hint="cs"/>
          <w:rtl/>
        </w:rPr>
        <w:t>اما در مورد خصی اگر نفس</w:t>
      </w:r>
      <w:r w:rsidR="00D3789B">
        <w:rPr>
          <w:rFonts w:hint="cs"/>
          <w:rtl/>
        </w:rPr>
        <w:t xml:space="preserve"> التذاذ بخواهد موجب عده شود، نیازمند دلیل قوی است. این نکات عقلایی باعث می شود</w:t>
      </w:r>
      <w:r w:rsidR="00317C9B">
        <w:rPr>
          <w:rFonts w:hint="cs"/>
          <w:rtl/>
        </w:rPr>
        <w:t xml:space="preserve">، ظهور دلیل در </w:t>
      </w:r>
      <w:r w:rsidR="004B38F3">
        <w:rPr>
          <w:rFonts w:hint="cs"/>
          <w:rtl/>
        </w:rPr>
        <w:t>وجوب</w:t>
      </w:r>
      <w:r w:rsidR="00096243">
        <w:rPr>
          <w:rFonts w:hint="cs"/>
          <w:rtl/>
        </w:rPr>
        <w:t xml:space="preserve"> عده برای خصی،</w:t>
      </w:r>
      <w:r w:rsidR="00317C9B">
        <w:rPr>
          <w:rFonts w:hint="cs"/>
          <w:rtl/>
        </w:rPr>
        <w:t xml:space="preserve"> ضعیف شود.</w:t>
      </w:r>
    </w:p>
    <w:p w:rsidR="00EF73CC" w:rsidRDefault="00EF73CC" w:rsidP="004B38F3">
      <w:pPr>
        <w:tabs>
          <w:tab w:val="left" w:pos="2843"/>
        </w:tabs>
        <w:jc w:val="both"/>
        <w:rPr>
          <w:rtl/>
        </w:rPr>
      </w:pPr>
      <w:r>
        <w:rPr>
          <w:rFonts w:hint="cs"/>
          <w:rtl/>
        </w:rPr>
        <w:t>بنابراین در واقع حمل ظاهر بر اظهر اقتضا می کند روایتی که نفی وجوب عده کرده است قرینه شود تا روایت دیگر که ظهور در وجوب دارد، حمل بر استحباب شود.</w:t>
      </w:r>
    </w:p>
    <w:p w:rsidR="00CA3424" w:rsidRDefault="00FE509A" w:rsidP="00FE509A">
      <w:pPr>
        <w:rPr>
          <w:rtl/>
        </w:rPr>
      </w:pPr>
      <w:r w:rsidRPr="006C72DF">
        <w:rPr>
          <w:rFonts w:hint="cs"/>
          <w:color w:val="000080"/>
          <w:rtl/>
        </w:rPr>
        <w:t>كما أنّ صحيحة ابن أبى نصر في الخصي النافية للعدة مع الدخول منزّلة على إرادة الخلوة</w:t>
      </w:r>
    </w:p>
    <w:p w:rsidR="00FE509A" w:rsidRPr="00FE509A" w:rsidRDefault="00FE509A" w:rsidP="00FE509A">
      <w:pPr>
        <w:rPr>
          <w:color w:val="008000"/>
        </w:rPr>
      </w:pPr>
      <w:r w:rsidRPr="00FE509A">
        <w:rPr>
          <w:rFonts w:hint="cs"/>
          <w:rtl/>
        </w:rPr>
        <w:t xml:space="preserve">عَنْهُ عَنْ أَحْمَدَ بْنِ أَبِي نَصْرٍ قَالَ: </w:t>
      </w:r>
      <w:r w:rsidRPr="00FE509A">
        <w:rPr>
          <w:rFonts w:hint="cs"/>
          <w:color w:val="008000"/>
          <w:rtl/>
        </w:rPr>
        <w:t>سَأَلْتُ الرِّضَا ع عَنْ خَصِيٍّ تَزَوَّجَ امْرَأَةً عَلَى أَلْفِ دِرْهَمٍ ثُمَّ طَلَّقَهَا بَعْدَ مَا دَخَلَ بِهَا قَالَ لَهَا الْأَلْفُ الَّذِي أَخَذَتْ مِنْهُ وَ لَا عِدَّةَ عَلَيْهَا.</w:t>
      </w:r>
      <w:r>
        <w:rPr>
          <w:rStyle w:val="FootnoteReference"/>
          <w:color w:val="008000"/>
          <w:rtl/>
        </w:rPr>
        <w:footnoteReference w:id="6"/>
      </w:r>
    </w:p>
    <w:p w:rsidR="00022580" w:rsidRDefault="00C21744" w:rsidP="006162A2">
      <w:pPr>
        <w:rPr>
          <w:color w:val="000080"/>
          <w:rtl/>
        </w:rPr>
      </w:pPr>
      <w:r>
        <w:rPr>
          <w:rFonts w:hint="cs"/>
          <w:rtl/>
        </w:rPr>
        <w:t xml:space="preserve">مرحوم سید می فرماید: </w:t>
      </w:r>
      <w:r w:rsidRPr="006C72DF">
        <w:rPr>
          <w:rFonts w:hint="cs"/>
          <w:color w:val="000080"/>
          <w:rtl/>
        </w:rPr>
        <w:t>منزّلة على إرادة الخلوة</w:t>
      </w:r>
    </w:p>
    <w:p w:rsidR="00C21744" w:rsidRDefault="00C21744" w:rsidP="00C21744">
      <w:pPr>
        <w:rPr>
          <w:rtl/>
        </w:rPr>
      </w:pPr>
      <w:r w:rsidRPr="0002437D">
        <w:rPr>
          <w:rFonts w:hint="cs"/>
          <w:highlight w:val="yellow"/>
          <w:rtl/>
        </w:rPr>
        <w:t>به نظر می رسد</w:t>
      </w:r>
      <w:r w:rsidR="00D33985" w:rsidRPr="0002437D">
        <w:rPr>
          <w:rFonts w:hint="cs"/>
          <w:highlight w:val="yellow"/>
          <w:rtl/>
        </w:rPr>
        <w:t xml:space="preserve"> </w:t>
      </w:r>
      <w:r w:rsidR="00D33985">
        <w:rPr>
          <w:rFonts w:hint="cs"/>
          <w:rtl/>
        </w:rPr>
        <w:t>روایت</w:t>
      </w:r>
      <w:r>
        <w:rPr>
          <w:rFonts w:hint="cs"/>
          <w:rtl/>
        </w:rPr>
        <w:t xml:space="preserve"> ظهور در خلوت دارد نه این</w:t>
      </w:r>
      <w:r w:rsidR="0021300E">
        <w:rPr>
          <w:rFonts w:hint="cs"/>
          <w:rtl/>
        </w:rPr>
        <w:t xml:space="preserve"> </w:t>
      </w:r>
      <w:r>
        <w:rPr>
          <w:rFonts w:hint="cs"/>
          <w:rtl/>
        </w:rPr>
        <w:t>که حمل بر خلوت شود.</w:t>
      </w:r>
    </w:p>
    <w:p w:rsidR="00C21744" w:rsidRDefault="00C21744" w:rsidP="00C21744">
      <w:pPr>
        <w:rPr>
          <w:rtl/>
        </w:rPr>
      </w:pPr>
      <w:r>
        <w:rPr>
          <w:rFonts w:hint="cs"/>
          <w:rtl/>
        </w:rPr>
        <w:t>اگر منظور از «دخل بها»، مباشرت باشد، اصلا توهم نمی شود که عده نداشته باشد.</w:t>
      </w:r>
    </w:p>
    <w:p w:rsidR="0002437D" w:rsidRDefault="00F7474C" w:rsidP="0002437D">
      <w:pPr>
        <w:rPr>
          <w:rtl/>
        </w:rPr>
      </w:pPr>
      <w:r>
        <w:rPr>
          <w:rFonts w:hint="cs"/>
          <w:rtl/>
        </w:rPr>
        <w:t>«دخل بها» در اصل به معنای خلوت با زن است.</w:t>
      </w:r>
    </w:p>
    <w:p w:rsidR="00E60313" w:rsidRDefault="00F7474C" w:rsidP="00E60313">
      <w:pPr>
        <w:jc w:val="both"/>
        <w:rPr>
          <w:rtl/>
        </w:rPr>
      </w:pPr>
      <w:r>
        <w:rPr>
          <w:rFonts w:hint="cs"/>
          <w:rtl/>
        </w:rPr>
        <w:t>در موارد عادی خلوت با زن و مباشرت ملازمه‌ی غالبیه دارند</w:t>
      </w:r>
      <w:r w:rsidR="00D46FC1">
        <w:rPr>
          <w:rFonts w:hint="cs"/>
          <w:rtl/>
        </w:rPr>
        <w:t>؛ به همین دلیل «دخل بها» کنایه از مباشرت است.</w:t>
      </w:r>
    </w:p>
    <w:p w:rsidR="000A3541" w:rsidRDefault="00CC6AB4" w:rsidP="00E60313">
      <w:pPr>
        <w:jc w:val="both"/>
        <w:rPr>
          <w:rtl/>
        </w:rPr>
      </w:pPr>
      <w:r>
        <w:rPr>
          <w:rFonts w:hint="cs"/>
          <w:rtl/>
        </w:rPr>
        <w:t>اما در مورد خصی این ملازمه وجو</w:t>
      </w:r>
      <w:r w:rsidR="000A3541">
        <w:rPr>
          <w:rFonts w:hint="cs"/>
          <w:rtl/>
        </w:rPr>
        <w:t>د ندارد؛ پس کنایه هم مطرح نیست.</w:t>
      </w:r>
    </w:p>
    <w:p w:rsidR="00F7474C" w:rsidRPr="00C21744" w:rsidRDefault="00CC6AB4" w:rsidP="00E60313">
      <w:pPr>
        <w:jc w:val="both"/>
        <w:rPr>
          <w:rtl/>
        </w:rPr>
      </w:pPr>
      <w:r>
        <w:rPr>
          <w:rFonts w:hint="cs"/>
          <w:rtl/>
        </w:rPr>
        <w:t>در نتیجه «دخل بها» به معنای اصلی و لغوی می باشد. یعنی خصی با آن زن خلوت کند.</w:t>
      </w:r>
    </w:p>
    <w:p w:rsidR="00022580" w:rsidRDefault="004B36AE" w:rsidP="00D33985">
      <w:pPr>
        <w:jc w:val="both"/>
        <w:rPr>
          <w:rtl/>
        </w:rPr>
      </w:pPr>
      <w:r>
        <w:rPr>
          <w:rFonts w:hint="cs"/>
          <w:rtl/>
        </w:rPr>
        <w:t>پس از این روایت استفاده می شود که در مورد خصی به واسطه‌ی صرف خلوت تمام مهر مستقر می شود، اما عده ثابت نمی شود.</w:t>
      </w:r>
    </w:p>
    <w:p w:rsidR="00022580" w:rsidRDefault="00BD3B71" w:rsidP="006162A2">
      <w:pPr>
        <w:rPr>
          <w:rtl/>
        </w:rPr>
      </w:pPr>
      <w:r w:rsidRPr="006C72DF">
        <w:rPr>
          <w:rFonts w:hint="cs"/>
          <w:color w:val="000080"/>
          <w:rtl/>
        </w:rPr>
        <w:t>و لو اختلفا في الدخول و عدمه يقدم قول نافيه</w:t>
      </w:r>
    </w:p>
    <w:p w:rsidR="00CA3424" w:rsidRDefault="00197E2C" w:rsidP="006162A2">
      <w:pPr>
        <w:rPr>
          <w:rtl/>
        </w:rPr>
      </w:pPr>
      <w:r>
        <w:rPr>
          <w:rFonts w:hint="cs"/>
          <w:rtl/>
        </w:rPr>
        <w:t>مرحوم سید می فرماید: اگر در دخول اختلاف کردند، قول نافی دخول مقدم می شود.</w:t>
      </w:r>
    </w:p>
    <w:p w:rsidR="00197E2C" w:rsidRDefault="00197E2C" w:rsidP="007A629B">
      <w:pPr>
        <w:jc w:val="both"/>
        <w:rPr>
          <w:rtl/>
        </w:rPr>
      </w:pPr>
      <w:r>
        <w:rPr>
          <w:rFonts w:hint="cs"/>
          <w:rtl/>
        </w:rPr>
        <w:t>در جلسات قبل گفتیم که</w:t>
      </w:r>
      <w:r w:rsidR="00652991">
        <w:rPr>
          <w:rFonts w:hint="cs"/>
          <w:rtl/>
        </w:rPr>
        <w:t xml:space="preserve"> خلوت اماریت بر دخول دارد و موجب عوض شدن</w:t>
      </w:r>
      <w:r w:rsidR="00D33985">
        <w:rPr>
          <w:rFonts w:hint="cs"/>
          <w:rtl/>
        </w:rPr>
        <w:t xml:space="preserve"> </w:t>
      </w:r>
      <w:r w:rsidR="00652991">
        <w:rPr>
          <w:rFonts w:hint="cs"/>
          <w:rtl/>
        </w:rPr>
        <w:t>مدعی و منکر می شود و در نتیجه قول مدعی دخول با قسم مقدم می</w:t>
      </w:r>
      <w:r w:rsidR="00905DB8">
        <w:rPr>
          <w:rFonts w:hint="cs"/>
          <w:rtl/>
        </w:rPr>
        <w:t xml:space="preserve"> شود.</w:t>
      </w:r>
    </w:p>
    <w:p w:rsidR="003F2A45" w:rsidRPr="006162A2" w:rsidRDefault="003F2A45" w:rsidP="006162A2">
      <w:pPr>
        <w:rPr>
          <w:rtl/>
        </w:rPr>
      </w:pPr>
      <w:r>
        <w:rPr>
          <w:rFonts w:hint="cs"/>
          <w:rtl/>
        </w:rPr>
        <w:t>اما مرحوم سی</w:t>
      </w:r>
      <w:r w:rsidR="00A75117">
        <w:rPr>
          <w:rFonts w:hint="cs"/>
          <w:rtl/>
        </w:rPr>
        <w:t>د روایات خلوت را کنار گذاشته است</w:t>
      </w:r>
      <w:r>
        <w:rPr>
          <w:rFonts w:hint="cs"/>
          <w:rtl/>
        </w:rPr>
        <w:t>، به همین دلیل قول نافی دخول را مقدم می داند.</w:t>
      </w:r>
    </w:p>
    <w:sectPr w:rsidR="003F2A4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62" w:rsidRDefault="007C3062" w:rsidP="008B750B">
      <w:pPr>
        <w:spacing w:line="240" w:lineRule="auto"/>
      </w:pPr>
      <w:r>
        <w:separator/>
      </w:r>
    </w:p>
  </w:endnote>
  <w:endnote w:type="continuationSeparator" w:id="0">
    <w:p w:rsidR="007C3062" w:rsidRDefault="007C306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B2EF5" w:rsidRPr="002B2EF5">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FE77B7" w:rsidP="001B6799">
          <w:pPr>
            <w:pStyle w:val="Footer"/>
            <w:bidi w:val="0"/>
            <w:rPr>
              <w:color w:val="808080" w:themeColor="background1" w:themeShade="80"/>
              <w:rtl/>
            </w:rPr>
          </w:pPr>
          <w:bookmarkStart w:id="22" w:name="BokAdres"/>
          <w:bookmarkEnd w:id="22"/>
          <w:r>
            <w:rPr>
              <w:color w:val="808080" w:themeColor="background1" w:themeShade="80"/>
            </w:rPr>
            <w:t>F1js1_13980716-014_mk3_mfeb.ir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62" w:rsidRDefault="007C3062" w:rsidP="008B750B">
      <w:pPr>
        <w:spacing w:line="240" w:lineRule="auto"/>
      </w:pPr>
      <w:r>
        <w:separator/>
      </w:r>
    </w:p>
  </w:footnote>
  <w:footnote w:type="continuationSeparator" w:id="0">
    <w:p w:rsidR="007C3062" w:rsidRDefault="007C3062" w:rsidP="008B750B">
      <w:pPr>
        <w:spacing w:line="240" w:lineRule="auto"/>
      </w:pPr>
      <w:r>
        <w:continuationSeparator/>
      </w:r>
    </w:p>
  </w:footnote>
  <w:footnote w:id="1">
    <w:p w:rsidR="00960A14" w:rsidRPr="001D248D" w:rsidRDefault="00960A14" w:rsidP="00960A14">
      <w:pPr>
        <w:pStyle w:val="FootnoteText"/>
      </w:pPr>
      <w:r w:rsidRPr="001D248D">
        <w:footnoteRef/>
      </w:r>
      <w:r w:rsidRPr="001D248D">
        <w:rPr>
          <w:rtl/>
        </w:rPr>
        <w:t xml:space="preserve"> </w:t>
      </w:r>
      <w:r w:rsidRPr="001D248D">
        <w:rPr>
          <w:rFonts w:hint="cs"/>
          <w:rtl/>
        </w:rPr>
        <w:t>سوره</w:t>
      </w:r>
      <w:r w:rsidRPr="001D248D">
        <w:rPr>
          <w:rtl/>
        </w:rPr>
        <w:t xml:space="preserve"> </w:t>
      </w:r>
      <w:r w:rsidRPr="001D248D">
        <w:rPr>
          <w:rFonts w:hint="cs"/>
          <w:rtl/>
        </w:rPr>
        <w:t>نحل،</w:t>
      </w:r>
      <w:r w:rsidRPr="001D248D">
        <w:rPr>
          <w:rtl/>
        </w:rPr>
        <w:t xml:space="preserve"> </w:t>
      </w:r>
      <w:r w:rsidRPr="001D248D">
        <w:rPr>
          <w:rFonts w:hint="cs"/>
          <w:rtl/>
        </w:rPr>
        <w:t>آيه</w:t>
      </w:r>
      <w:r w:rsidRPr="001D248D">
        <w:rPr>
          <w:rtl/>
        </w:rPr>
        <w:t xml:space="preserve"> 75.</w:t>
      </w:r>
    </w:p>
  </w:footnote>
  <w:footnote w:id="2">
    <w:p w:rsidR="00572592" w:rsidRDefault="00572592">
      <w:pPr>
        <w:pStyle w:val="FootnoteText"/>
      </w:pPr>
      <w:r>
        <w:rPr>
          <w:rStyle w:val="FootnoteReference"/>
        </w:rPr>
        <w:footnoteRef/>
      </w:r>
      <w:r>
        <w:rPr>
          <w:rtl/>
        </w:rPr>
        <w:t xml:space="preserve"> </w:t>
      </w:r>
      <w:r>
        <w:rPr>
          <w:rFonts w:hint="cs"/>
          <w:rtl/>
        </w:rPr>
        <w:t>توسط یکی از طلاب</w:t>
      </w:r>
    </w:p>
  </w:footnote>
  <w:footnote w:id="3">
    <w:p w:rsidR="00E20987" w:rsidRPr="00E20987" w:rsidRDefault="00E20987" w:rsidP="00E20987">
      <w:pPr>
        <w:pStyle w:val="FootnoteText"/>
      </w:pPr>
      <w:r w:rsidRPr="00E20987">
        <w:footnoteRef/>
      </w:r>
      <w:r w:rsidRPr="00E20987">
        <w:rPr>
          <w:rtl/>
        </w:rPr>
        <w:t xml:space="preserve"> </w:t>
      </w:r>
      <w:hyperlink r:id="rId1" w:history="1">
        <w:r w:rsidRPr="00E20987">
          <w:rPr>
            <w:rStyle w:val="Hyperlink"/>
            <w:rFonts w:hint="cs"/>
            <w:rtl/>
          </w:rPr>
          <w:t>تکملة</w:t>
        </w:r>
        <w:r w:rsidRPr="00E20987">
          <w:rPr>
            <w:rStyle w:val="Hyperlink"/>
            <w:rtl/>
          </w:rPr>
          <w:t xml:space="preserve"> </w:t>
        </w:r>
        <w:r w:rsidRPr="00E20987">
          <w:rPr>
            <w:rStyle w:val="Hyperlink"/>
            <w:rFonts w:hint="cs"/>
            <w:rtl/>
          </w:rPr>
          <w:t>العروة</w:t>
        </w:r>
        <w:r w:rsidRPr="00E20987">
          <w:rPr>
            <w:rStyle w:val="Hyperlink"/>
            <w:rtl/>
          </w:rPr>
          <w:t xml:space="preserve"> </w:t>
        </w:r>
        <w:r w:rsidRPr="00E20987">
          <w:rPr>
            <w:rStyle w:val="Hyperlink"/>
            <w:rFonts w:hint="cs"/>
            <w:rtl/>
          </w:rPr>
          <w:t>الوثقی،</w:t>
        </w:r>
        <w:r w:rsidRPr="00E20987">
          <w:rPr>
            <w:rStyle w:val="Hyperlink"/>
            <w:rtl/>
          </w:rPr>
          <w:t xml:space="preserve"> </w:t>
        </w:r>
        <w:r w:rsidRPr="00E20987">
          <w:rPr>
            <w:rStyle w:val="Hyperlink"/>
            <w:rFonts w:hint="cs"/>
            <w:rtl/>
          </w:rPr>
          <w:t>السید</w:t>
        </w:r>
        <w:r w:rsidRPr="00E20987">
          <w:rPr>
            <w:rStyle w:val="Hyperlink"/>
            <w:rtl/>
          </w:rPr>
          <w:t xml:space="preserve"> </w:t>
        </w:r>
        <w:r w:rsidRPr="00E20987">
          <w:rPr>
            <w:rStyle w:val="Hyperlink"/>
            <w:rFonts w:hint="cs"/>
            <w:rtl/>
          </w:rPr>
          <w:t>محمد</w:t>
        </w:r>
        <w:r w:rsidRPr="00E20987">
          <w:rPr>
            <w:rStyle w:val="Hyperlink"/>
            <w:rtl/>
          </w:rPr>
          <w:t xml:space="preserve"> </w:t>
        </w:r>
        <w:r w:rsidRPr="00E20987">
          <w:rPr>
            <w:rStyle w:val="Hyperlink"/>
            <w:rFonts w:hint="cs"/>
            <w:rtl/>
          </w:rPr>
          <w:t>کاظم</w:t>
        </w:r>
        <w:r w:rsidRPr="00E20987">
          <w:rPr>
            <w:rStyle w:val="Hyperlink"/>
            <w:rtl/>
          </w:rPr>
          <w:t xml:space="preserve"> </w:t>
        </w:r>
        <w:r w:rsidRPr="00E20987">
          <w:rPr>
            <w:rStyle w:val="Hyperlink"/>
            <w:rFonts w:hint="cs"/>
            <w:rtl/>
          </w:rPr>
          <w:t>الطباطبائی</w:t>
        </w:r>
        <w:r w:rsidRPr="00E20987">
          <w:rPr>
            <w:rStyle w:val="Hyperlink"/>
            <w:rtl/>
          </w:rPr>
          <w:t xml:space="preserve"> </w:t>
        </w:r>
        <w:r w:rsidRPr="00E20987">
          <w:rPr>
            <w:rStyle w:val="Hyperlink"/>
            <w:rFonts w:hint="cs"/>
            <w:rtl/>
          </w:rPr>
          <w:t>الیزدی،</w:t>
        </w:r>
        <w:r w:rsidRPr="00E20987">
          <w:rPr>
            <w:rStyle w:val="Hyperlink"/>
            <w:rtl/>
          </w:rPr>
          <w:t xml:space="preserve"> </w:t>
        </w:r>
        <w:r w:rsidRPr="00E20987">
          <w:rPr>
            <w:rStyle w:val="Hyperlink"/>
            <w:rFonts w:hint="cs"/>
            <w:rtl/>
          </w:rPr>
          <w:t>ج</w:t>
        </w:r>
        <w:r w:rsidRPr="00E20987">
          <w:rPr>
            <w:rStyle w:val="Hyperlink"/>
            <w:rtl/>
          </w:rPr>
          <w:t>1</w:t>
        </w:r>
        <w:r w:rsidRPr="00E20987">
          <w:rPr>
            <w:rStyle w:val="Hyperlink"/>
            <w:rFonts w:hint="cs"/>
            <w:rtl/>
          </w:rPr>
          <w:t>،</w:t>
        </w:r>
        <w:r w:rsidRPr="00E20987">
          <w:rPr>
            <w:rStyle w:val="Hyperlink"/>
            <w:rtl/>
          </w:rPr>
          <w:t xml:space="preserve"> </w:t>
        </w:r>
        <w:r w:rsidRPr="00E20987">
          <w:rPr>
            <w:rStyle w:val="Hyperlink"/>
            <w:rFonts w:hint="cs"/>
            <w:rtl/>
          </w:rPr>
          <w:t>ص</w:t>
        </w:r>
        <w:r w:rsidRPr="00E20987">
          <w:rPr>
            <w:rStyle w:val="Hyperlink"/>
            <w:rtl/>
          </w:rPr>
          <w:t>53.</w:t>
        </w:r>
      </w:hyperlink>
    </w:p>
  </w:footnote>
  <w:footnote w:id="4">
    <w:p w:rsidR="007905C6" w:rsidRDefault="007905C6" w:rsidP="007905C6">
      <w:pPr>
        <w:pStyle w:val="FootnoteText"/>
        <w:rPr>
          <w:rtl/>
        </w:rPr>
      </w:pPr>
      <w:r w:rsidRPr="00FE509A">
        <w:footnoteRef/>
      </w:r>
      <w:r w:rsidRPr="00FE509A">
        <w:rPr>
          <w:rtl/>
        </w:rPr>
        <w:t xml:space="preserve"> </w:t>
      </w:r>
      <w:hyperlink r:id="rId2" w:history="1">
        <w:r w:rsidRPr="00FE509A">
          <w:rPr>
            <w:rStyle w:val="Hyperlink"/>
            <w:rFonts w:hint="cs"/>
            <w:rtl/>
          </w:rPr>
          <w:t>تهذیب</w:t>
        </w:r>
        <w:r w:rsidRPr="00FE509A">
          <w:rPr>
            <w:rStyle w:val="Hyperlink"/>
            <w:rtl/>
          </w:rPr>
          <w:t xml:space="preserve"> </w:t>
        </w:r>
        <w:r w:rsidRPr="00FE509A">
          <w:rPr>
            <w:rStyle w:val="Hyperlink"/>
            <w:rFonts w:hint="cs"/>
            <w:rtl/>
          </w:rPr>
          <w:t>الاحکام،</w:t>
        </w:r>
        <w:r w:rsidRPr="00FE509A">
          <w:rPr>
            <w:rStyle w:val="Hyperlink"/>
            <w:rtl/>
          </w:rPr>
          <w:t xml:space="preserve"> </w:t>
        </w:r>
        <w:r w:rsidRPr="00FE509A">
          <w:rPr>
            <w:rStyle w:val="Hyperlink"/>
            <w:rFonts w:hint="cs"/>
            <w:rtl/>
          </w:rPr>
          <w:t>شیخ</w:t>
        </w:r>
        <w:r w:rsidRPr="00FE509A">
          <w:rPr>
            <w:rStyle w:val="Hyperlink"/>
            <w:rtl/>
          </w:rPr>
          <w:t xml:space="preserve"> </w:t>
        </w:r>
        <w:r w:rsidRPr="00FE509A">
          <w:rPr>
            <w:rStyle w:val="Hyperlink"/>
            <w:rFonts w:hint="cs"/>
            <w:rtl/>
          </w:rPr>
          <w:t>طوسی،</w:t>
        </w:r>
        <w:r w:rsidRPr="00FE509A">
          <w:rPr>
            <w:rStyle w:val="Hyperlink"/>
            <w:rtl/>
          </w:rPr>
          <w:t xml:space="preserve"> </w:t>
        </w:r>
        <w:r w:rsidRPr="00FE509A">
          <w:rPr>
            <w:rStyle w:val="Hyperlink"/>
            <w:rFonts w:hint="cs"/>
            <w:rtl/>
          </w:rPr>
          <w:t>ج</w:t>
        </w:r>
        <w:r w:rsidRPr="00FE509A">
          <w:rPr>
            <w:rStyle w:val="Hyperlink"/>
            <w:rtl/>
          </w:rPr>
          <w:t>7</w:t>
        </w:r>
        <w:r w:rsidRPr="00FE509A">
          <w:rPr>
            <w:rStyle w:val="Hyperlink"/>
            <w:rFonts w:hint="cs"/>
            <w:rtl/>
          </w:rPr>
          <w:t>،</w:t>
        </w:r>
        <w:r w:rsidRPr="00FE509A">
          <w:rPr>
            <w:rStyle w:val="Hyperlink"/>
            <w:rtl/>
          </w:rPr>
          <w:t xml:space="preserve"> </w:t>
        </w:r>
        <w:r w:rsidRPr="00FE509A">
          <w:rPr>
            <w:rStyle w:val="Hyperlink"/>
            <w:rFonts w:hint="cs"/>
            <w:rtl/>
          </w:rPr>
          <w:t>ص</w:t>
        </w:r>
        <w:r w:rsidRPr="00FE509A">
          <w:rPr>
            <w:rStyle w:val="Hyperlink"/>
            <w:rtl/>
          </w:rPr>
          <w:t>375.</w:t>
        </w:r>
      </w:hyperlink>
    </w:p>
    <w:p w:rsidR="007905C6" w:rsidRPr="00FE509A" w:rsidRDefault="007905C6" w:rsidP="007905C6">
      <w:pPr>
        <w:pStyle w:val="FootnoteText"/>
      </w:pPr>
      <w:r>
        <w:rPr>
          <w:rFonts w:hint="cs"/>
          <w:rtl/>
        </w:rPr>
        <w:t xml:space="preserve">و </w:t>
      </w:r>
      <w:r w:rsidRPr="00CB62D9">
        <w:rPr>
          <w:rFonts w:hint="cs"/>
          <w:rtl/>
        </w:rPr>
        <w:t>جامع أحاديث الشيعة (للبروجردي)، ج‏26، ص: 510</w:t>
      </w:r>
      <w:r>
        <w:rPr>
          <w:rFonts w:hint="cs"/>
          <w:rtl/>
        </w:rPr>
        <w:t>، ح 39069</w:t>
      </w:r>
    </w:p>
  </w:footnote>
  <w:footnote w:id="5">
    <w:p w:rsidR="00A16DCE" w:rsidRDefault="00A16DCE" w:rsidP="00A16DCE">
      <w:pPr>
        <w:pStyle w:val="FootnoteText"/>
        <w:rPr>
          <w:rtl/>
        </w:rPr>
      </w:pPr>
      <w:r w:rsidRPr="00A16DCE">
        <w:footnoteRef/>
      </w:r>
      <w:r w:rsidRPr="00A16DCE">
        <w:rPr>
          <w:rtl/>
        </w:rPr>
        <w:t xml:space="preserve"> </w:t>
      </w:r>
      <w:hyperlink r:id="rId3" w:history="1">
        <w:r w:rsidRPr="00A16DCE">
          <w:rPr>
            <w:rStyle w:val="Hyperlink"/>
            <w:rFonts w:hint="cs"/>
            <w:rtl/>
          </w:rPr>
          <w:t>الکافی،</w:t>
        </w:r>
        <w:r w:rsidRPr="00A16DCE">
          <w:rPr>
            <w:rStyle w:val="Hyperlink"/>
            <w:rtl/>
          </w:rPr>
          <w:t xml:space="preserve"> </w:t>
        </w:r>
        <w:r w:rsidRPr="00A16DCE">
          <w:rPr>
            <w:rStyle w:val="Hyperlink"/>
            <w:rFonts w:hint="cs"/>
            <w:rtl/>
          </w:rPr>
          <w:t>محمد</w:t>
        </w:r>
        <w:r w:rsidRPr="00A16DCE">
          <w:rPr>
            <w:rStyle w:val="Hyperlink"/>
            <w:rtl/>
          </w:rPr>
          <w:t xml:space="preserve"> </w:t>
        </w:r>
        <w:r w:rsidRPr="00A16DCE">
          <w:rPr>
            <w:rStyle w:val="Hyperlink"/>
            <w:rFonts w:hint="cs"/>
            <w:rtl/>
          </w:rPr>
          <w:t>بن</w:t>
        </w:r>
        <w:r w:rsidRPr="00A16DCE">
          <w:rPr>
            <w:rStyle w:val="Hyperlink"/>
            <w:rtl/>
          </w:rPr>
          <w:t xml:space="preserve"> </w:t>
        </w:r>
        <w:r w:rsidRPr="00A16DCE">
          <w:rPr>
            <w:rStyle w:val="Hyperlink"/>
            <w:rFonts w:hint="cs"/>
            <w:rtl/>
          </w:rPr>
          <w:t>یعقوب</w:t>
        </w:r>
        <w:r w:rsidRPr="00A16DCE">
          <w:rPr>
            <w:rStyle w:val="Hyperlink"/>
            <w:rtl/>
          </w:rPr>
          <w:t xml:space="preserve"> </w:t>
        </w:r>
        <w:r w:rsidRPr="00A16DCE">
          <w:rPr>
            <w:rStyle w:val="Hyperlink"/>
            <w:rFonts w:hint="cs"/>
            <w:rtl/>
          </w:rPr>
          <w:t>کلینی،</w:t>
        </w:r>
        <w:r w:rsidRPr="00A16DCE">
          <w:rPr>
            <w:rStyle w:val="Hyperlink"/>
            <w:rtl/>
          </w:rPr>
          <w:t xml:space="preserve"> </w:t>
        </w:r>
        <w:r w:rsidRPr="00A16DCE">
          <w:rPr>
            <w:rStyle w:val="Hyperlink"/>
            <w:rFonts w:hint="cs"/>
            <w:rtl/>
          </w:rPr>
          <w:t>ج</w:t>
        </w:r>
        <w:r w:rsidRPr="00A16DCE">
          <w:rPr>
            <w:rStyle w:val="Hyperlink"/>
            <w:rtl/>
          </w:rPr>
          <w:t>6</w:t>
        </w:r>
        <w:r w:rsidRPr="00A16DCE">
          <w:rPr>
            <w:rStyle w:val="Hyperlink"/>
            <w:rFonts w:hint="cs"/>
            <w:rtl/>
          </w:rPr>
          <w:t>،</w:t>
        </w:r>
        <w:r w:rsidRPr="00A16DCE">
          <w:rPr>
            <w:rStyle w:val="Hyperlink"/>
            <w:rtl/>
          </w:rPr>
          <w:t xml:space="preserve"> </w:t>
        </w:r>
        <w:r w:rsidRPr="00A16DCE">
          <w:rPr>
            <w:rStyle w:val="Hyperlink"/>
            <w:rFonts w:hint="cs"/>
            <w:rtl/>
          </w:rPr>
          <w:t>ص</w:t>
        </w:r>
        <w:r w:rsidRPr="00A16DCE">
          <w:rPr>
            <w:rStyle w:val="Hyperlink"/>
            <w:rtl/>
          </w:rPr>
          <w:t>151.</w:t>
        </w:r>
      </w:hyperlink>
    </w:p>
    <w:p w:rsidR="00A16DCE" w:rsidRPr="00A16DCE" w:rsidRDefault="00A16DCE" w:rsidP="00A16DCE">
      <w:pPr>
        <w:pStyle w:val="FootnoteText"/>
      </w:pPr>
      <w:r>
        <w:rPr>
          <w:rFonts w:hint="cs"/>
          <w:rtl/>
        </w:rPr>
        <w:t xml:space="preserve">و </w:t>
      </w:r>
      <w:r w:rsidRPr="00A16DCE">
        <w:rPr>
          <w:rFonts w:hint="cs"/>
          <w:rtl/>
        </w:rPr>
        <w:t>جامع أحاديث الشيعة (للبروجردي)، ج‏26، ص: 398</w:t>
      </w:r>
      <w:r w:rsidR="00824D93">
        <w:rPr>
          <w:rFonts w:hint="cs"/>
          <w:rtl/>
        </w:rPr>
        <w:t>، ح 38867</w:t>
      </w:r>
    </w:p>
  </w:footnote>
  <w:footnote w:id="6">
    <w:p w:rsidR="00FE509A" w:rsidRDefault="00FE509A" w:rsidP="00FE509A">
      <w:pPr>
        <w:pStyle w:val="FootnoteText"/>
        <w:rPr>
          <w:rtl/>
        </w:rPr>
      </w:pPr>
      <w:r w:rsidRPr="00FE509A">
        <w:footnoteRef/>
      </w:r>
      <w:r w:rsidRPr="00FE509A">
        <w:rPr>
          <w:rtl/>
        </w:rPr>
        <w:t xml:space="preserve"> </w:t>
      </w:r>
      <w:hyperlink r:id="rId4" w:history="1">
        <w:r w:rsidRPr="00FE509A">
          <w:rPr>
            <w:rStyle w:val="Hyperlink"/>
            <w:rFonts w:hint="cs"/>
            <w:rtl/>
          </w:rPr>
          <w:t>تهذیب</w:t>
        </w:r>
        <w:r w:rsidRPr="00FE509A">
          <w:rPr>
            <w:rStyle w:val="Hyperlink"/>
            <w:rtl/>
          </w:rPr>
          <w:t xml:space="preserve"> </w:t>
        </w:r>
        <w:r w:rsidRPr="00FE509A">
          <w:rPr>
            <w:rStyle w:val="Hyperlink"/>
            <w:rFonts w:hint="cs"/>
            <w:rtl/>
          </w:rPr>
          <w:t>الاحکام،</w:t>
        </w:r>
        <w:r w:rsidRPr="00FE509A">
          <w:rPr>
            <w:rStyle w:val="Hyperlink"/>
            <w:rtl/>
          </w:rPr>
          <w:t xml:space="preserve"> </w:t>
        </w:r>
        <w:r w:rsidRPr="00FE509A">
          <w:rPr>
            <w:rStyle w:val="Hyperlink"/>
            <w:rFonts w:hint="cs"/>
            <w:rtl/>
          </w:rPr>
          <w:t>شیخ</w:t>
        </w:r>
        <w:r w:rsidRPr="00FE509A">
          <w:rPr>
            <w:rStyle w:val="Hyperlink"/>
            <w:rtl/>
          </w:rPr>
          <w:t xml:space="preserve"> </w:t>
        </w:r>
        <w:r w:rsidRPr="00FE509A">
          <w:rPr>
            <w:rStyle w:val="Hyperlink"/>
            <w:rFonts w:hint="cs"/>
            <w:rtl/>
          </w:rPr>
          <w:t>طوسی،</w:t>
        </w:r>
        <w:r w:rsidRPr="00FE509A">
          <w:rPr>
            <w:rStyle w:val="Hyperlink"/>
            <w:rtl/>
          </w:rPr>
          <w:t xml:space="preserve"> </w:t>
        </w:r>
        <w:r w:rsidRPr="00FE509A">
          <w:rPr>
            <w:rStyle w:val="Hyperlink"/>
            <w:rFonts w:hint="cs"/>
            <w:rtl/>
          </w:rPr>
          <w:t>ج</w:t>
        </w:r>
        <w:r w:rsidRPr="00FE509A">
          <w:rPr>
            <w:rStyle w:val="Hyperlink"/>
            <w:rtl/>
          </w:rPr>
          <w:t>7</w:t>
        </w:r>
        <w:r w:rsidRPr="00FE509A">
          <w:rPr>
            <w:rStyle w:val="Hyperlink"/>
            <w:rFonts w:hint="cs"/>
            <w:rtl/>
          </w:rPr>
          <w:t>،</w:t>
        </w:r>
        <w:r w:rsidRPr="00FE509A">
          <w:rPr>
            <w:rStyle w:val="Hyperlink"/>
            <w:rtl/>
          </w:rPr>
          <w:t xml:space="preserve"> </w:t>
        </w:r>
        <w:r w:rsidRPr="00FE509A">
          <w:rPr>
            <w:rStyle w:val="Hyperlink"/>
            <w:rFonts w:hint="cs"/>
            <w:rtl/>
          </w:rPr>
          <w:t>ص</w:t>
        </w:r>
        <w:r w:rsidRPr="00FE509A">
          <w:rPr>
            <w:rStyle w:val="Hyperlink"/>
            <w:rtl/>
          </w:rPr>
          <w:t>375.</w:t>
        </w:r>
      </w:hyperlink>
    </w:p>
    <w:p w:rsidR="00CB62D9" w:rsidRPr="00FE509A" w:rsidRDefault="00CB62D9" w:rsidP="00CB62D9">
      <w:pPr>
        <w:pStyle w:val="FootnoteText"/>
      </w:pPr>
      <w:r>
        <w:rPr>
          <w:rFonts w:hint="cs"/>
          <w:rtl/>
        </w:rPr>
        <w:t xml:space="preserve">و </w:t>
      </w:r>
      <w:r w:rsidRPr="00CB62D9">
        <w:rPr>
          <w:rFonts w:hint="cs"/>
          <w:rtl/>
        </w:rPr>
        <w:t>جامع أحاديث الشيعة (للبروجردي)، ج‏26، ص: 510</w:t>
      </w:r>
      <w:r>
        <w:rPr>
          <w:rFonts w:hint="cs"/>
          <w:rtl/>
        </w:rPr>
        <w:t>، ح 39069</w:t>
      </w:r>
      <w:bookmarkStart w:id="14" w:name="_GoBack"/>
      <w:bookmarkEnd w:id="1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F5" w:rsidRDefault="00935A55"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FE77B7">
      <w:rPr>
        <w:b/>
        <w:bCs/>
        <w:sz w:val="20"/>
        <w:szCs w:val="24"/>
        <w:rtl/>
      </w:rPr>
      <w:t>014</w:t>
    </w:r>
    <w:r w:rsidR="001A4ED8">
      <w:rPr>
        <w:rFonts w:hint="cs"/>
        <w:b/>
        <w:bCs/>
        <w:sz w:val="20"/>
        <w:szCs w:val="24"/>
        <w:rtl/>
      </w:rPr>
      <w:tab/>
    </w:r>
  </w:p>
  <w:p w:rsidR="002B2EF5" w:rsidRDefault="0021630D"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FE77B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FE77B7">
      <w:rPr>
        <w:rFonts w:hint="cs"/>
        <w:b/>
        <w:bCs/>
        <w:color w:val="632423" w:themeColor="accent2" w:themeShade="80"/>
        <w:sz w:val="20"/>
        <w:szCs w:val="24"/>
        <w:rtl/>
      </w:rPr>
      <w:t>سید</w:t>
    </w:r>
    <w:r w:rsidR="00FE77B7">
      <w:rPr>
        <w:b/>
        <w:bCs/>
        <w:color w:val="632423" w:themeColor="accent2" w:themeShade="80"/>
        <w:sz w:val="20"/>
        <w:szCs w:val="24"/>
        <w:rtl/>
      </w:rPr>
      <w:t xml:space="preserve"> </w:t>
    </w:r>
    <w:r w:rsidR="00FE77B7">
      <w:rPr>
        <w:rFonts w:hint="cs"/>
        <w:b/>
        <w:bCs/>
        <w:color w:val="632423" w:themeColor="accent2" w:themeShade="80"/>
        <w:sz w:val="20"/>
        <w:szCs w:val="24"/>
        <w:rtl/>
      </w:rPr>
      <w:t>محمد</w:t>
    </w:r>
    <w:r w:rsidR="00FE77B7">
      <w:rPr>
        <w:b/>
        <w:bCs/>
        <w:color w:val="632423" w:themeColor="accent2" w:themeShade="80"/>
        <w:sz w:val="20"/>
        <w:szCs w:val="24"/>
        <w:rtl/>
      </w:rPr>
      <w:t xml:space="preserve"> </w:t>
    </w:r>
    <w:r w:rsidR="00FE77B7">
      <w:rPr>
        <w:rFonts w:hint="cs"/>
        <w:b/>
        <w:bCs/>
        <w:color w:val="632423" w:themeColor="accent2" w:themeShade="80"/>
        <w:sz w:val="20"/>
        <w:szCs w:val="24"/>
        <w:rtl/>
      </w:rPr>
      <w:t>جواد</w:t>
    </w:r>
    <w:r w:rsidR="00FE77B7">
      <w:rPr>
        <w:b/>
        <w:bCs/>
        <w:color w:val="632423" w:themeColor="accent2" w:themeShade="80"/>
        <w:sz w:val="20"/>
        <w:szCs w:val="24"/>
        <w:rtl/>
      </w:rPr>
      <w:t xml:space="preserve"> </w:t>
    </w:r>
    <w:r w:rsidR="00FE77B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B2EF5" w:rsidRDefault="00935A55"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sz w:val="20"/>
        <w:szCs w:val="24"/>
        <w:rtl/>
      </w:rPr>
    </w:pP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FE77B7">
      <w:rPr>
        <w:sz w:val="24"/>
        <w:szCs w:val="24"/>
        <w:rtl/>
      </w:rPr>
      <w:t>16 /7 /1398</w:t>
    </w:r>
  </w:p>
  <w:p w:rsidR="002B2EF5" w:rsidRDefault="00935A55"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FE77B7">
      <w:rPr>
        <w:rFonts w:hint="cs"/>
        <w:color w:val="000000" w:themeColor="text1"/>
        <w:sz w:val="24"/>
        <w:szCs w:val="24"/>
        <w:rtl/>
      </w:rPr>
      <w:t>متن</w:t>
    </w:r>
    <w:r w:rsidR="00FE77B7">
      <w:rPr>
        <w:color w:val="000000" w:themeColor="text1"/>
        <w:sz w:val="24"/>
        <w:szCs w:val="24"/>
        <w:rtl/>
      </w:rPr>
      <w:t xml:space="preserve"> </w:t>
    </w:r>
    <w:r w:rsidR="00FE77B7">
      <w:rPr>
        <w:rFonts w:hint="cs"/>
        <w:color w:val="000000" w:themeColor="text1"/>
        <w:sz w:val="24"/>
        <w:szCs w:val="24"/>
        <w:rtl/>
      </w:rPr>
      <w:t>تکمله</w:t>
    </w:r>
    <w:r w:rsidR="00FE77B7">
      <w:rPr>
        <w:color w:val="000000" w:themeColor="text1"/>
        <w:sz w:val="24"/>
        <w:szCs w:val="24"/>
        <w:rtl/>
      </w:rPr>
      <w:t xml:space="preserve"> </w:t>
    </w:r>
    <w:r w:rsidR="00FE77B7">
      <w:rPr>
        <w:rFonts w:hint="cs"/>
        <w:color w:val="000000" w:themeColor="text1"/>
        <w:sz w:val="24"/>
        <w:szCs w:val="24"/>
        <w:rtl/>
      </w:rPr>
      <w:t>ی</w:t>
    </w:r>
    <w:r w:rsidR="00FE77B7">
      <w:rPr>
        <w:color w:val="000000" w:themeColor="text1"/>
        <w:sz w:val="24"/>
        <w:szCs w:val="24"/>
        <w:rtl/>
      </w:rPr>
      <w:t xml:space="preserve"> </w:t>
    </w:r>
    <w:r w:rsidR="00FE77B7">
      <w:rPr>
        <w:rFonts w:hint="cs"/>
        <w:color w:val="000000" w:themeColor="text1"/>
        <w:sz w:val="24"/>
        <w:szCs w:val="24"/>
        <w:rtl/>
      </w:rPr>
      <w:t>عروه</w:t>
    </w:r>
  </w:p>
  <w:p w:rsidR="002B2EF5" w:rsidRDefault="00935A55"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8556B7">
      <w:rPr>
        <w:rFonts w:hint="cs"/>
        <w:sz w:val="24"/>
        <w:szCs w:val="24"/>
        <w:rtl/>
      </w:rPr>
      <w:t>مرکز فقهی امام محمد باقر علیه السلام</w:t>
    </w:r>
  </w:p>
  <w:p w:rsidR="00FA3B17" w:rsidRPr="002B2EF5" w:rsidRDefault="00935A55" w:rsidP="002B2EF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sz w:val="20"/>
        <w:szCs w:val="24"/>
      </w:rPr>
    </w:pP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FE77B7">
      <w:rPr>
        <w:rFonts w:hint="cs"/>
        <w:sz w:val="24"/>
        <w:szCs w:val="24"/>
        <w:rtl/>
      </w:rPr>
      <w:t>موضوع</w:t>
    </w:r>
    <w:r w:rsidR="00FE77B7">
      <w:rPr>
        <w:sz w:val="24"/>
        <w:szCs w:val="24"/>
        <w:rtl/>
      </w:rPr>
      <w:t xml:space="preserve"> </w:t>
    </w:r>
    <w:r w:rsidR="00FE77B7">
      <w:rPr>
        <w:rFonts w:hint="cs"/>
        <w:sz w:val="24"/>
        <w:szCs w:val="24"/>
        <w:rtl/>
      </w:rPr>
      <w:t>عده</w:t>
    </w:r>
    <w:r w:rsidR="00FE77B7">
      <w:rPr>
        <w:sz w:val="24"/>
        <w:szCs w:val="24"/>
        <w:rtl/>
      </w:rPr>
      <w:t xml:space="preserve"> </w:t>
    </w:r>
    <w:r w:rsidR="00FE77B7">
      <w:rPr>
        <w:rFonts w:hint="cs"/>
        <w:sz w:val="24"/>
        <w:szCs w:val="24"/>
        <w:rtl/>
      </w:rPr>
      <w:t>در</w:t>
    </w:r>
    <w:r w:rsidR="00FE77B7">
      <w:rPr>
        <w:sz w:val="24"/>
        <w:szCs w:val="24"/>
        <w:rtl/>
      </w:rPr>
      <w:t xml:space="preserve"> </w:t>
    </w:r>
    <w:r w:rsidR="00FE77B7">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580"/>
    <w:rsid w:val="0002437D"/>
    <w:rsid w:val="00025777"/>
    <w:rsid w:val="00025B70"/>
    <w:rsid w:val="000353D7"/>
    <w:rsid w:val="00051728"/>
    <w:rsid w:val="00055496"/>
    <w:rsid w:val="00080A41"/>
    <w:rsid w:val="0008299B"/>
    <w:rsid w:val="000913AA"/>
    <w:rsid w:val="00094847"/>
    <w:rsid w:val="00096243"/>
    <w:rsid w:val="00096C63"/>
    <w:rsid w:val="000A3541"/>
    <w:rsid w:val="000B1025"/>
    <w:rsid w:val="000B5DB5"/>
    <w:rsid w:val="000C3947"/>
    <w:rsid w:val="000D0129"/>
    <w:rsid w:val="000D2A37"/>
    <w:rsid w:val="000D30E9"/>
    <w:rsid w:val="000D6818"/>
    <w:rsid w:val="000D7C3E"/>
    <w:rsid w:val="000E335E"/>
    <w:rsid w:val="000F16CF"/>
    <w:rsid w:val="000F5BAC"/>
    <w:rsid w:val="00102585"/>
    <w:rsid w:val="00114AB7"/>
    <w:rsid w:val="00116B2B"/>
    <w:rsid w:val="00124E3D"/>
    <w:rsid w:val="00127E95"/>
    <w:rsid w:val="00130659"/>
    <w:rsid w:val="001347C7"/>
    <w:rsid w:val="001356B0"/>
    <w:rsid w:val="00151937"/>
    <w:rsid w:val="001713F2"/>
    <w:rsid w:val="00181844"/>
    <w:rsid w:val="0018259A"/>
    <w:rsid w:val="001837E9"/>
    <w:rsid w:val="00187DFA"/>
    <w:rsid w:val="00197E2C"/>
    <w:rsid w:val="001A1BC1"/>
    <w:rsid w:val="001A1EA5"/>
    <w:rsid w:val="001A2574"/>
    <w:rsid w:val="001A27D7"/>
    <w:rsid w:val="001A294E"/>
    <w:rsid w:val="001A4ED8"/>
    <w:rsid w:val="001B2488"/>
    <w:rsid w:val="001B6799"/>
    <w:rsid w:val="001C1362"/>
    <w:rsid w:val="001D2E9A"/>
    <w:rsid w:val="001D597F"/>
    <w:rsid w:val="001E3FD4"/>
    <w:rsid w:val="001F09DD"/>
    <w:rsid w:val="0020241A"/>
    <w:rsid w:val="00203821"/>
    <w:rsid w:val="00211632"/>
    <w:rsid w:val="0021300E"/>
    <w:rsid w:val="0021630D"/>
    <w:rsid w:val="0023182C"/>
    <w:rsid w:val="0024121B"/>
    <w:rsid w:val="00247D2F"/>
    <w:rsid w:val="00256560"/>
    <w:rsid w:val="0026206F"/>
    <w:rsid w:val="0027605E"/>
    <w:rsid w:val="00281E00"/>
    <w:rsid w:val="00282863"/>
    <w:rsid w:val="002922EE"/>
    <w:rsid w:val="00294A52"/>
    <w:rsid w:val="002B2EF5"/>
    <w:rsid w:val="002B575F"/>
    <w:rsid w:val="002B729B"/>
    <w:rsid w:val="002C23B5"/>
    <w:rsid w:val="002C53A2"/>
    <w:rsid w:val="002D0040"/>
    <w:rsid w:val="002D2FA8"/>
    <w:rsid w:val="002E220F"/>
    <w:rsid w:val="00307311"/>
    <w:rsid w:val="0031066B"/>
    <w:rsid w:val="00317C9B"/>
    <w:rsid w:val="0032100F"/>
    <w:rsid w:val="0033402C"/>
    <w:rsid w:val="00340521"/>
    <w:rsid w:val="00345C73"/>
    <w:rsid w:val="00350C1E"/>
    <w:rsid w:val="00354A99"/>
    <w:rsid w:val="00360311"/>
    <w:rsid w:val="00361922"/>
    <w:rsid w:val="0037339B"/>
    <w:rsid w:val="003769AA"/>
    <w:rsid w:val="003825BC"/>
    <w:rsid w:val="00386C11"/>
    <w:rsid w:val="00397466"/>
    <w:rsid w:val="003A6148"/>
    <w:rsid w:val="003C33F6"/>
    <w:rsid w:val="003C3D2E"/>
    <w:rsid w:val="003C43A5"/>
    <w:rsid w:val="003E1C5C"/>
    <w:rsid w:val="003E6650"/>
    <w:rsid w:val="003F2A45"/>
    <w:rsid w:val="003F5B46"/>
    <w:rsid w:val="00401363"/>
    <w:rsid w:val="00402E47"/>
    <w:rsid w:val="004112FD"/>
    <w:rsid w:val="00425015"/>
    <w:rsid w:val="00430994"/>
    <w:rsid w:val="004358C1"/>
    <w:rsid w:val="00441B6D"/>
    <w:rsid w:val="00443DBC"/>
    <w:rsid w:val="004556EF"/>
    <w:rsid w:val="00462B07"/>
    <w:rsid w:val="00465BD2"/>
    <w:rsid w:val="004715C8"/>
    <w:rsid w:val="00481C31"/>
    <w:rsid w:val="00482FC1"/>
    <w:rsid w:val="00483027"/>
    <w:rsid w:val="004840AF"/>
    <w:rsid w:val="004871AA"/>
    <w:rsid w:val="004918D7"/>
    <w:rsid w:val="004926E1"/>
    <w:rsid w:val="004A2FEA"/>
    <w:rsid w:val="004B36AE"/>
    <w:rsid w:val="004B38F3"/>
    <w:rsid w:val="004D2DD7"/>
    <w:rsid w:val="004D75C5"/>
    <w:rsid w:val="004E2186"/>
    <w:rsid w:val="004E66FB"/>
    <w:rsid w:val="004F470A"/>
    <w:rsid w:val="004F4C59"/>
    <w:rsid w:val="00500C8F"/>
    <w:rsid w:val="00501909"/>
    <w:rsid w:val="00507BBB"/>
    <w:rsid w:val="005128DF"/>
    <w:rsid w:val="00512E8F"/>
    <w:rsid w:val="0051592A"/>
    <w:rsid w:val="005206FE"/>
    <w:rsid w:val="005257ED"/>
    <w:rsid w:val="005306F8"/>
    <w:rsid w:val="0054023D"/>
    <w:rsid w:val="005426BF"/>
    <w:rsid w:val="0056213C"/>
    <w:rsid w:val="005633BC"/>
    <w:rsid w:val="00572592"/>
    <w:rsid w:val="00580C24"/>
    <w:rsid w:val="00585044"/>
    <w:rsid w:val="005968EF"/>
    <w:rsid w:val="00596C1E"/>
    <w:rsid w:val="005A2E26"/>
    <w:rsid w:val="005A446C"/>
    <w:rsid w:val="005B0864"/>
    <w:rsid w:val="005B7BCA"/>
    <w:rsid w:val="005C0DAE"/>
    <w:rsid w:val="005C188E"/>
    <w:rsid w:val="005D2349"/>
    <w:rsid w:val="005E1B60"/>
    <w:rsid w:val="005E5507"/>
    <w:rsid w:val="005E607B"/>
    <w:rsid w:val="005F0A8D"/>
    <w:rsid w:val="005F5E63"/>
    <w:rsid w:val="00601229"/>
    <w:rsid w:val="00603B67"/>
    <w:rsid w:val="0060438D"/>
    <w:rsid w:val="006162A2"/>
    <w:rsid w:val="006240DA"/>
    <w:rsid w:val="0063256E"/>
    <w:rsid w:val="00633F04"/>
    <w:rsid w:val="00635219"/>
    <w:rsid w:val="00635EC0"/>
    <w:rsid w:val="00636F3C"/>
    <w:rsid w:val="00640B58"/>
    <w:rsid w:val="00651B02"/>
    <w:rsid w:val="00651B19"/>
    <w:rsid w:val="00652991"/>
    <w:rsid w:val="00660A29"/>
    <w:rsid w:val="00664C4A"/>
    <w:rsid w:val="00695519"/>
    <w:rsid w:val="006A4134"/>
    <w:rsid w:val="006A5DDA"/>
    <w:rsid w:val="006A6701"/>
    <w:rsid w:val="006B21F4"/>
    <w:rsid w:val="006B3753"/>
    <w:rsid w:val="006B7AD6"/>
    <w:rsid w:val="006C4EEE"/>
    <w:rsid w:val="006C50FD"/>
    <w:rsid w:val="006C72DF"/>
    <w:rsid w:val="006C7D38"/>
    <w:rsid w:val="006D1DD4"/>
    <w:rsid w:val="006D4014"/>
    <w:rsid w:val="006D44C1"/>
    <w:rsid w:val="006E5651"/>
    <w:rsid w:val="006E5B85"/>
    <w:rsid w:val="006E7CCD"/>
    <w:rsid w:val="006F026A"/>
    <w:rsid w:val="006F0764"/>
    <w:rsid w:val="0070265B"/>
    <w:rsid w:val="00704813"/>
    <w:rsid w:val="0072290D"/>
    <w:rsid w:val="00722E88"/>
    <w:rsid w:val="00723D6D"/>
    <w:rsid w:val="00724537"/>
    <w:rsid w:val="00731724"/>
    <w:rsid w:val="0073474B"/>
    <w:rsid w:val="00735511"/>
    <w:rsid w:val="00737208"/>
    <w:rsid w:val="00744DE6"/>
    <w:rsid w:val="00746AA3"/>
    <w:rsid w:val="00762452"/>
    <w:rsid w:val="007639E0"/>
    <w:rsid w:val="00775507"/>
    <w:rsid w:val="00783473"/>
    <w:rsid w:val="0078594B"/>
    <w:rsid w:val="007905C6"/>
    <w:rsid w:val="00795E02"/>
    <w:rsid w:val="007979D0"/>
    <w:rsid w:val="007A4E18"/>
    <w:rsid w:val="007A629B"/>
    <w:rsid w:val="007A7B8C"/>
    <w:rsid w:val="007B0E0F"/>
    <w:rsid w:val="007B540E"/>
    <w:rsid w:val="007C3062"/>
    <w:rsid w:val="007C6D9E"/>
    <w:rsid w:val="007D1C43"/>
    <w:rsid w:val="007D6C53"/>
    <w:rsid w:val="007E1564"/>
    <w:rsid w:val="007E1E87"/>
    <w:rsid w:val="007E5B3F"/>
    <w:rsid w:val="007F2257"/>
    <w:rsid w:val="0080091D"/>
    <w:rsid w:val="00804108"/>
    <w:rsid w:val="00804FC4"/>
    <w:rsid w:val="00816367"/>
    <w:rsid w:val="00816A0B"/>
    <w:rsid w:val="00824B22"/>
    <w:rsid w:val="00824D93"/>
    <w:rsid w:val="00830C53"/>
    <w:rsid w:val="00837FAA"/>
    <w:rsid w:val="00841F77"/>
    <w:rsid w:val="0085276D"/>
    <w:rsid w:val="008556B7"/>
    <w:rsid w:val="0086218C"/>
    <w:rsid w:val="00863390"/>
    <w:rsid w:val="0086385C"/>
    <w:rsid w:val="00871916"/>
    <w:rsid w:val="008956DD"/>
    <w:rsid w:val="008A510E"/>
    <w:rsid w:val="008A522A"/>
    <w:rsid w:val="008A7266"/>
    <w:rsid w:val="008B4464"/>
    <w:rsid w:val="008B750B"/>
    <w:rsid w:val="008C3162"/>
    <w:rsid w:val="008D1F14"/>
    <w:rsid w:val="008E3924"/>
    <w:rsid w:val="008F13F7"/>
    <w:rsid w:val="008F5B4D"/>
    <w:rsid w:val="00905DB8"/>
    <w:rsid w:val="00907425"/>
    <w:rsid w:val="00923C34"/>
    <w:rsid w:val="00924152"/>
    <w:rsid w:val="0092513D"/>
    <w:rsid w:val="00927A9F"/>
    <w:rsid w:val="009335CC"/>
    <w:rsid w:val="00935A55"/>
    <w:rsid w:val="00941CEB"/>
    <w:rsid w:val="0094720F"/>
    <w:rsid w:val="00953B28"/>
    <w:rsid w:val="00954322"/>
    <w:rsid w:val="00957CAA"/>
    <w:rsid w:val="00960A14"/>
    <w:rsid w:val="0096637B"/>
    <w:rsid w:val="0096778A"/>
    <w:rsid w:val="00977656"/>
    <w:rsid w:val="00983540"/>
    <w:rsid w:val="009846A7"/>
    <w:rsid w:val="0098794D"/>
    <w:rsid w:val="0099497B"/>
    <w:rsid w:val="009A43BA"/>
    <w:rsid w:val="009B0D05"/>
    <w:rsid w:val="009B4CA6"/>
    <w:rsid w:val="009B79F8"/>
    <w:rsid w:val="009C15BB"/>
    <w:rsid w:val="009C66D5"/>
    <w:rsid w:val="009D13FD"/>
    <w:rsid w:val="009D266A"/>
    <w:rsid w:val="009F7E07"/>
    <w:rsid w:val="00A01522"/>
    <w:rsid w:val="00A10A11"/>
    <w:rsid w:val="00A13C6A"/>
    <w:rsid w:val="00A16DCE"/>
    <w:rsid w:val="00A17B09"/>
    <w:rsid w:val="00A21503"/>
    <w:rsid w:val="00A457C6"/>
    <w:rsid w:val="00A46AD0"/>
    <w:rsid w:val="00A47063"/>
    <w:rsid w:val="00A473A8"/>
    <w:rsid w:val="00A513F0"/>
    <w:rsid w:val="00A61AC8"/>
    <w:rsid w:val="00A6366F"/>
    <w:rsid w:val="00A65D4C"/>
    <w:rsid w:val="00A70512"/>
    <w:rsid w:val="00A75117"/>
    <w:rsid w:val="00AA1F60"/>
    <w:rsid w:val="00AA40D7"/>
    <w:rsid w:val="00AB5F7D"/>
    <w:rsid w:val="00AC0C50"/>
    <w:rsid w:val="00AC6FE2"/>
    <w:rsid w:val="00AE498C"/>
    <w:rsid w:val="00AF3925"/>
    <w:rsid w:val="00B1296B"/>
    <w:rsid w:val="00B2292F"/>
    <w:rsid w:val="00B43169"/>
    <w:rsid w:val="00B43659"/>
    <w:rsid w:val="00B501A8"/>
    <w:rsid w:val="00B55AE4"/>
    <w:rsid w:val="00B70B46"/>
    <w:rsid w:val="00B739B0"/>
    <w:rsid w:val="00B814A3"/>
    <w:rsid w:val="00B828B9"/>
    <w:rsid w:val="00B96F38"/>
    <w:rsid w:val="00BB6AC6"/>
    <w:rsid w:val="00BC716B"/>
    <w:rsid w:val="00BD0E74"/>
    <w:rsid w:val="00BD3B71"/>
    <w:rsid w:val="00BD5F8C"/>
    <w:rsid w:val="00BE29DD"/>
    <w:rsid w:val="00C066AF"/>
    <w:rsid w:val="00C10E06"/>
    <w:rsid w:val="00C145B8"/>
    <w:rsid w:val="00C21538"/>
    <w:rsid w:val="00C21744"/>
    <w:rsid w:val="00C2438F"/>
    <w:rsid w:val="00C31AF0"/>
    <w:rsid w:val="00C32A7E"/>
    <w:rsid w:val="00C330D4"/>
    <w:rsid w:val="00C34F28"/>
    <w:rsid w:val="00C368DF"/>
    <w:rsid w:val="00C409CD"/>
    <w:rsid w:val="00C442C5"/>
    <w:rsid w:val="00C57B5C"/>
    <w:rsid w:val="00C57C7C"/>
    <w:rsid w:val="00C61049"/>
    <w:rsid w:val="00C63FFE"/>
    <w:rsid w:val="00C669CA"/>
    <w:rsid w:val="00C70238"/>
    <w:rsid w:val="00C91EB6"/>
    <w:rsid w:val="00CA10B0"/>
    <w:rsid w:val="00CA2F8E"/>
    <w:rsid w:val="00CA3424"/>
    <w:rsid w:val="00CA3EE2"/>
    <w:rsid w:val="00CA7FD5"/>
    <w:rsid w:val="00CB3287"/>
    <w:rsid w:val="00CB33E2"/>
    <w:rsid w:val="00CB4E68"/>
    <w:rsid w:val="00CB62D9"/>
    <w:rsid w:val="00CC2733"/>
    <w:rsid w:val="00CC6AB4"/>
    <w:rsid w:val="00CD0050"/>
    <w:rsid w:val="00CE4EA1"/>
    <w:rsid w:val="00CE7481"/>
    <w:rsid w:val="00CF0A8F"/>
    <w:rsid w:val="00D048CE"/>
    <w:rsid w:val="00D10998"/>
    <w:rsid w:val="00D15CBD"/>
    <w:rsid w:val="00D221CB"/>
    <w:rsid w:val="00D23391"/>
    <w:rsid w:val="00D31805"/>
    <w:rsid w:val="00D33985"/>
    <w:rsid w:val="00D35071"/>
    <w:rsid w:val="00D3789B"/>
    <w:rsid w:val="00D41505"/>
    <w:rsid w:val="00D46FC1"/>
    <w:rsid w:val="00D552B9"/>
    <w:rsid w:val="00D735B2"/>
    <w:rsid w:val="00D74021"/>
    <w:rsid w:val="00D76D01"/>
    <w:rsid w:val="00D922A9"/>
    <w:rsid w:val="00D9394A"/>
    <w:rsid w:val="00DB0CBB"/>
    <w:rsid w:val="00DB336C"/>
    <w:rsid w:val="00DB67CC"/>
    <w:rsid w:val="00DC3783"/>
    <w:rsid w:val="00DC6033"/>
    <w:rsid w:val="00DD3E6B"/>
    <w:rsid w:val="00DE1070"/>
    <w:rsid w:val="00E00219"/>
    <w:rsid w:val="00E0316B"/>
    <w:rsid w:val="00E15A50"/>
    <w:rsid w:val="00E20987"/>
    <w:rsid w:val="00E23F4B"/>
    <w:rsid w:val="00E25E10"/>
    <w:rsid w:val="00E260ED"/>
    <w:rsid w:val="00E376A5"/>
    <w:rsid w:val="00E419F1"/>
    <w:rsid w:val="00E50B41"/>
    <w:rsid w:val="00E5219B"/>
    <w:rsid w:val="00E52D07"/>
    <w:rsid w:val="00E5518B"/>
    <w:rsid w:val="00E60313"/>
    <w:rsid w:val="00E609FE"/>
    <w:rsid w:val="00E630BE"/>
    <w:rsid w:val="00E75920"/>
    <w:rsid w:val="00E80D96"/>
    <w:rsid w:val="00E871FA"/>
    <w:rsid w:val="00E936A4"/>
    <w:rsid w:val="00E954BB"/>
    <w:rsid w:val="00EA45E7"/>
    <w:rsid w:val="00EB78E3"/>
    <w:rsid w:val="00EB7BE3"/>
    <w:rsid w:val="00EC1C4B"/>
    <w:rsid w:val="00EC735A"/>
    <w:rsid w:val="00ED016B"/>
    <w:rsid w:val="00ED5F38"/>
    <w:rsid w:val="00ED7413"/>
    <w:rsid w:val="00EE223F"/>
    <w:rsid w:val="00EF27FE"/>
    <w:rsid w:val="00EF73CC"/>
    <w:rsid w:val="00F02BBC"/>
    <w:rsid w:val="00F07FB6"/>
    <w:rsid w:val="00F149D0"/>
    <w:rsid w:val="00F16B53"/>
    <w:rsid w:val="00F25D36"/>
    <w:rsid w:val="00F25ECD"/>
    <w:rsid w:val="00F318BE"/>
    <w:rsid w:val="00F33297"/>
    <w:rsid w:val="00F343FB"/>
    <w:rsid w:val="00F359FE"/>
    <w:rsid w:val="00F42159"/>
    <w:rsid w:val="00F4256E"/>
    <w:rsid w:val="00F42EE1"/>
    <w:rsid w:val="00F43FE7"/>
    <w:rsid w:val="00F511CE"/>
    <w:rsid w:val="00F60F1F"/>
    <w:rsid w:val="00F64141"/>
    <w:rsid w:val="00F67508"/>
    <w:rsid w:val="00F71FC9"/>
    <w:rsid w:val="00F73B48"/>
    <w:rsid w:val="00F7474C"/>
    <w:rsid w:val="00F74F51"/>
    <w:rsid w:val="00F842AD"/>
    <w:rsid w:val="00F914EB"/>
    <w:rsid w:val="00F91B85"/>
    <w:rsid w:val="00F938E7"/>
    <w:rsid w:val="00FA3B17"/>
    <w:rsid w:val="00FA5E8D"/>
    <w:rsid w:val="00FA5F3D"/>
    <w:rsid w:val="00FB399E"/>
    <w:rsid w:val="00FB6177"/>
    <w:rsid w:val="00FB7F50"/>
    <w:rsid w:val="00FC2A85"/>
    <w:rsid w:val="00FC40AF"/>
    <w:rsid w:val="00FC73B9"/>
    <w:rsid w:val="00FD0A16"/>
    <w:rsid w:val="00FE3D7D"/>
    <w:rsid w:val="00FE3F56"/>
    <w:rsid w:val="00FE509A"/>
    <w:rsid w:val="00FE6DCF"/>
    <w:rsid w:val="00FE77B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3993667">
      <w:bodyDiv w:val="1"/>
      <w:marLeft w:val="0"/>
      <w:marRight w:val="0"/>
      <w:marTop w:val="0"/>
      <w:marBottom w:val="0"/>
      <w:divBdr>
        <w:top w:val="none" w:sz="0" w:space="0" w:color="auto"/>
        <w:left w:val="none" w:sz="0" w:space="0" w:color="auto"/>
        <w:bottom w:val="none" w:sz="0" w:space="0" w:color="auto"/>
        <w:right w:val="none" w:sz="0" w:space="0" w:color="auto"/>
      </w:divBdr>
    </w:div>
    <w:div w:id="6935096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877825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6958979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0720862">
      <w:bodyDiv w:val="1"/>
      <w:marLeft w:val="0"/>
      <w:marRight w:val="0"/>
      <w:marTop w:val="0"/>
      <w:marBottom w:val="0"/>
      <w:divBdr>
        <w:top w:val="none" w:sz="0" w:space="0" w:color="auto"/>
        <w:left w:val="none" w:sz="0" w:space="0" w:color="auto"/>
        <w:bottom w:val="none" w:sz="0" w:space="0" w:color="auto"/>
        <w:right w:val="none" w:sz="0" w:space="0" w:color="auto"/>
      </w:divBdr>
    </w:div>
    <w:div w:id="722950611">
      <w:bodyDiv w:val="1"/>
      <w:marLeft w:val="0"/>
      <w:marRight w:val="0"/>
      <w:marTop w:val="0"/>
      <w:marBottom w:val="0"/>
      <w:divBdr>
        <w:top w:val="none" w:sz="0" w:space="0" w:color="auto"/>
        <w:left w:val="none" w:sz="0" w:space="0" w:color="auto"/>
        <w:bottom w:val="none" w:sz="0" w:space="0" w:color="auto"/>
        <w:right w:val="none" w:sz="0" w:space="0" w:color="auto"/>
      </w:divBdr>
    </w:div>
    <w:div w:id="10801781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724595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8996807">
      <w:bodyDiv w:val="1"/>
      <w:marLeft w:val="0"/>
      <w:marRight w:val="0"/>
      <w:marTop w:val="0"/>
      <w:marBottom w:val="0"/>
      <w:divBdr>
        <w:top w:val="none" w:sz="0" w:space="0" w:color="auto"/>
        <w:left w:val="none" w:sz="0" w:space="0" w:color="auto"/>
        <w:bottom w:val="none" w:sz="0" w:space="0" w:color="auto"/>
        <w:right w:val="none" w:sz="0" w:space="0" w:color="auto"/>
      </w:divBdr>
    </w:div>
    <w:div w:id="154147703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5625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766313">
      <w:bodyDiv w:val="1"/>
      <w:marLeft w:val="0"/>
      <w:marRight w:val="0"/>
      <w:marTop w:val="0"/>
      <w:marBottom w:val="0"/>
      <w:divBdr>
        <w:top w:val="none" w:sz="0" w:space="0" w:color="auto"/>
        <w:left w:val="none" w:sz="0" w:space="0" w:color="auto"/>
        <w:bottom w:val="none" w:sz="0" w:space="0" w:color="auto"/>
        <w:right w:val="none" w:sz="0" w:space="0" w:color="auto"/>
      </w:divBdr>
    </w:div>
    <w:div w:id="17115391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93126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51/&#1605;&#1705;&#1579;" TargetMode="External"/><Relationship Id="rId2" Type="http://schemas.openxmlformats.org/officeDocument/2006/relationships/hyperlink" Target="http://lib.eshia.ir/10083/7/375/&#1583;&#1585;&#1607;&#1605;" TargetMode="External"/><Relationship Id="rId1" Type="http://schemas.openxmlformats.org/officeDocument/2006/relationships/hyperlink" Target="http://lib.eshia.ir/10081/1/53/&#1605;&#1591;&#1604;&#1602;&#1575;" TargetMode="External"/><Relationship Id="rId4" Type="http://schemas.openxmlformats.org/officeDocument/2006/relationships/hyperlink" Target="http://lib.eshia.ir/10083/7/375/&#1583;&#1585;&#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7140-7734-4012-AA5D-0E3B4E3D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5</Pages>
  <Words>1294</Words>
  <Characters>7380</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2019-10-09T06:24:00Z</cp:lastPrinted>
  <dcterms:created xsi:type="dcterms:W3CDTF">2019-10-09T06:24:00Z</dcterms:created>
  <dcterms:modified xsi:type="dcterms:W3CDTF">2019-12-04T07:16:00Z</dcterms:modified>
  <cp:contentStatus>ویرایش 2.5</cp:contentStatus>
  <cp:version>2.7</cp:version>
</cp:coreProperties>
</file>