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B2" w:rsidRDefault="006A37B2" w:rsidP="006A37B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6A37B2" w:rsidRDefault="006A37B2" w:rsidP="006A37B2">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78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08</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331733">
      <w:pPr>
        <w:jc w:val="both"/>
        <w:rPr>
          <w:rStyle w:val="Emphasis"/>
          <w:b/>
          <w:bCs w:val="0"/>
          <w:rtl/>
        </w:rPr>
      </w:pPr>
      <w:r w:rsidRPr="009C66D5">
        <w:rPr>
          <w:rStyle w:val="Emphasis"/>
          <w:rFonts w:hint="cs"/>
          <w:b/>
          <w:bCs w:val="0"/>
          <w:rtl/>
        </w:rPr>
        <w:t>خلاصه</w:t>
      </w:r>
      <w:r w:rsidR="009C6CDE">
        <w:rPr>
          <w:rStyle w:val="Emphasis"/>
          <w:rFonts w:hint="cs"/>
          <w:b/>
          <w:bCs w:val="0"/>
          <w:rtl/>
        </w:rPr>
        <w:t>‌ی</w:t>
      </w:r>
      <w:r w:rsidRPr="009C66D5">
        <w:rPr>
          <w:rStyle w:val="Emphasis"/>
          <w:rFonts w:hint="cs"/>
          <w:b/>
          <w:bCs w:val="0"/>
          <w:rtl/>
        </w:rPr>
        <w:t xml:space="preserve"> مباحث گذشته:</w:t>
      </w:r>
    </w:p>
    <w:p w:rsidR="003A6148" w:rsidRDefault="001A752A" w:rsidP="00557FC8">
      <w:pPr>
        <w:pBdr>
          <w:bottom w:val="double" w:sz="6" w:space="1" w:color="auto"/>
        </w:pBdr>
        <w:jc w:val="both"/>
        <w:rPr>
          <w:rtl/>
        </w:rPr>
      </w:pPr>
      <w:r>
        <w:rPr>
          <w:rFonts w:hint="cs"/>
          <w:rtl/>
        </w:rPr>
        <w:t>گفتیم جمع بین روایاتی که دخول را موجب استقرار مهر بیان می کنند و روایاتی که خلوت را موجب استق</w:t>
      </w:r>
      <w:bookmarkStart w:id="0" w:name="_GoBack"/>
      <w:bookmarkEnd w:id="0"/>
      <w:r>
        <w:rPr>
          <w:rFonts w:hint="cs"/>
          <w:rtl/>
        </w:rPr>
        <w:t xml:space="preserve">رار مهر بیان می کنند، این است که </w:t>
      </w:r>
      <w:r w:rsidR="004724E3" w:rsidRPr="004724E3">
        <w:rPr>
          <w:rFonts w:hint="cs"/>
          <w:rtl/>
        </w:rPr>
        <w:t>باید دخول را موضوع حکم واقعی و خلوت را موضوع حکم ظاهری بدانیم.</w:t>
      </w:r>
    </w:p>
    <w:p w:rsidR="00247D2F" w:rsidRPr="003A6148" w:rsidRDefault="00247D2F" w:rsidP="00331733">
      <w:pPr>
        <w:pBdr>
          <w:bottom w:val="double" w:sz="6" w:space="1" w:color="auto"/>
        </w:pBdr>
        <w:jc w:val="both"/>
      </w:pPr>
    </w:p>
    <w:p w:rsidR="008F5B4D" w:rsidRDefault="006139FB" w:rsidP="006139FB">
      <w:pPr>
        <w:pStyle w:val="Heading1"/>
      </w:pPr>
      <w:bookmarkStart w:id="1" w:name="_Toc20714158"/>
      <w:r>
        <w:rPr>
          <w:rFonts w:hint="cs"/>
          <w:rtl/>
        </w:rPr>
        <w:t xml:space="preserve">جمع بین </w:t>
      </w:r>
      <w:r w:rsidR="00165857">
        <w:rPr>
          <w:rFonts w:hint="cs"/>
          <w:rtl/>
        </w:rPr>
        <w:t xml:space="preserve">روایات </w:t>
      </w:r>
      <w:r>
        <w:rPr>
          <w:rFonts w:hint="cs"/>
          <w:rtl/>
        </w:rPr>
        <w:t>دخول و خلوت در کلام فقها</w:t>
      </w:r>
      <w:bookmarkEnd w:id="1"/>
    </w:p>
    <w:p w:rsidR="003E6650" w:rsidRDefault="004724E3" w:rsidP="00DF2D6D">
      <w:pPr>
        <w:jc w:val="both"/>
        <w:rPr>
          <w:rtl/>
        </w:rPr>
      </w:pPr>
      <w:r>
        <w:rPr>
          <w:rFonts w:hint="cs"/>
          <w:rtl/>
        </w:rPr>
        <w:t xml:space="preserve">در کلمات فقها این </w:t>
      </w:r>
      <w:r w:rsidR="00DF2D6D">
        <w:rPr>
          <w:rFonts w:hint="cs"/>
          <w:rtl/>
        </w:rPr>
        <w:t>نوع</w:t>
      </w:r>
      <w:r>
        <w:rPr>
          <w:rFonts w:hint="cs"/>
          <w:rtl/>
        </w:rPr>
        <w:t xml:space="preserve"> جمع که خلوت را موضوع حکم ظاهری بدانیم، با تفاوت هایی آمده است.</w:t>
      </w:r>
    </w:p>
    <w:p w:rsidR="00BD41A0" w:rsidRDefault="006F288C" w:rsidP="00331733">
      <w:pPr>
        <w:jc w:val="both"/>
        <w:rPr>
          <w:rtl/>
        </w:rPr>
      </w:pPr>
      <w:r>
        <w:rPr>
          <w:rFonts w:hint="cs"/>
          <w:rtl/>
        </w:rPr>
        <w:t>مرحوم علامه‌ی حلی در مختلف بعد از بیان کلام شیخ می فرماید: این کلام از باب تقدیم ظاهر بر اصل است.</w:t>
      </w:r>
    </w:p>
    <w:p w:rsidR="007F16AD" w:rsidRDefault="007F16AD" w:rsidP="00331733">
      <w:pPr>
        <w:jc w:val="both"/>
        <w:rPr>
          <w:rtl/>
        </w:rPr>
      </w:pPr>
      <w:r>
        <w:rPr>
          <w:rFonts w:hint="cs"/>
          <w:rtl/>
        </w:rPr>
        <w:t>فقهای بعد از علامه هم تقدیم ظاهر بر اصل را مطرح کرده اند.</w:t>
      </w:r>
    </w:p>
    <w:p w:rsidR="00711F4D" w:rsidRPr="001A27D7" w:rsidRDefault="00711F4D" w:rsidP="00331733">
      <w:pPr>
        <w:jc w:val="both"/>
        <w:rPr>
          <w:rtl/>
        </w:rPr>
      </w:pPr>
      <w:r>
        <w:rPr>
          <w:rFonts w:hint="cs"/>
          <w:rtl/>
        </w:rPr>
        <w:t>ممکن است کسی طبق قاعده‌ی اولیه بگوید ظاهر بر اصل مقدم است.</w:t>
      </w:r>
    </w:p>
    <w:p w:rsidR="00331733" w:rsidRDefault="00040861" w:rsidP="002C3FC1">
      <w:pPr>
        <w:jc w:val="both"/>
        <w:rPr>
          <w:rtl/>
        </w:rPr>
      </w:pPr>
      <w:r>
        <w:rPr>
          <w:rFonts w:hint="cs"/>
          <w:rtl/>
        </w:rPr>
        <w:t>در عبارت «ظاهر خلوت این است که دخول شده است»</w:t>
      </w:r>
      <w:r w:rsidR="00B4460F">
        <w:rPr>
          <w:rFonts w:hint="cs"/>
          <w:rtl/>
        </w:rPr>
        <w:t>،</w:t>
      </w:r>
      <w:r>
        <w:rPr>
          <w:rFonts w:hint="cs"/>
          <w:rtl/>
        </w:rPr>
        <w:t xml:space="preserve"> </w:t>
      </w:r>
      <w:r w:rsidR="00331733">
        <w:rPr>
          <w:rFonts w:hint="cs"/>
          <w:rtl/>
        </w:rPr>
        <w:t>ظاهر یعنی هر آن</w:t>
      </w:r>
      <w:r w:rsidR="00653FB7">
        <w:rPr>
          <w:rFonts w:hint="cs"/>
          <w:rtl/>
        </w:rPr>
        <w:t xml:space="preserve"> </w:t>
      </w:r>
      <w:r w:rsidR="00331733">
        <w:rPr>
          <w:rFonts w:hint="cs"/>
          <w:rtl/>
        </w:rPr>
        <w:t>چه که موجب ظن شود</w:t>
      </w:r>
      <w:r w:rsidR="00B4460F">
        <w:rPr>
          <w:rFonts w:hint="cs"/>
          <w:rtl/>
        </w:rPr>
        <w:t xml:space="preserve"> و گرنه خلوت لسانی ندارد که این لسان ظاهری داشته باشد.</w:t>
      </w:r>
      <w:r w:rsidR="00687EA2">
        <w:rPr>
          <w:rFonts w:hint="cs"/>
          <w:rtl/>
        </w:rPr>
        <w:t xml:space="preserve"> ظاهر یعنی بین خلوت و دخول ملازمه‌ی غالبیه وجود دارد.</w:t>
      </w:r>
      <w:r w:rsidR="00D60F39">
        <w:rPr>
          <w:rFonts w:hint="cs"/>
          <w:rtl/>
        </w:rPr>
        <w:t xml:space="preserve"> در </w:t>
      </w:r>
      <w:r w:rsidR="005005C9">
        <w:rPr>
          <w:rFonts w:hint="cs"/>
          <w:rtl/>
        </w:rPr>
        <w:t>واقع خلوت یک اماره‌ی نوعیه است و</w:t>
      </w:r>
      <w:r w:rsidR="00617E0F">
        <w:rPr>
          <w:rFonts w:hint="cs"/>
          <w:rtl/>
        </w:rPr>
        <w:t xml:space="preserve"> وجود یک اماره‌ی نوعیه موجب اعتبار آن نمی شود.</w:t>
      </w:r>
      <w:r w:rsidR="007F1871">
        <w:rPr>
          <w:rFonts w:hint="cs"/>
          <w:rtl/>
        </w:rPr>
        <w:t xml:space="preserve"> بین اماره بودن و </w:t>
      </w:r>
      <w:r w:rsidR="002C3FC1">
        <w:rPr>
          <w:rFonts w:hint="cs"/>
          <w:rtl/>
        </w:rPr>
        <w:t>اعتبار آن</w:t>
      </w:r>
      <w:r w:rsidR="007F1871">
        <w:rPr>
          <w:rFonts w:hint="cs"/>
          <w:rtl/>
        </w:rPr>
        <w:t xml:space="preserve"> تلازمی نیست.</w:t>
      </w:r>
    </w:p>
    <w:p w:rsidR="00331733" w:rsidRDefault="00D56D22" w:rsidP="004A4000">
      <w:pPr>
        <w:jc w:val="both"/>
        <w:rPr>
          <w:rtl/>
        </w:rPr>
      </w:pPr>
      <w:r>
        <w:rPr>
          <w:rFonts w:hint="cs"/>
          <w:rtl/>
        </w:rPr>
        <w:t>ما نمی گوییم که طبق قاعده‌ی اولیه باید این طور مشی کرد.</w:t>
      </w:r>
      <w:r w:rsidR="006775E7">
        <w:rPr>
          <w:rFonts w:hint="cs"/>
          <w:rtl/>
        </w:rPr>
        <w:t xml:space="preserve"> </w:t>
      </w:r>
      <w:r w:rsidR="004A4000">
        <w:rPr>
          <w:rFonts w:hint="cs"/>
          <w:rtl/>
        </w:rPr>
        <w:t>نظر</w:t>
      </w:r>
      <w:r w:rsidR="006775E7">
        <w:rPr>
          <w:rFonts w:hint="cs"/>
          <w:rtl/>
        </w:rPr>
        <w:t xml:space="preserve"> ما این است که شارع این اماره‌ی نوعیه را معتبر کرده است.</w:t>
      </w:r>
      <w:r w:rsidR="00DB27A3">
        <w:rPr>
          <w:rFonts w:hint="cs"/>
          <w:rtl/>
        </w:rPr>
        <w:t xml:space="preserve"> در واقع با توجه به اماره‌ی نوعیه روایت را معنا می کنیم.</w:t>
      </w:r>
      <w:r w:rsidR="007F527B">
        <w:rPr>
          <w:rFonts w:hint="cs"/>
          <w:rtl/>
        </w:rPr>
        <w:t xml:space="preserve"> </w:t>
      </w:r>
      <w:r w:rsidR="00D9331C">
        <w:rPr>
          <w:rFonts w:hint="cs"/>
          <w:rtl/>
        </w:rPr>
        <w:t xml:space="preserve">اگر روایت نبود، برای خلوت حکم </w:t>
      </w:r>
      <w:r w:rsidR="00915BC5">
        <w:rPr>
          <w:rFonts w:hint="cs"/>
          <w:rtl/>
        </w:rPr>
        <w:t xml:space="preserve">ظاهری </w:t>
      </w:r>
      <w:r w:rsidR="00D9331C">
        <w:rPr>
          <w:rFonts w:hint="cs"/>
          <w:rtl/>
        </w:rPr>
        <w:t>دخول را بار نمی کردیم.</w:t>
      </w:r>
      <w:r w:rsidR="00163696">
        <w:rPr>
          <w:rFonts w:hint="cs"/>
          <w:rtl/>
        </w:rPr>
        <w:t xml:space="preserve"> اما چون روایت داریم که احکام دخول را به مجرد خلوت بار کرده است، جمع عرفی این طور می شود که روایات خلوت را به حکم ظاهری و طریقیت به دخول </w:t>
      </w:r>
      <w:r w:rsidR="006245FF">
        <w:rPr>
          <w:rFonts w:hint="cs"/>
          <w:rtl/>
        </w:rPr>
        <w:t>حمل کنیم.</w:t>
      </w:r>
    </w:p>
    <w:p w:rsidR="006245FF" w:rsidRDefault="006245FF" w:rsidP="00163696">
      <w:pPr>
        <w:jc w:val="both"/>
        <w:rPr>
          <w:rtl/>
        </w:rPr>
      </w:pPr>
      <w:r>
        <w:rPr>
          <w:rFonts w:hint="cs"/>
          <w:rtl/>
        </w:rPr>
        <w:t>ما طبق قاعده‌ی اولیه مشی نمی کنیم. اما لحن کلمات فقها این است که می خواهند طبق قاعده مشی کنند.</w:t>
      </w:r>
      <w:r w:rsidR="00D514E8">
        <w:rPr>
          <w:rFonts w:hint="cs"/>
          <w:rtl/>
        </w:rPr>
        <w:t xml:space="preserve"> البته بعضی از کلمات علما با بیان ما سازگار است</w:t>
      </w:r>
      <w:r w:rsidR="00502C2C">
        <w:rPr>
          <w:rFonts w:hint="cs"/>
          <w:rtl/>
        </w:rPr>
        <w:t>.</w:t>
      </w:r>
    </w:p>
    <w:p w:rsidR="008556CE" w:rsidRDefault="008556CE" w:rsidP="008556CE">
      <w:pPr>
        <w:pStyle w:val="Heading2"/>
        <w:rPr>
          <w:rtl/>
        </w:rPr>
      </w:pPr>
      <w:bookmarkStart w:id="2" w:name="_Toc20714159"/>
      <w:r>
        <w:rPr>
          <w:rFonts w:hint="cs"/>
          <w:rtl/>
        </w:rPr>
        <w:t>کلام علامه در مختلف</w:t>
      </w:r>
      <w:bookmarkEnd w:id="2"/>
    </w:p>
    <w:p w:rsidR="00331733" w:rsidRDefault="003710EB" w:rsidP="00331733">
      <w:pPr>
        <w:jc w:val="both"/>
        <w:rPr>
          <w:rtl/>
        </w:rPr>
      </w:pPr>
      <w:r>
        <w:rPr>
          <w:rFonts w:hint="cs"/>
          <w:rtl/>
        </w:rPr>
        <w:t>علامه در مختلف می فرماید:</w:t>
      </w:r>
    </w:p>
    <w:p w:rsidR="003710EB" w:rsidRPr="003710EB" w:rsidRDefault="003710EB" w:rsidP="003710EB">
      <w:pPr>
        <w:jc w:val="both"/>
        <w:rPr>
          <w:color w:val="000080"/>
        </w:rPr>
      </w:pPr>
      <w:r w:rsidRPr="003710EB">
        <w:rPr>
          <w:rFonts w:hint="cs"/>
          <w:color w:val="000080"/>
          <w:rtl/>
        </w:rPr>
        <w:t xml:space="preserve">«و اعلم أنّ التحقيق في هذا الباب أن نقول: إنّما يجب كمال المهر بالدخول لا بإرخاء الستر و الخلوة، لكن لمّا كانت الخلوة مظنة له </w:t>
      </w:r>
      <w:r w:rsidRPr="003710EB">
        <w:rPr>
          <w:rFonts w:hint="cs"/>
          <w:color w:val="000080"/>
          <w:rtl/>
        </w:rPr>
        <w:lastRenderedPageBreak/>
        <w:t>بحيث لا ينفك عنه غالبا وجب أن لا ينفك عن إيجاب كمال المهر المستند الى الدخول غالبا، فمدّعيه حينئذ يدّعي الظاهر، و منكره يدّعي خلافه، فيحكم للمدعي به مع اليمين، قضاء للظاهر. أمّا مع تصديق المرأة بعدمه فلا يجب الكمال قطعا، و هذا المعنى هو الذي حاوله الشيخ و ابن أبي عمير معا في التأويل السابق.»</w:t>
      </w:r>
      <w:r>
        <w:rPr>
          <w:rStyle w:val="FootnoteReference"/>
          <w:color w:val="000080"/>
          <w:rtl/>
        </w:rPr>
        <w:footnoteReference w:id="1"/>
      </w:r>
    </w:p>
    <w:p w:rsidR="00331733" w:rsidRDefault="008556CE" w:rsidP="008556CE">
      <w:pPr>
        <w:pStyle w:val="Heading2"/>
        <w:rPr>
          <w:rtl/>
        </w:rPr>
      </w:pPr>
      <w:bookmarkStart w:id="3" w:name="_Toc20714160"/>
      <w:r>
        <w:rPr>
          <w:rFonts w:hint="cs"/>
          <w:rtl/>
        </w:rPr>
        <w:t>کلام شهید اول در غایة المراد</w:t>
      </w:r>
      <w:bookmarkEnd w:id="3"/>
    </w:p>
    <w:p w:rsidR="008B0DDB" w:rsidRPr="00692037" w:rsidRDefault="00924965" w:rsidP="008B0DDB">
      <w:pPr>
        <w:rPr>
          <w:color w:val="000080"/>
        </w:rPr>
      </w:pPr>
      <w:r>
        <w:rPr>
          <w:rFonts w:hint="cs"/>
          <w:rtl/>
        </w:rPr>
        <w:t>مرحوم شهید اول در غایة المراد</w:t>
      </w:r>
      <w:r w:rsidR="003D18DB">
        <w:rPr>
          <w:rFonts w:hint="cs"/>
          <w:rtl/>
        </w:rPr>
        <w:t xml:space="preserve"> در توضیح کلام علامه</w:t>
      </w:r>
      <w:r>
        <w:rPr>
          <w:rFonts w:hint="cs"/>
          <w:rtl/>
        </w:rPr>
        <w:t xml:space="preserve"> </w:t>
      </w:r>
      <w:r w:rsidR="003D18DB">
        <w:rPr>
          <w:rFonts w:hint="cs"/>
          <w:rtl/>
        </w:rPr>
        <w:t>می فرماید:</w:t>
      </w:r>
      <w:r w:rsidR="008B0DDB">
        <w:rPr>
          <w:rFonts w:hint="cs"/>
          <w:rtl/>
        </w:rPr>
        <w:t xml:space="preserve"> </w:t>
      </w:r>
      <w:r w:rsidR="008B0DDB" w:rsidRPr="00692037">
        <w:rPr>
          <w:rFonts w:hint="cs"/>
          <w:color w:val="000080"/>
          <w:rtl/>
        </w:rPr>
        <w:t>«و المصنّف في المختلف قرب من قول الشيخ، حيث قدّم قول الزوجة بيمينها، ترجيحا للظاهر، و إقامة للمظنّة مقام اليقين.»</w:t>
      </w:r>
      <w:r w:rsidR="00692037">
        <w:rPr>
          <w:rStyle w:val="FootnoteReference"/>
          <w:color w:val="000080"/>
          <w:rtl/>
        </w:rPr>
        <w:footnoteReference w:id="2"/>
      </w:r>
    </w:p>
    <w:p w:rsidR="00331733" w:rsidRDefault="00D54B1A" w:rsidP="007A0366">
      <w:pPr>
        <w:jc w:val="both"/>
        <w:rPr>
          <w:rtl/>
        </w:rPr>
      </w:pPr>
      <w:r>
        <w:rPr>
          <w:rFonts w:hint="cs"/>
          <w:rtl/>
        </w:rPr>
        <w:t xml:space="preserve">در مورد خلوت اگر زوجه مدعی دخول باشد و زوج مدعی عدم </w:t>
      </w:r>
      <w:r w:rsidR="00CF7392">
        <w:rPr>
          <w:rFonts w:hint="cs"/>
          <w:rtl/>
        </w:rPr>
        <w:t>دخول باشد، قول زوجه مقدم می شود، زیرا</w:t>
      </w:r>
      <w:r w:rsidR="004E631D">
        <w:rPr>
          <w:rFonts w:hint="cs"/>
          <w:rtl/>
        </w:rPr>
        <w:t xml:space="preserve"> گر چه اصل عدم دخول است اما </w:t>
      </w:r>
      <w:r w:rsidR="00A859A8">
        <w:rPr>
          <w:rFonts w:hint="cs"/>
          <w:rtl/>
        </w:rPr>
        <w:t xml:space="preserve">به خاطر ترجیح ظاهر بر اصل قول زن مقدم می شود. سپس </w:t>
      </w:r>
      <w:r w:rsidR="00A57EF4">
        <w:rPr>
          <w:rFonts w:hint="cs"/>
          <w:rtl/>
        </w:rPr>
        <w:t>ظاهر را توضیح می دهد که یعنی ظنی که از غلبه و ملازمه‌ی غالبیه حاصل می شود، نازل منزله‌ی قطع است.</w:t>
      </w:r>
    </w:p>
    <w:p w:rsidR="002F13D2" w:rsidRDefault="002F13D2" w:rsidP="0035097C">
      <w:pPr>
        <w:jc w:val="both"/>
        <w:rPr>
          <w:rtl/>
        </w:rPr>
      </w:pPr>
      <w:r w:rsidRPr="0035097C">
        <w:rPr>
          <w:rFonts w:hint="cs"/>
          <w:highlight w:val="yellow"/>
          <w:rtl/>
        </w:rPr>
        <w:t>به نظر ما این</w:t>
      </w:r>
      <w:r w:rsidR="003165C2">
        <w:rPr>
          <w:rFonts w:hint="cs"/>
          <w:highlight w:val="yellow"/>
          <w:rtl/>
        </w:rPr>
        <w:t xml:space="preserve"> </w:t>
      </w:r>
      <w:r w:rsidRPr="0035097C">
        <w:rPr>
          <w:rFonts w:hint="cs"/>
          <w:highlight w:val="yellow"/>
          <w:rtl/>
        </w:rPr>
        <w:t xml:space="preserve">که </w:t>
      </w:r>
      <w:r>
        <w:rPr>
          <w:rFonts w:hint="cs"/>
          <w:rtl/>
        </w:rPr>
        <w:t>ظن نازل منزله‌ی قطع قرار گرفته است به خاطر قاعده نیست. زیرا طبق قاعده ظن حجت نیست.</w:t>
      </w:r>
      <w:r w:rsidR="0091568D">
        <w:rPr>
          <w:rFonts w:hint="cs"/>
          <w:rtl/>
        </w:rPr>
        <w:t xml:space="preserve"> بلکه روایت این ظن را نازل منزله‌ی یقین قرار داده است.</w:t>
      </w:r>
      <w:r w:rsidR="0011636F">
        <w:rPr>
          <w:rFonts w:hint="cs"/>
          <w:rtl/>
        </w:rPr>
        <w:t xml:space="preserve"> اگر روایت نبود، این مطلب را نمی گفتیم.</w:t>
      </w:r>
    </w:p>
    <w:p w:rsidR="002F13D2" w:rsidRDefault="0035097C" w:rsidP="00451FBE">
      <w:pPr>
        <w:pStyle w:val="Heading2"/>
        <w:rPr>
          <w:rtl/>
        </w:rPr>
      </w:pPr>
      <w:bookmarkStart w:id="4" w:name="_Toc20714161"/>
      <w:r>
        <w:rPr>
          <w:rFonts w:hint="cs"/>
          <w:rtl/>
        </w:rPr>
        <w:t>اشکال فاضل مقداد به علامه</w:t>
      </w:r>
      <w:bookmarkEnd w:id="4"/>
    </w:p>
    <w:p w:rsidR="00C10E0B" w:rsidRPr="00C10E0B" w:rsidRDefault="00CE0699" w:rsidP="00C10E0B">
      <w:pPr>
        <w:jc w:val="both"/>
        <w:rPr>
          <w:color w:val="000080"/>
        </w:rPr>
      </w:pPr>
      <w:r>
        <w:rPr>
          <w:rFonts w:hint="cs"/>
          <w:rtl/>
        </w:rPr>
        <w:t xml:space="preserve">فاضل مقداد پس از بیان کلام علامه می فرماید: </w:t>
      </w:r>
      <w:r w:rsidRPr="00C10E0B">
        <w:rPr>
          <w:rFonts w:hint="cs"/>
          <w:color w:val="000080"/>
          <w:rtl/>
        </w:rPr>
        <w:t>«</w:t>
      </w:r>
      <w:r w:rsidR="00C10E0B" w:rsidRPr="00C10E0B">
        <w:rPr>
          <w:rFonts w:hint="cs"/>
          <w:color w:val="000080"/>
          <w:rtl/>
        </w:rPr>
        <w:t>و فيه نظر، لأنا لا نسلم أن مدعيه يدعي الظاهر، لأن الخلوة قد تنفك عن الوقاع غالبا أيضا: اما لعارض من مرض أو عنة أو عدم الانتشار المستند الى الربط كما هو مشهور، فلا يكون حينئذ مدعيه مدعيا للظاهر.»</w:t>
      </w:r>
      <w:r w:rsidR="00C10E0B">
        <w:rPr>
          <w:rStyle w:val="FootnoteReference"/>
          <w:color w:val="000080"/>
          <w:rtl/>
        </w:rPr>
        <w:footnoteReference w:id="3"/>
      </w:r>
    </w:p>
    <w:p w:rsidR="0035097C" w:rsidRDefault="00153311" w:rsidP="00B04A8D">
      <w:pPr>
        <w:jc w:val="both"/>
        <w:rPr>
          <w:rtl/>
        </w:rPr>
      </w:pPr>
      <w:r>
        <w:rPr>
          <w:rFonts w:hint="cs"/>
          <w:rtl/>
        </w:rPr>
        <w:t xml:space="preserve">فاضل مقداد </w:t>
      </w:r>
      <w:r w:rsidR="00C10E0B">
        <w:rPr>
          <w:rFonts w:hint="cs"/>
          <w:rtl/>
        </w:rPr>
        <w:t>می فرماید</w:t>
      </w:r>
      <w:r>
        <w:rPr>
          <w:rFonts w:hint="cs"/>
          <w:rtl/>
        </w:rPr>
        <w:t>:</w:t>
      </w:r>
      <w:r w:rsidR="00C10E0B">
        <w:rPr>
          <w:rFonts w:hint="cs"/>
          <w:rtl/>
        </w:rPr>
        <w:t xml:space="preserve"> ما قبول نداریم که مدعی دخول، مدعی ظهور است.</w:t>
      </w:r>
      <w:r w:rsidR="00C73494">
        <w:rPr>
          <w:rFonts w:hint="cs"/>
          <w:rtl/>
        </w:rPr>
        <w:t xml:space="preserve"> زیرا </w:t>
      </w:r>
      <w:r w:rsidR="00B04A8D">
        <w:rPr>
          <w:rFonts w:hint="cs"/>
          <w:rtl/>
        </w:rPr>
        <w:t>در بعضی موارد</w:t>
      </w:r>
      <w:r w:rsidR="00C73494">
        <w:rPr>
          <w:rFonts w:hint="cs"/>
          <w:rtl/>
        </w:rPr>
        <w:t xml:space="preserve"> خلوت غالبا از دخول منفک است.</w:t>
      </w:r>
      <w:r w:rsidR="000C41A0">
        <w:rPr>
          <w:rFonts w:hint="cs"/>
          <w:rtl/>
        </w:rPr>
        <w:t xml:space="preserve"> مثلا در جایی که زن یا مرد مریض است یا به واسطه‌ی سحر و جادو </w:t>
      </w:r>
      <w:r w:rsidR="00355DB5">
        <w:rPr>
          <w:rFonts w:hint="cs"/>
          <w:rtl/>
        </w:rPr>
        <w:t>انتشار عضو نمی شود.</w:t>
      </w:r>
    </w:p>
    <w:p w:rsidR="000C41A0" w:rsidRDefault="000C41A0" w:rsidP="0035097C">
      <w:pPr>
        <w:jc w:val="both"/>
        <w:rPr>
          <w:rtl/>
        </w:rPr>
      </w:pPr>
      <w:r>
        <w:rPr>
          <w:rFonts w:hint="cs"/>
          <w:rtl/>
        </w:rPr>
        <w:t>ربط به معنای بستن از طریق سحر و جادو است.</w:t>
      </w:r>
    </w:p>
    <w:p w:rsidR="00FF0753" w:rsidRDefault="00FF0753" w:rsidP="00FF0753">
      <w:pPr>
        <w:jc w:val="both"/>
        <w:rPr>
          <w:rtl/>
        </w:rPr>
      </w:pPr>
      <w:r>
        <w:rPr>
          <w:rFonts w:hint="cs"/>
          <w:rtl/>
        </w:rPr>
        <w:t>فاضل مقداد می فرماید</w:t>
      </w:r>
      <w:r w:rsidR="005E42DF">
        <w:rPr>
          <w:rFonts w:hint="cs"/>
          <w:rtl/>
        </w:rPr>
        <w:t>:</w:t>
      </w:r>
      <w:r>
        <w:rPr>
          <w:rFonts w:hint="cs"/>
          <w:rtl/>
        </w:rPr>
        <w:t xml:space="preserve"> ما دو صنف مرد داریم: یک صنف مرد سالم و یک صنف مرد مریض؛ در صنف سالم خلوت غالبا همراه با دخول است.</w:t>
      </w:r>
      <w:r w:rsidR="00BB53A6">
        <w:rPr>
          <w:rFonts w:hint="cs"/>
          <w:rtl/>
        </w:rPr>
        <w:t xml:space="preserve"> اما در صنف مریض این طور نیست.</w:t>
      </w:r>
      <w:r w:rsidR="0023719D">
        <w:rPr>
          <w:rFonts w:hint="cs"/>
          <w:rtl/>
        </w:rPr>
        <w:t xml:space="preserve"> پس باید بگویید در افراد سالم چنین ظاهری وجود دارد.</w:t>
      </w:r>
    </w:p>
    <w:p w:rsidR="0038314F" w:rsidRDefault="0038314F" w:rsidP="00FF0753">
      <w:pPr>
        <w:jc w:val="both"/>
        <w:rPr>
          <w:rtl/>
        </w:rPr>
      </w:pPr>
      <w:r>
        <w:rPr>
          <w:rFonts w:hint="cs"/>
          <w:rtl/>
        </w:rPr>
        <w:lastRenderedPageBreak/>
        <w:t xml:space="preserve">این کلام فاضل مقداد موجب شده است </w:t>
      </w:r>
      <w:r w:rsidR="00541265">
        <w:rPr>
          <w:rFonts w:hint="cs"/>
          <w:rtl/>
        </w:rPr>
        <w:t xml:space="preserve">که </w:t>
      </w:r>
      <w:r>
        <w:rPr>
          <w:rFonts w:hint="cs"/>
          <w:rtl/>
        </w:rPr>
        <w:t>بعضی فقهای د</w:t>
      </w:r>
      <w:r w:rsidR="00541265">
        <w:rPr>
          <w:rFonts w:hint="cs"/>
          <w:rtl/>
        </w:rPr>
        <w:t>یگر قید سالم را هم اخذ کنند.</w:t>
      </w:r>
    </w:p>
    <w:p w:rsidR="00105525" w:rsidRPr="00105525" w:rsidRDefault="00105525" w:rsidP="00105525">
      <w:pPr>
        <w:jc w:val="both"/>
        <w:rPr>
          <w:color w:val="000080"/>
        </w:rPr>
      </w:pPr>
      <w:r>
        <w:rPr>
          <w:rFonts w:hint="cs"/>
          <w:rtl/>
        </w:rPr>
        <w:t xml:space="preserve">ابن فهد حلی در </w:t>
      </w:r>
      <w:r w:rsidR="00025E0A">
        <w:rPr>
          <w:rFonts w:hint="cs"/>
          <w:rtl/>
        </w:rPr>
        <w:t>ال</w:t>
      </w:r>
      <w:r>
        <w:rPr>
          <w:rFonts w:hint="cs"/>
          <w:rtl/>
        </w:rPr>
        <w:t xml:space="preserve">مهذب </w:t>
      </w:r>
      <w:r w:rsidR="00025E0A">
        <w:rPr>
          <w:rFonts w:hint="cs"/>
          <w:rtl/>
        </w:rPr>
        <w:t>ال</w:t>
      </w:r>
      <w:r>
        <w:rPr>
          <w:rFonts w:hint="cs"/>
          <w:rtl/>
        </w:rPr>
        <w:t xml:space="preserve">بارع می فرماید: </w:t>
      </w:r>
      <w:r w:rsidRPr="00105525">
        <w:rPr>
          <w:rFonts w:hint="cs"/>
          <w:color w:val="000080"/>
          <w:rtl/>
        </w:rPr>
        <w:t>«لأنها تدّعي الظاهر إذا شاهد حال الصحيح مع خلوته بالحليلة و عدم المانع من مواقعتها»</w:t>
      </w:r>
      <w:r w:rsidR="0053385D">
        <w:rPr>
          <w:rStyle w:val="FootnoteReference"/>
          <w:color w:val="000080"/>
          <w:rtl/>
        </w:rPr>
        <w:footnoteReference w:id="4"/>
      </w:r>
    </w:p>
    <w:p w:rsidR="00105525" w:rsidRDefault="00105525" w:rsidP="00FF0753">
      <w:pPr>
        <w:jc w:val="both"/>
        <w:rPr>
          <w:rtl/>
        </w:rPr>
      </w:pPr>
      <w:r>
        <w:rPr>
          <w:rFonts w:hint="cs"/>
          <w:rtl/>
        </w:rPr>
        <w:t>قید صحیح بودن را هم آورده است.</w:t>
      </w:r>
    </w:p>
    <w:p w:rsidR="00783BA1" w:rsidRPr="00040FC5" w:rsidRDefault="00987AFC" w:rsidP="00783BA1">
      <w:pPr>
        <w:jc w:val="both"/>
        <w:rPr>
          <w:color w:val="000080"/>
        </w:rPr>
      </w:pPr>
      <w:r>
        <w:rPr>
          <w:rFonts w:hint="cs"/>
          <w:rtl/>
        </w:rPr>
        <w:t xml:space="preserve">مرحوم ابن فهد در خلاصه‌ی </w:t>
      </w:r>
      <w:r w:rsidR="00025E0A">
        <w:rPr>
          <w:rFonts w:hint="cs"/>
          <w:rtl/>
        </w:rPr>
        <w:t>ال</w:t>
      </w:r>
      <w:r>
        <w:rPr>
          <w:rFonts w:hint="cs"/>
          <w:rtl/>
        </w:rPr>
        <w:t>مهذب الب</w:t>
      </w:r>
      <w:r w:rsidR="00402928">
        <w:rPr>
          <w:rFonts w:hint="cs"/>
          <w:rtl/>
        </w:rPr>
        <w:t xml:space="preserve">ارع مطلب را واضح تر بیان می کند: </w:t>
      </w:r>
      <w:r w:rsidR="00402928" w:rsidRPr="00040FC5">
        <w:rPr>
          <w:rFonts w:hint="cs"/>
          <w:color w:val="000080"/>
          <w:rtl/>
        </w:rPr>
        <w:t>«</w:t>
      </w:r>
      <w:r w:rsidR="00783BA1" w:rsidRPr="00040FC5">
        <w:rPr>
          <w:rFonts w:hint="cs"/>
          <w:color w:val="000080"/>
          <w:rtl/>
        </w:rPr>
        <w:t>و ان كانت الخلوة تامة، و يعني بها إرخاء الستر أو إغلاق الباب مع عدم حصول مانع، كالجب في الرجل، و القرن في المرأة، بل يجب المهر في الظاهر، عملا بشاهد حال الصحيح.»</w:t>
      </w:r>
      <w:r w:rsidR="00783BA1" w:rsidRPr="00040FC5">
        <w:rPr>
          <w:rStyle w:val="FootnoteReference"/>
          <w:color w:val="000080"/>
          <w:rtl/>
        </w:rPr>
        <w:footnoteReference w:id="5"/>
      </w:r>
    </w:p>
    <w:p w:rsidR="00040FC5" w:rsidRPr="005028AF" w:rsidRDefault="00040FC5" w:rsidP="00040FC5">
      <w:pPr>
        <w:jc w:val="both"/>
        <w:rPr>
          <w:color w:val="000080"/>
        </w:rPr>
      </w:pPr>
      <w:r>
        <w:rPr>
          <w:rFonts w:hint="cs"/>
          <w:rtl/>
        </w:rPr>
        <w:t xml:space="preserve">شیخ </w:t>
      </w:r>
      <w:r w:rsidR="00187347">
        <w:rPr>
          <w:rFonts w:hint="cs"/>
          <w:rtl/>
        </w:rPr>
        <w:t>مفلح صیمری در غایة</w:t>
      </w:r>
      <w:r>
        <w:rPr>
          <w:rFonts w:hint="cs"/>
          <w:rtl/>
        </w:rPr>
        <w:t xml:space="preserve"> المرام می فرماید: </w:t>
      </w:r>
      <w:r w:rsidRPr="005028AF">
        <w:rPr>
          <w:rFonts w:hint="cs"/>
          <w:color w:val="000080"/>
          <w:rtl/>
        </w:rPr>
        <w:t>«لأن الظاهر من حال الصحيح السليم إذا خلى بالزوجة المواقعة، فيكون القول قولها عملا بالظاهر»</w:t>
      </w:r>
      <w:r w:rsidR="005028AF">
        <w:rPr>
          <w:rStyle w:val="FootnoteReference"/>
          <w:color w:val="000080"/>
          <w:rtl/>
        </w:rPr>
        <w:footnoteReference w:id="6"/>
      </w:r>
    </w:p>
    <w:p w:rsidR="00C10E0B" w:rsidRDefault="00656B30" w:rsidP="008069D6">
      <w:pPr>
        <w:jc w:val="both"/>
        <w:rPr>
          <w:rtl/>
        </w:rPr>
      </w:pPr>
      <w:r>
        <w:rPr>
          <w:rFonts w:hint="cs"/>
          <w:rtl/>
        </w:rPr>
        <w:t xml:space="preserve">بحث این که مریض و سالم را </w:t>
      </w:r>
      <w:r w:rsidR="008069D6">
        <w:rPr>
          <w:rFonts w:hint="cs"/>
          <w:rtl/>
        </w:rPr>
        <w:t xml:space="preserve">باید </w:t>
      </w:r>
      <w:r>
        <w:rPr>
          <w:rFonts w:hint="cs"/>
          <w:rtl/>
        </w:rPr>
        <w:t>با هم ملاحظه کنیم یا فقط سالم را ملاحظه کنیم</w:t>
      </w:r>
      <w:r w:rsidR="00B4385D">
        <w:rPr>
          <w:rFonts w:hint="cs"/>
          <w:rtl/>
        </w:rPr>
        <w:t xml:space="preserve"> بر اساس مشی</w:t>
      </w:r>
      <w:r w:rsidR="00757AE7">
        <w:rPr>
          <w:rFonts w:hint="cs"/>
          <w:rtl/>
        </w:rPr>
        <w:t xml:space="preserve"> بر</w:t>
      </w:r>
      <w:r w:rsidR="00B4385D">
        <w:rPr>
          <w:rFonts w:hint="cs"/>
          <w:rtl/>
        </w:rPr>
        <w:t xml:space="preserve"> طبق قاعده‌ی اولیه است.</w:t>
      </w:r>
    </w:p>
    <w:p w:rsidR="0035097C" w:rsidRDefault="000B3782" w:rsidP="005D17B5">
      <w:pPr>
        <w:jc w:val="both"/>
        <w:rPr>
          <w:rtl/>
        </w:rPr>
      </w:pPr>
      <w:r>
        <w:rPr>
          <w:rFonts w:hint="cs"/>
          <w:rtl/>
        </w:rPr>
        <w:t xml:space="preserve">اما ما می گوییم روایت در مورد خلوت حکم دخول را بار کرده است. با توجه به جمع عرفی </w:t>
      </w:r>
      <w:r w:rsidR="006867FC">
        <w:rPr>
          <w:rFonts w:hint="cs"/>
          <w:rtl/>
        </w:rPr>
        <w:t xml:space="preserve">ای </w:t>
      </w:r>
      <w:r>
        <w:rPr>
          <w:rFonts w:hint="cs"/>
          <w:rtl/>
        </w:rPr>
        <w:t xml:space="preserve">که گفتیم </w:t>
      </w:r>
      <w:r w:rsidR="00F13025">
        <w:rPr>
          <w:rFonts w:hint="cs"/>
          <w:rtl/>
        </w:rPr>
        <w:t>ترتب احکام دخول بر خلوت یک حکم ظاهری شرعی</w:t>
      </w:r>
      <w:r w:rsidR="00B77A85">
        <w:rPr>
          <w:rFonts w:hint="cs"/>
          <w:rtl/>
        </w:rPr>
        <w:t xml:space="preserve"> است؛</w:t>
      </w:r>
      <w:r w:rsidR="00582C86">
        <w:rPr>
          <w:rFonts w:hint="cs"/>
          <w:rtl/>
        </w:rPr>
        <w:t xml:space="preserve"> زیرا یک اماره‌ی نوعیه وجود دارد. اماره‌ی نوعیه یعنی شارع مقدس نوع خلوت را و نه صنف خاصی از آن را </w:t>
      </w:r>
      <w:r w:rsidR="0002417A">
        <w:rPr>
          <w:rFonts w:hint="cs"/>
          <w:rtl/>
        </w:rPr>
        <w:t>در نظر گرفته است</w:t>
      </w:r>
      <w:r w:rsidR="0049002B">
        <w:rPr>
          <w:rFonts w:hint="cs"/>
          <w:rtl/>
        </w:rPr>
        <w:t xml:space="preserve"> و چون غالبا خلوت با دخول همراه است حکم دخول را به طور کلی برای خلوت بار کرده است.</w:t>
      </w:r>
    </w:p>
    <w:p w:rsidR="00597066" w:rsidRDefault="00FF5C66" w:rsidP="00451FBE">
      <w:pPr>
        <w:jc w:val="both"/>
        <w:rPr>
          <w:rtl/>
        </w:rPr>
      </w:pPr>
      <w:r>
        <w:rPr>
          <w:rFonts w:hint="cs"/>
          <w:rtl/>
        </w:rPr>
        <w:t>طبق بیان ما ترجیح ظاهر بر اصل روشن است. ظاهر همان اماره‌ی معتبره است که بر اصل مقدم می شود. اعتبار این ظاهر هم از روایات استفاده می شود.</w:t>
      </w:r>
      <w:r w:rsidR="00CC0D28">
        <w:rPr>
          <w:rFonts w:hint="cs"/>
          <w:rtl/>
        </w:rPr>
        <w:t xml:space="preserve"> روایاتی که حکم خلوت را مانند حکم دخول می دانند در مقام بیان معتبر بودن این اماره‌ی نوعیه هستند.</w:t>
      </w:r>
    </w:p>
    <w:p w:rsidR="0053385D" w:rsidRPr="004F1456" w:rsidRDefault="00610CE4" w:rsidP="0090339A">
      <w:pPr>
        <w:jc w:val="both"/>
        <w:rPr>
          <w:rtl/>
        </w:rPr>
      </w:pPr>
      <w:r>
        <w:rPr>
          <w:rFonts w:hint="cs"/>
          <w:rtl/>
        </w:rPr>
        <w:t>عبارت علامه</w:t>
      </w:r>
      <w:r w:rsidR="001D35C6">
        <w:rPr>
          <w:rFonts w:hint="cs"/>
          <w:rtl/>
        </w:rPr>
        <w:t xml:space="preserve"> را</w:t>
      </w:r>
      <w:r>
        <w:rPr>
          <w:rFonts w:hint="cs"/>
          <w:rtl/>
        </w:rPr>
        <w:t xml:space="preserve"> که فرمود: </w:t>
      </w:r>
      <w:r w:rsidRPr="003710EB">
        <w:rPr>
          <w:rFonts w:hint="cs"/>
          <w:color w:val="000080"/>
          <w:rtl/>
        </w:rPr>
        <w:t>قضاء للظاهر</w:t>
      </w:r>
      <w:r>
        <w:rPr>
          <w:rFonts w:hint="cs"/>
          <w:color w:val="000080"/>
          <w:rtl/>
        </w:rPr>
        <w:t xml:space="preserve"> </w:t>
      </w:r>
      <w:r>
        <w:rPr>
          <w:rFonts w:hint="cs"/>
          <w:rtl/>
        </w:rPr>
        <w:t xml:space="preserve">می توان </w:t>
      </w:r>
      <w:r w:rsidR="007626A2">
        <w:rPr>
          <w:rFonts w:hint="cs"/>
          <w:rtl/>
        </w:rPr>
        <w:t xml:space="preserve">بر بیان ما </w:t>
      </w:r>
      <w:r>
        <w:rPr>
          <w:rFonts w:hint="cs"/>
          <w:rtl/>
        </w:rPr>
        <w:t xml:space="preserve">منطبق کرد. زیرا این که می فرماید: </w:t>
      </w:r>
      <w:r w:rsidRPr="003710EB">
        <w:rPr>
          <w:rFonts w:hint="cs"/>
          <w:color w:val="000080"/>
          <w:rtl/>
        </w:rPr>
        <w:t>قضاء للظاهر</w:t>
      </w:r>
      <w:r>
        <w:rPr>
          <w:rFonts w:hint="cs"/>
          <w:color w:val="000080"/>
          <w:rtl/>
        </w:rPr>
        <w:t xml:space="preserve"> </w:t>
      </w:r>
      <w:r w:rsidRPr="004F1456">
        <w:rPr>
          <w:rFonts w:hint="cs"/>
          <w:rtl/>
        </w:rPr>
        <w:t>مشخص نیست که منظورش این است که ظاهر به طور کلی بر اصل مقدم است یا این که ظاهر به خاطر اعتبار بخشی شارع مقدم شده است.</w:t>
      </w:r>
    </w:p>
    <w:p w:rsidR="0053385D" w:rsidRDefault="004F1456" w:rsidP="00610CE4">
      <w:pPr>
        <w:rPr>
          <w:rtl/>
        </w:rPr>
      </w:pPr>
      <w:r>
        <w:rPr>
          <w:rFonts w:hint="cs"/>
          <w:rtl/>
        </w:rPr>
        <w:t>عبارت شهید اول را هم می توانیم بر بیان خودمان منطبق کنیم.</w:t>
      </w:r>
    </w:p>
    <w:p w:rsidR="00694C07" w:rsidRPr="00610CE4" w:rsidRDefault="00694C07" w:rsidP="00610CE4">
      <w:pPr>
        <w:rPr>
          <w:rtl/>
        </w:rPr>
      </w:pPr>
      <w:r>
        <w:rPr>
          <w:rFonts w:hint="cs"/>
          <w:rtl/>
        </w:rPr>
        <w:t>اما عبارات فاضل مقداد و ابن فهد ظهور قوی بر مشی طبق قاعده دارند.</w:t>
      </w:r>
    </w:p>
    <w:p w:rsidR="00451FBE" w:rsidRDefault="00451FBE" w:rsidP="00451FBE">
      <w:pPr>
        <w:pStyle w:val="Heading2"/>
        <w:rPr>
          <w:rtl/>
        </w:rPr>
      </w:pPr>
      <w:bookmarkStart w:id="5" w:name="_Toc20714162"/>
      <w:r>
        <w:rPr>
          <w:rFonts w:hint="cs"/>
          <w:rtl/>
        </w:rPr>
        <w:t>کلام فاضل اصفهانی در کشف اللثام</w:t>
      </w:r>
      <w:bookmarkEnd w:id="5"/>
    </w:p>
    <w:p w:rsidR="0053385D" w:rsidRPr="00610CE4" w:rsidRDefault="001468A8" w:rsidP="00610CE4">
      <w:pPr>
        <w:rPr>
          <w:rtl/>
        </w:rPr>
      </w:pPr>
      <w:r>
        <w:rPr>
          <w:rFonts w:hint="cs"/>
          <w:rtl/>
        </w:rPr>
        <w:t>مرحوم فاضل اصفهانی در کشف اللثام می فرماید:</w:t>
      </w:r>
    </w:p>
    <w:p w:rsidR="003142A9" w:rsidRPr="00595B49" w:rsidRDefault="00595B49" w:rsidP="003142A9">
      <w:pPr>
        <w:jc w:val="both"/>
        <w:rPr>
          <w:color w:val="000080"/>
        </w:rPr>
      </w:pPr>
      <w:r w:rsidRPr="00595B49">
        <w:rPr>
          <w:rFonts w:hint="cs"/>
          <w:color w:val="000080"/>
          <w:rtl/>
        </w:rPr>
        <w:t>«</w:t>
      </w:r>
      <w:r w:rsidR="003142A9" w:rsidRPr="00595B49">
        <w:rPr>
          <w:rFonts w:hint="cs"/>
          <w:color w:val="000080"/>
          <w:rtl/>
        </w:rPr>
        <w:t>و الصواب ما حكي عن ابن أبي عمير و ارتضاه الصدوق و الشيخ و غيرهما أنّه مع الخلوة التامّة إذا ادعت عليه الدخول كان القول قولها للظاهر، إلّا أن يظهر الخلاف ببيّنة أو بقاء بكارة.</w:t>
      </w:r>
      <w:r w:rsidRPr="00595B49">
        <w:rPr>
          <w:rFonts w:hint="cs"/>
          <w:color w:val="000080"/>
          <w:rtl/>
        </w:rPr>
        <w:t>»</w:t>
      </w:r>
      <w:r>
        <w:rPr>
          <w:rStyle w:val="FootnoteReference"/>
          <w:color w:val="000080"/>
          <w:rtl/>
        </w:rPr>
        <w:footnoteReference w:id="7"/>
      </w:r>
    </w:p>
    <w:p w:rsidR="00630956" w:rsidRPr="00630956" w:rsidRDefault="00D31785" w:rsidP="00630956">
      <w:pPr>
        <w:jc w:val="both"/>
      </w:pPr>
      <w:r>
        <w:rPr>
          <w:rFonts w:hint="cs"/>
          <w:rtl/>
        </w:rPr>
        <w:t xml:space="preserve">در </w:t>
      </w:r>
      <w:r w:rsidR="007B15C5">
        <w:rPr>
          <w:rFonts w:hint="cs"/>
          <w:rtl/>
        </w:rPr>
        <w:t>مورد عبارت</w:t>
      </w:r>
      <w:r>
        <w:rPr>
          <w:rFonts w:hint="cs"/>
          <w:rtl/>
        </w:rPr>
        <w:t xml:space="preserve"> </w:t>
      </w:r>
      <w:r w:rsidR="007B15C5" w:rsidRPr="00595B49">
        <w:rPr>
          <w:rFonts w:hint="cs"/>
          <w:color w:val="000080"/>
          <w:rtl/>
        </w:rPr>
        <w:t>كان القول قولها للظاهر</w:t>
      </w:r>
      <w:r w:rsidR="007B15C5">
        <w:rPr>
          <w:rFonts w:hint="cs"/>
          <w:rtl/>
        </w:rPr>
        <w:t xml:space="preserve"> </w:t>
      </w:r>
      <w:r>
        <w:rPr>
          <w:rFonts w:hint="cs"/>
          <w:rtl/>
        </w:rPr>
        <w:t>توضیح نمی دهد که ظاهر به چه معناست.</w:t>
      </w:r>
      <w:r w:rsidR="007B15C5">
        <w:rPr>
          <w:rFonts w:hint="cs"/>
          <w:rtl/>
        </w:rPr>
        <w:t xml:space="preserve"> اما در </w:t>
      </w:r>
      <w:r w:rsidR="00630956">
        <w:rPr>
          <w:rFonts w:hint="cs"/>
          <w:rtl/>
        </w:rPr>
        <w:t xml:space="preserve">جای دیگر می فرماید: </w:t>
      </w:r>
      <w:r w:rsidR="00630956" w:rsidRPr="00073964">
        <w:rPr>
          <w:rFonts w:hint="cs"/>
          <w:color w:val="000080"/>
          <w:rtl/>
        </w:rPr>
        <w:t>«خلافا لبعض كما نقل في الخلاف لظاهر بعض الروايات، و قد عرفت سابقا أنّ المراد منها أنّ القول قولها إذا ادّعت الدخول للظهور.»</w:t>
      </w:r>
      <w:r w:rsidR="00073964">
        <w:rPr>
          <w:rStyle w:val="FootnoteReference"/>
          <w:color w:val="000080"/>
          <w:rtl/>
        </w:rPr>
        <w:footnoteReference w:id="8"/>
      </w:r>
    </w:p>
    <w:p w:rsidR="0035097C" w:rsidRDefault="0014302E" w:rsidP="00161C0B">
      <w:pPr>
        <w:jc w:val="both"/>
        <w:rPr>
          <w:rtl/>
        </w:rPr>
      </w:pPr>
      <w:r>
        <w:rPr>
          <w:rFonts w:hint="cs"/>
          <w:rtl/>
        </w:rPr>
        <w:t>می فرماید</w:t>
      </w:r>
      <w:r w:rsidR="005E42DF">
        <w:rPr>
          <w:rFonts w:hint="cs"/>
          <w:rtl/>
        </w:rPr>
        <w:t>:</w:t>
      </w:r>
      <w:r>
        <w:rPr>
          <w:rFonts w:hint="cs"/>
          <w:rtl/>
        </w:rPr>
        <w:t xml:space="preserve"> مراد از روایات این است که اگر</w:t>
      </w:r>
      <w:r w:rsidR="00161C0B">
        <w:rPr>
          <w:rFonts w:hint="cs"/>
          <w:rtl/>
        </w:rPr>
        <w:t xml:space="preserve"> زن</w:t>
      </w:r>
      <w:r>
        <w:rPr>
          <w:rFonts w:hint="cs"/>
          <w:rtl/>
        </w:rPr>
        <w:t xml:space="preserve"> ادعای دخول </w:t>
      </w:r>
      <w:r w:rsidR="00161C0B">
        <w:rPr>
          <w:rFonts w:hint="cs"/>
          <w:rtl/>
        </w:rPr>
        <w:t>کند</w:t>
      </w:r>
      <w:r>
        <w:rPr>
          <w:rFonts w:hint="cs"/>
          <w:rtl/>
        </w:rPr>
        <w:t>، به خاطر ظاهر حال قول زن پذیرفته می شود.</w:t>
      </w:r>
      <w:r w:rsidR="009807C4">
        <w:rPr>
          <w:rFonts w:hint="cs"/>
          <w:rtl/>
        </w:rPr>
        <w:t xml:space="preserve"> این عبارت کاملا با بیان ما سازگار است.</w:t>
      </w:r>
    </w:p>
    <w:p w:rsidR="0035097C" w:rsidRDefault="00451FBE" w:rsidP="00451FBE">
      <w:pPr>
        <w:pStyle w:val="Heading2"/>
        <w:rPr>
          <w:rtl/>
        </w:rPr>
      </w:pPr>
      <w:bookmarkStart w:id="6" w:name="_Toc20714163"/>
      <w:r>
        <w:rPr>
          <w:rFonts w:hint="cs"/>
          <w:rtl/>
        </w:rPr>
        <w:t>اشکال مرحوم آقای خوانساری به جمع ابن ابی عمیر</w:t>
      </w:r>
      <w:bookmarkEnd w:id="6"/>
    </w:p>
    <w:p w:rsidR="0035097C" w:rsidRDefault="00CC0692" w:rsidP="0035097C">
      <w:pPr>
        <w:jc w:val="both"/>
        <w:rPr>
          <w:rtl/>
        </w:rPr>
      </w:pPr>
      <w:r>
        <w:rPr>
          <w:rFonts w:hint="cs"/>
          <w:rtl/>
        </w:rPr>
        <w:t xml:space="preserve">مرحوم </w:t>
      </w:r>
      <w:r w:rsidR="00F7464D">
        <w:rPr>
          <w:rFonts w:hint="cs"/>
          <w:rtl/>
        </w:rPr>
        <w:t>آقای خوانساری فرمودند:</w:t>
      </w:r>
      <w:r>
        <w:rPr>
          <w:rFonts w:hint="cs"/>
          <w:rtl/>
        </w:rPr>
        <w:t xml:space="preserve"> طریقی</w:t>
      </w:r>
      <w:r w:rsidR="004314DD">
        <w:rPr>
          <w:rFonts w:hint="cs"/>
          <w:rtl/>
        </w:rPr>
        <w:t>ت</w:t>
      </w:r>
      <w:r w:rsidR="00EC6F06">
        <w:rPr>
          <w:rFonts w:hint="cs"/>
          <w:rtl/>
        </w:rPr>
        <w:t xml:space="preserve"> که وجه جمع ذکر شده در کلام ابن ابی عمیر بود</w:t>
      </w:r>
      <w:r w:rsidR="004314DD">
        <w:rPr>
          <w:rFonts w:hint="cs"/>
          <w:rtl/>
        </w:rPr>
        <w:t xml:space="preserve"> در بعضی از روایات باب نمی آید</w:t>
      </w:r>
      <w:r w:rsidR="00315EC4">
        <w:rPr>
          <w:rFonts w:hint="cs"/>
          <w:rtl/>
        </w:rPr>
        <w:t>،</w:t>
      </w:r>
      <w:r w:rsidR="004314DD">
        <w:rPr>
          <w:rFonts w:hint="cs"/>
          <w:rtl/>
        </w:rPr>
        <w:t xml:space="preserve"> گفتیم ظاهرا آن روایت همان داستان امام باقر علیه السلام است:</w:t>
      </w:r>
    </w:p>
    <w:p w:rsidR="0012576E" w:rsidRPr="005C6379" w:rsidRDefault="009472D7" w:rsidP="0012576E">
      <w:pPr>
        <w:jc w:val="both"/>
        <w:rPr>
          <w:color w:val="008000"/>
          <w:rtl/>
        </w:rPr>
      </w:pPr>
      <w:r w:rsidRPr="005C6379">
        <w:rPr>
          <w:rFonts w:hint="cs"/>
          <w:color w:val="008000"/>
          <w:rtl/>
        </w:rPr>
        <w:t>«</w:t>
      </w:r>
      <w:r w:rsidR="0012576E" w:rsidRPr="005C6379">
        <w:rPr>
          <w:rFonts w:hint="cs"/>
          <w:color w:val="008000"/>
          <w:rtl/>
        </w:rPr>
        <w:t>عَلِيُّ بْنُ الْحَسَنِ عَنْ عَلِيِّ بْنِ أَسْبَاطٍ عَنْ‏ عَلَاءِ بْنِ رَزِينٍ عَنْ مُحَمَّدِ بْنِ مُسْلِمٍ عَنْ أَبِي جَعْفَرٍ ع قَالَ: سَأَلْتُهُ عَنِ الْمَهْرِ مَتَى يَجِبُ قَالَ إِذَا أُرْخِيَتِ‏ السُّتُورُ وَ أُجِيفَ الْبَابُ وَ قَالَ إِنِّي تَزَوَّجْتُ امْرَأَةً فِي حَيَاةِ أَبِي عَلِيِّ بْنِ الْحُسَيْنِ ع وَ إِنَّ نَفْسِي تَاقَتْ إِلَيْهَا فَذَهَبْتُ إِلَيْهَا فَنَهَانِي أَبِي فَقَالَ لَا تَفْعَلْ يَا بُنَيَّ لَا تَأْتِهَا فِي هَذِهِ السَّاعَةِ وَ إِنِّي أَبَيْتُ إِلَّا أَنْ أَفْعَلَ فَلَمَّا دَخَلْتُ عَلَيْهَا قَذَفْتُ إِلَيْهَا بِكِسَاءٍ كَانَ عَلَيَّ وَ كَرِهْتُهَا وَ ذَهَبْتُ لِأَخْرُجَ فَقَامَتْ مَوْلَاةٌ لَهَا فَأَرْخَتِ السِّتْرَ وَ أَجَافَتِ الْبَابَ فَقُلْتُ مَهْ قَدْ وَجَبَ الَّذِي تُرِيدِينَ.</w:t>
      </w:r>
      <w:r w:rsidRPr="005C6379">
        <w:rPr>
          <w:rFonts w:hint="cs"/>
          <w:color w:val="008000"/>
          <w:rtl/>
        </w:rPr>
        <w:t>»</w:t>
      </w:r>
      <w:r w:rsidR="005C6379">
        <w:rPr>
          <w:rStyle w:val="FootnoteReference"/>
          <w:color w:val="008000"/>
          <w:rtl/>
        </w:rPr>
        <w:footnoteReference w:id="9"/>
      </w:r>
    </w:p>
    <w:p w:rsidR="00451FBE" w:rsidRDefault="00451FBE" w:rsidP="00451FBE">
      <w:pPr>
        <w:pStyle w:val="Heading3"/>
        <w:rPr>
          <w:rtl/>
        </w:rPr>
      </w:pPr>
      <w:bookmarkStart w:id="7" w:name="_Toc20714164"/>
      <w:r>
        <w:rPr>
          <w:rFonts w:hint="cs"/>
          <w:rtl/>
        </w:rPr>
        <w:t>اشکال به مرحوم آقای خوانساری</w:t>
      </w:r>
      <w:bookmarkEnd w:id="7"/>
    </w:p>
    <w:p w:rsidR="0012576E" w:rsidRDefault="009F658B" w:rsidP="0035097C">
      <w:pPr>
        <w:jc w:val="both"/>
        <w:rPr>
          <w:rtl/>
        </w:rPr>
      </w:pPr>
      <w:r>
        <w:rPr>
          <w:rFonts w:hint="cs"/>
          <w:rtl/>
        </w:rPr>
        <w:t>این روایت را بنا بر جمع ابن ابی عمیر هم می توان معنا کرد و مشکلی هم پیش نمی آید.</w:t>
      </w:r>
    </w:p>
    <w:p w:rsidR="009F658B" w:rsidRDefault="009F658B" w:rsidP="0035097C">
      <w:pPr>
        <w:jc w:val="both"/>
        <w:rPr>
          <w:rtl/>
        </w:rPr>
      </w:pPr>
      <w:r>
        <w:rPr>
          <w:rFonts w:hint="cs"/>
          <w:rtl/>
        </w:rPr>
        <w:t>آن زن اگر به محکمه مراجعه می کرد و مدعی دخول می شد، محکمه به جهت این که خلوت تامه حا</w:t>
      </w:r>
      <w:r w:rsidR="00451FBE">
        <w:rPr>
          <w:rFonts w:hint="cs"/>
          <w:rtl/>
        </w:rPr>
        <w:t>صل شده است، به نفع زن حکم می کرد</w:t>
      </w:r>
      <w:r>
        <w:rPr>
          <w:rFonts w:hint="cs"/>
          <w:rtl/>
        </w:rPr>
        <w:t xml:space="preserve"> ولو مرد ثقه باشد.</w:t>
      </w:r>
      <w:r w:rsidR="004C71FF">
        <w:rPr>
          <w:rFonts w:hint="cs"/>
          <w:rtl/>
        </w:rPr>
        <w:t xml:space="preserve"> حجیت خبر ثقه در غیر باب تنازع است.</w:t>
      </w:r>
      <w:r w:rsidR="008A0370">
        <w:rPr>
          <w:rFonts w:hint="cs"/>
          <w:rtl/>
        </w:rPr>
        <w:t xml:space="preserve"> اما در باب تنازع قول ثقه برای اثبات ادعایش کافی نیست و به بینه‌ی خارجی نیاز دارد و خودش هم نمی تواند جزء بینه باشد.</w:t>
      </w:r>
    </w:p>
    <w:p w:rsidR="002F13D2" w:rsidRDefault="002F13D2" w:rsidP="0035097C">
      <w:pPr>
        <w:jc w:val="both"/>
        <w:rPr>
          <w:rtl/>
        </w:rPr>
      </w:pPr>
      <w:r>
        <w:rPr>
          <w:rFonts w:hint="cs"/>
          <w:rtl/>
        </w:rPr>
        <w:t xml:space="preserve"> </w:t>
      </w:r>
      <w:r w:rsidR="007E1259">
        <w:rPr>
          <w:rFonts w:hint="cs"/>
          <w:rtl/>
        </w:rPr>
        <w:t>این که امام</w:t>
      </w:r>
      <w:r w:rsidR="00B72BC0" w:rsidRPr="00B72BC0">
        <w:rPr>
          <w:rFonts w:hint="cs"/>
          <w:rtl/>
        </w:rPr>
        <w:t xml:space="preserve"> </w:t>
      </w:r>
      <w:r w:rsidR="00B72BC0">
        <w:rPr>
          <w:rFonts w:hint="cs"/>
          <w:rtl/>
        </w:rPr>
        <w:t>علیه السلام</w:t>
      </w:r>
      <w:r w:rsidR="007E1259">
        <w:rPr>
          <w:rFonts w:hint="cs"/>
          <w:rtl/>
        </w:rPr>
        <w:t xml:space="preserve"> می فرماید: </w:t>
      </w:r>
      <w:r w:rsidR="007E1259" w:rsidRPr="005C6379">
        <w:rPr>
          <w:rFonts w:hint="cs"/>
          <w:color w:val="008000"/>
          <w:rtl/>
        </w:rPr>
        <w:t>قَدْ وَجَبَ الَّذِي تُرِيدِينَ</w:t>
      </w:r>
      <w:r w:rsidR="007E1259">
        <w:rPr>
          <w:rFonts w:hint="cs"/>
          <w:rtl/>
        </w:rPr>
        <w:t xml:space="preserve"> یعنی شما طبق حکم ظاهری شرعی به هدفتان رسیدید.</w:t>
      </w:r>
    </w:p>
    <w:p w:rsidR="007E1259" w:rsidRDefault="007E1259" w:rsidP="0035097C">
      <w:pPr>
        <w:jc w:val="both"/>
        <w:rPr>
          <w:rtl/>
        </w:rPr>
      </w:pPr>
      <w:r>
        <w:rPr>
          <w:rFonts w:hint="cs"/>
          <w:rtl/>
        </w:rPr>
        <w:t>این داستان امام باقر علیه السلام نقل های متفاوتی دارد. در بعضی از نقل هایش این طور آمده است که امام باقر علیه السلام می فرماید: پس از این ماجرا نزد پدرم رفتم و پدرم فرمود: بیش از نصف مهر واجب نبوده است.</w:t>
      </w:r>
    </w:p>
    <w:p w:rsidR="00FC7E77" w:rsidRPr="00594506" w:rsidRDefault="00FC7E77" w:rsidP="00594506">
      <w:pPr>
        <w:jc w:val="both"/>
        <w:rPr>
          <w:rtl/>
        </w:rPr>
      </w:pPr>
      <w:r>
        <w:rPr>
          <w:rFonts w:hint="cs"/>
          <w:rtl/>
        </w:rPr>
        <w:t>جمع این نقل ها به همین صورت است که آن چه واقعا واجب بوده است، نصف مهر بوده است ولی حکم ظاهری که مبنای محکمه است، تمام مهر است.</w:t>
      </w:r>
      <w:r w:rsidR="001828AB">
        <w:rPr>
          <w:rFonts w:hint="cs"/>
          <w:rtl/>
        </w:rPr>
        <w:t xml:space="preserve"> ابن ابی عم</w:t>
      </w:r>
      <w:r w:rsidR="00A73339">
        <w:rPr>
          <w:rFonts w:hint="cs"/>
          <w:rtl/>
        </w:rPr>
        <w:t>یر هم این طور تعبیر کرده بود: «</w:t>
      </w:r>
      <w:r w:rsidR="00A73339" w:rsidRPr="00A357EF">
        <w:rPr>
          <w:rFonts w:hint="cs"/>
          <w:color w:val="000080"/>
          <w:rtl/>
        </w:rPr>
        <w:t>أَنَّ الْوَالِيَ إِنَّمَا يَحْكُمُ بِالْحُكْمِ الظَّاهِرِ</w:t>
      </w:r>
      <w:r w:rsidR="00A73339">
        <w:rPr>
          <w:rFonts w:hint="cs"/>
          <w:color w:val="000080"/>
          <w:rtl/>
        </w:rPr>
        <w:t>»</w:t>
      </w:r>
      <w:r w:rsidR="00594506">
        <w:rPr>
          <w:rFonts w:hint="cs"/>
          <w:color w:val="000080"/>
          <w:rtl/>
        </w:rPr>
        <w:t xml:space="preserve"> </w:t>
      </w:r>
      <w:r w:rsidR="00594506" w:rsidRPr="00594506">
        <w:rPr>
          <w:rFonts w:hint="cs"/>
          <w:rtl/>
        </w:rPr>
        <w:t xml:space="preserve">این </w:t>
      </w:r>
      <w:r w:rsidR="00594506">
        <w:rPr>
          <w:rFonts w:hint="cs"/>
          <w:rtl/>
        </w:rPr>
        <w:t xml:space="preserve">روایت هم ناظر به همین مطلب است که امام باقر </w:t>
      </w:r>
      <w:r w:rsidR="00507C0E">
        <w:rPr>
          <w:rFonts w:hint="cs"/>
          <w:rtl/>
        </w:rPr>
        <w:t xml:space="preserve">علیه السلام </w:t>
      </w:r>
      <w:r w:rsidR="00594506">
        <w:rPr>
          <w:rFonts w:hint="cs"/>
          <w:rtl/>
        </w:rPr>
        <w:t>بیش از نصف مهر بر ذمه اش نبوده اما اگر والی بخواهد حکم کند به خاطر ارخاء ستر و اجافه</w:t>
      </w:r>
      <w:r w:rsidR="00114FB5">
        <w:rPr>
          <w:rFonts w:hint="cs"/>
          <w:rtl/>
        </w:rPr>
        <w:t>‌ی</w:t>
      </w:r>
      <w:r w:rsidR="00594506">
        <w:rPr>
          <w:rFonts w:hint="cs"/>
          <w:rtl/>
        </w:rPr>
        <w:t xml:space="preserve"> باب، حکم به تمام مهر می کند.</w:t>
      </w:r>
    </w:p>
    <w:p w:rsidR="002F13D2" w:rsidRDefault="00426271" w:rsidP="0035097C">
      <w:pPr>
        <w:jc w:val="both"/>
        <w:rPr>
          <w:rtl/>
        </w:rPr>
      </w:pPr>
      <w:r>
        <w:rPr>
          <w:rFonts w:hint="cs"/>
          <w:rtl/>
        </w:rPr>
        <w:t xml:space="preserve">در بعضی روایات هم آمده است که امام </w:t>
      </w:r>
      <w:r w:rsidR="00507C0E">
        <w:rPr>
          <w:rFonts w:hint="cs"/>
          <w:rtl/>
        </w:rPr>
        <w:t xml:space="preserve">علیه السلام </w:t>
      </w:r>
      <w:r>
        <w:rPr>
          <w:rFonts w:hint="cs"/>
          <w:rtl/>
        </w:rPr>
        <w:t>مصالحه کردند.</w:t>
      </w:r>
    </w:p>
    <w:p w:rsidR="00451FBE" w:rsidRDefault="00451FBE" w:rsidP="00451FBE">
      <w:pPr>
        <w:pStyle w:val="Heading2"/>
        <w:rPr>
          <w:rtl/>
        </w:rPr>
      </w:pPr>
      <w:bookmarkStart w:id="8" w:name="_Toc20714165"/>
      <w:r>
        <w:rPr>
          <w:rFonts w:hint="cs"/>
          <w:rtl/>
        </w:rPr>
        <w:t>کلام شهید ثانی در مسالک</w:t>
      </w:r>
      <w:bookmarkEnd w:id="8"/>
    </w:p>
    <w:p w:rsidR="009C06B6" w:rsidRPr="004C3FEB" w:rsidRDefault="002452C6" w:rsidP="009C06B6">
      <w:pPr>
        <w:jc w:val="both"/>
        <w:rPr>
          <w:color w:val="000080"/>
        </w:rPr>
      </w:pPr>
      <w:r>
        <w:rPr>
          <w:rFonts w:hint="cs"/>
          <w:rtl/>
        </w:rPr>
        <w:t xml:space="preserve">شهید ثانی در مسالک می فرماید: </w:t>
      </w:r>
      <w:r w:rsidR="004C3FEB" w:rsidRPr="004C3FEB">
        <w:rPr>
          <w:rFonts w:hint="cs"/>
          <w:color w:val="000080"/>
          <w:rtl/>
        </w:rPr>
        <w:t>«</w:t>
      </w:r>
      <w:r w:rsidRPr="004C3FEB">
        <w:rPr>
          <w:rFonts w:hint="cs"/>
          <w:color w:val="000080"/>
          <w:rtl/>
        </w:rPr>
        <w:t>و الحقّ أنه ليس في الأخبار على كثرتها و اختلافها خبر صحيح إلا خبر زرارة الذي نبّهنا على صحّته، و هو دالّ على المذهب الأول، إلا أن فيه إشكالا، لأنه‌</w:t>
      </w:r>
      <w:r w:rsidR="009C06B6" w:rsidRPr="004C3FEB">
        <w:rPr>
          <w:rFonts w:hint="cs"/>
          <w:color w:val="000080"/>
          <w:rtl/>
        </w:rPr>
        <w:t xml:space="preserve"> حكم في آخره أن موت الزوج يوجب تنصيف المهر كالطلاق، و الأشهر خلافه.</w:t>
      </w:r>
    </w:p>
    <w:p w:rsidR="009C06B6" w:rsidRPr="004C3FEB" w:rsidRDefault="009C06B6" w:rsidP="009C06B6">
      <w:pPr>
        <w:jc w:val="both"/>
        <w:rPr>
          <w:color w:val="000080"/>
          <w:rtl/>
        </w:rPr>
      </w:pPr>
      <w:r w:rsidRPr="004C3FEB">
        <w:rPr>
          <w:rFonts w:hint="cs"/>
          <w:color w:val="000080"/>
          <w:rtl/>
        </w:rPr>
        <w:t>فبقي الاعتماد في القول الأول على الآية و الأصل.</w:t>
      </w:r>
      <w:r w:rsidR="004C3FEB" w:rsidRPr="004C3FEB">
        <w:rPr>
          <w:rFonts w:hint="cs"/>
          <w:color w:val="000080"/>
          <w:rtl/>
        </w:rPr>
        <w:t>»</w:t>
      </w:r>
      <w:r w:rsidR="004C3FEB">
        <w:rPr>
          <w:rStyle w:val="FootnoteReference"/>
          <w:color w:val="000080"/>
          <w:rtl/>
        </w:rPr>
        <w:footnoteReference w:id="10"/>
      </w:r>
    </w:p>
    <w:p w:rsidR="002F13D2" w:rsidRPr="006162A2" w:rsidRDefault="004C3FEB" w:rsidP="00735492">
      <w:pPr>
        <w:jc w:val="both"/>
        <w:rPr>
          <w:rtl/>
        </w:rPr>
      </w:pPr>
      <w:r>
        <w:rPr>
          <w:rFonts w:hint="cs"/>
          <w:rtl/>
        </w:rPr>
        <w:t>جلسه‌‌ی بعد د</w:t>
      </w:r>
      <w:r w:rsidR="00735492">
        <w:rPr>
          <w:rFonts w:hint="cs"/>
          <w:rtl/>
        </w:rPr>
        <w:t>ر مورد این روایت بحث خواهیم کرد.</w:t>
      </w:r>
    </w:p>
    <w:sectPr w:rsidR="002F13D2"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7F" w:rsidRDefault="003C507F" w:rsidP="008B750B">
      <w:pPr>
        <w:spacing w:line="240" w:lineRule="auto"/>
      </w:pPr>
      <w:r>
        <w:separator/>
      </w:r>
    </w:p>
  </w:endnote>
  <w:endnote w:type="continuationSeparator" w:id="0">
    <w:p w:rsidR="003C507F" w:rsidRDefault="003C507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60380" w:rsidRPr="00360380">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5A02B9" w:rsidP="001B6799">
          <w:pPr>
            <w:pStyle w:val="Footer"/>
            <w:bidi w:val="0"/>
            <w:rPr>
              <w:color w:val="808080" w:themeColor="background1" w:themeShade="80"/>
              <w:rtl/>
            </w:rPr>
          </w:pPr>
          <w:bookmarkStart w:id="16" w:name="BokAdres"/>
          <w:bookmarkEnd w:id="16"/>
          <w:r>
            <w:rPr>
              <w:color w:val="808080" w:themeColor="background1" w:themeShade="80"/>
            </w:rPr>
            <w:t>F1js1_13980708-010_mk3_mfeb.ir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7F" w:rsidRDefault="003C507F" w:rsidP="008B750B">
      <w:pPr>
        <w:spacing w:line="240" w:lineRule="auto"/>
      </w:pPr>
      <w:r>
        <w:separator/>
      </w:r>
    </w:p>
  </w:footnote>
  <w:footnote w:type="continuationSeparator" w:id="0">
    <w:p w:rsidR="003C507F" w:rsidRDefault="003C507F" w:rsidP="008B750B">
      <w:pPr>
        <w:spacing w:line="240" w:lineRule="auto"/>
      </w:pPr>
      <w:r>
        <w:continuationSeparator/>
      </w:r>
    </w:p>
  </w:footnote>
  <w:footnote w:id="1">
    <w:p w:rsidR="003710EB" w:rsidRPr="003710EB" w:rsidRDefault="003710EB" w:rsidP="003710EB">
      <w:pPr>
        <w:pStyle w:val="FootnoteText"/>
      </w:pPr>
      <w:r w:rsidRPr="003710EB">
        <w:footnoteRef/>
      </w:r>
      <w:r w:rsidRPr="003710EB">
        <w:rPr>
          <w:rtl/>
        </w:rPr>
        <w:t xml:space="preserve"> </w:t>
      </w:r>
      <w:hyperlink r:id="rId1" w:history="1">
        <w:r w:rsidRPr="003710EB">
          <w:rPr>
            <w:rStyle w:val="Hyperlink"/>
            <w:rFonts w:hint="cs"/>
            <w:rtl/>
          </w:rPr>
          <w:t>مختلف</w:t>
        </w:r>
        <w:r w:rsidRPr="003710EB">
          <w:rPr>
            <w:rStyle w:val="Hyperlink"/>
            <w:rtl/>
          </w:rPr>
          <w:t xml:space="preserve"> </w:t>
        </w:r>
        <w:r w:rsidRPr="003710EB">
          <w:rPr>
            <w:rStyle w:val="Hyperlink"/>
            <w:rFonts w:hint="cs"/>
            <w:rtl/>
          </w:rPr>
          <w:t>الشیعة</w:t>
        </w:r>
        <w:r w:rsidRPr="003710EB">
          <w:rPr>
            <w:rStyle w:val="Hyperlink"/>
            <w:rtl/>
          </w:rPr>
          <w:t xml:space="preserve"> </w:t>
        </w:r>
        <w:r w:rsidRPr="003710EB">
          <w:rPr>
            <w:rStyle w:val="Hyperlink"/>
            <w:rFonts w:hint="cs"/>
            <w:rtl/>
          </w:rPr>
          <w:t>فی</w:t>
        </w:r>
        <w:r w:rsidRPr="003710EB">
          <w:rPr>
            <w:rStyle w:val="Hyperlink"/>
            <w:rtl/>
          </w:rPr>
          <w:t xml:space="preserve"> </w:t>
        </w:r>
        <w:r w:rsidRPr="003710EB">
          <w:rPr>
            <w:rStyle w:val="Hyperlink"/>
            <w:rFonts w:hint="cs"/>
            <w:rtl/>
          </w:rPr>
          <w:t>أحكام</w:t>
        </w:r>
        <w:r w:rsidRPr="003710EB">
          <w:rPr>
            <w:rStyle w:val="Hyperlink"/>
            <w:rtl/>
          </w:rPr>
          <w:t xml:space="preserve"> </w:t>
        </w:r>
        <w:r w:rsidRPr="003710EB">
          <w:rPr>
            <w:rStyle w:val="Hyperlink"/>
            <w:rFonts w:hint="cs"/>
            <w:rtl/>
          </w:rPr>
          <w:t>الشریعة،</w:t>
        </w:r>
        <w:r w:rsidRPr="003710EB">
          <w:rPr>
            <w:rStyle w:val="Hyperlink"/>
            <w:rtl/>
          </w:rPr>
          <w:t xml:space="preserve"> </w:t>
        </w:r>
        <w:r w:rsidRPr="003710EB">
          <w:rPr>
            <w:rStyle w:val="Hyperlink"/>
            <w:rFonts w:hint="cs"/>
            <w:rtl/>
          </w:rPr>
          <w:t>علامه</w:t>
        </w:r>
        <w:r w:rsidRPr="003710EB">
          <w:rPr>
            <w:rStyle w:val="Hyperlink"/>
            <w:rtl/>
          </w:rPr>
          <w:t xml:space="preserve"> </w:t>
        </w:r>
        <w:r w:rsidRPr="003710EB">
          <w:rPr>
            <w:rStyle w:val="Hyperlink"/>
            <w:rFonts w:hint="cs"/>
            <w:rtl/>
          </w:rPr>
          <w:t>حلی،</w:t>
        </w:r>
        <w:r w:rsidRPr="003710EB">
          <w:rPr>
            <w:rStyle w:val="Hyperlink"/>
            <w:rtl/>
          </w:rPr>
          <w:t xml:space="preserve"> </w:t>
        </w:r>
        <w:r w:rsidRPr="003710EB">
          <w:rPr>
            <w:rStyle w:val="Hyperlink"/>
            <w:rFonts w:hint="cs"/>
            <w:rtl/>
          </w:rPr>
          <w:t>ج</w:t>
        </w:r>
        <w:r w:rsidRPr="003710EB">
          <w:rPr>
            <w:rStyle w:val="Hyperlink"/>
            <w:rtl/>
          </w:rPr>
          <w:t>7</w:t>
        </w:r>
        <w:r w:rsidRPr="003710EB">
          <w:rPr>
            <w:rStyle w:val="Hyperlink"/>
            <w:rFonts w:hint="cs"/>
            <w:rtl/>
          </w:rPr>
          <w:t>،</w:t>
        </w:r>
        <w:r w:rsidRPr="003710EB">
          <w:rPr>
            <w:rStyle w:val="Hyperlink"/>
            <w:rtl/>
          </w:rPr>
          <w:t xml:space="preserve"> </w:t>
        </w:r>
        <w:r w:rsidRPr="003710EB">
          <w:rPr>
            <w:rStyle w:val="Hyperlink"/>
            <w:rFonts w:hint="cs"/>
            <w:rtl/>
          </w:rPr>
          <w:t>ص</w:t>
        </w:r>
        <w:r w:rsidRPr="003710EB">
          <w:rPr>
            <w:rStyle w:val="Hyperlink"/>
            <w:rtl/>
          </w:rPr>
          <w:t>159.</w:t>
        </w:r>
      </w:hyperlink>
    </w:p>
  </w:footnote>
  <w:footnote w:id="2">
    <w:p w:rsidR="00692037" w:rsidRDefault="00692037" w:rsidP="00692037">
      <w:pPr>
        <w:pStyle w:val="FootnoteText"/>
      </w:pPr>
      <w:r>
        <w:rPr>
          <w:rStyle w:val="FootnoteReference"/>
        </w:rPr>
        <w:footnoteRef/>
      </w:r>
      <w:r>
        <w:rPr>
          <w:rtl/>
        </w:rPr>
        <w:t xml:space="preserve"> </w:t>
      </w:r>
      <w:r w:rsidRPr="00692037">
        <w:rPr>
          <w:rFonts w:hint="cs"/>
          <w:rtl/>
        </w:rPr>
        <w:t>غاية المراد في شرح نكت الإرشاد، ج‌3، ص: 135</w:t>
      </w:r>
    </w:p>
  </w:footnote>
  <w:footnote w:id="3">
    <w:p w:rsidR="00C10E0B" w:rsidRPr="00C10E0B" w:rsidRDefault="00C10E0B" w:rsidP="00C10E0B">
      <w:pPr>
        <w:pStyle w:val="FootnoteText"/>
      </w:pPr>
      <w:r w:rsidRPr="00C10E0B">
        <w:footnoteRef/>
      </w:r>
      <w:r w:rsidRPr="00C10E0B">
        <w:rPr>
          <w:rtl/>
        </w:rPr>
        <w:t xml:space="preserve"> </w:t>
      </w:r>
      <w:hyperlink r:id="rId2" w:history="1">
        <w:r w:rsidRPr="00C10E0B">
          <w:rPr>
            <w:rStyle w:val="Hyperlink"/>
            <w:rFonts w:hint="cs"/>
            <w:rtl/>
          </w:rPr>
          <w:t>التنقیح</w:t>
        </w:r>
        <w:r w:rsidRPr="00C10E0B">
          <w:rPr>
            <w:rStyle w:val="Hyperlink"/>
            <w:rtl/>
          </w:rPr>
          <w:t xml:space="preserve"> </w:t>
        </w:r>
        <w:r w:rsidRPr="00C10E0B">
          <w:rPr>
            <w:rStyle w:val="Hyperlink"/>
            <w:rFonts w:hint="cs"/>
            <w:rtl/>
          </w:rPr>
          <w:t>الرائع</w:t>
        </w:r>
        <w:r w:rsidRPr="00C10E0B">
          <w:rPr>
            <w:rStyle w:val="Hyperlink"/>
            <w:rtl/>
          </w:rPr>
          <w:t xml:space="preserve"> </w:t>
        </w:r>
        <w:r w:rsidRPr="00C10E0B">
          <w:rPr>
            <w:rStyle w:val="Hyperlink"/>
            <w:rFonts w:hint="cs"/>
            <w:rtl/>
          </w:rPr>
          <w:t>لمختصر</w:t>
        </w:r>
        <w:r w:rsidRPr="00C10E0B">
          <w:rPr>
            <w:rStyle w:val="Hyperlink"/>
            <w:rtl/>
          </w:rPr>
          <w:t xml:space="preserve"> </w:t>
        </w:r>
        <w:r w:rsidRPr="00C10E0B">
          <w:rPr>
            <w:rStyle w:val="Hyperlink"/>
            <w:rFonts w:hint="cs"/>
            <w:rtl/>
          </w:rPr>
          <w:t>الشرائع،</w:t>
        </w:r>
        <w:r w:rsidRPr="00C10E0B">
          <w:rPr>
            <w:rStyle w:val="Hyperlink"/>
            <w:rtl/>
          </w:rPr>
          <w:t xml:space="preserve"> </w:t>
        </w:r>
        <w:r w:rsidRPr="00C10E0B">
          <w:rPr>
            <w:rStyle w:val="Hyperlink"/>
            <w:rFonts w:hint="cs"/>
            <w:rtl/>
          </w:rPr>
          <w:t>حلّی،</w:t>
        </w:r>
        <w:r w:rsidRPr="00C10E0B">
          <w:rPr>
            <w:rStyle w:val="Hyperlink"/>
            <w:rtl/>
          </w:rPr>
          <w:t xml:space="preserve"> </w:t>
        </w:r>
        <w:r w:rsidRPr="00C10E0B">
          <w:rPr>
            <w:rStyle w:val="Hyperlink"/>
            <w:rFonts w:hint="cs"/>
            <w:rtl/>
          </w:rPr>
          <w:t>مقداد</w:t>
        </w:r>
        <w:r w:rsidRPr="00C10E0B">
          <w:rPr>
            <w:rStyle w:val="Hyperlink"/>
            <w:rtl/>
          </w:rPr>
          <w:t xml:space="preserve"> </w:t>
        </w:r>
        <w:r w:rsidRPr="00C10E0B">
          <w:rPr>
            <w:rStyle w:val="Hyperlink"/>
            <w:rFonts w:hint="cs"/>
            <w:rtl/>
          </w:rPr>
          <w:t>بن</w:t>
        </w:r>
        <w:r w:rsidRPr="00C10E0B">
          <w:rPr>
            <w:rStyle w:val="Hyperlink"/>
            <w:rtl/>
          </w:rPr>
          <w:t xml:space="preserve"> </w:t>
        </w:r>
        <w:r w:rsidRPr="00C10E0B">
          <w:rPr>
            <w:rStyle w:val="Hyperlink"/>
            <w:rFonts w:hint="cs"/>
            <w:rtl/>
          </w:rPr>
          <w:t>عبد</w:t>
        </w:r>
        <w:r w:rsidRPr="00C10E0B">
          <w:rPr>
            <w:rStyle w:val="Hyperlink"/>
            <w:rtl/>
          </w:rPr>
          <w:t xml:space="preserve"> </w:t>
        </w:r>
        <w:r w:rsidRPr="00C10E0B">
          <w:rPr>
            <w:rStyle w:val="Hyperlink"/>
            <w:rFonts w:hint="cs"/>
            <w:rtl/>
          </w:rPr>
          <w:t>اللّه</w:t>
        </w:r>
        <w:r w:rsidRPr="00C10E0B">
          <w:rPr>
            <w:rStyle w:val="Hyperlink"/>
            <w:rtl/>
          </w:rPr>
          <w:t xml:space="preserve"> </w:t>
        </w:r>
        <w:r w:rsidRPr="00C10E0B">
          <w:rPr>
            <w:rStyle w:val="Hyperlink"/>
            <w:rFonts w:hint="cs"/>
            <w:rtl/>
          </w:rPr>
          <w:t>سیوری،</w:t>
        </w:r>
        <w:r w:rsidRPr="00C10E0B">
          <w:rPr>
            <w:rStyle w:val="Hyperlink"/>
            <w:rtl/>
          </w:rPr>
          <w:t xml:space="preserve"> </w:t>
        </w:r>
        <w:r w:rsidRPr="00C10E0B">
          <w:rPr>
            <w:rStyle w:val="Hyperlink"/>
            <w:rFonts w:hint="cs"/>
            <w:rtl/>
          </w:rPr>
          <w:t>فاضل</w:t>
        </w:r>
        <w:r w:rsidRPr="00C10E0B">
          <w:rPr>
            <w:rStyle w:val="Hyperlink"/>
            <w:rtl/>
          </w:rPr>
          <w:t xml:space="preserve"> </w:t>
        </w:r>
        <w:r w:rsidRPr="00C10E0B">
          <w:rPr>
            <w:rStyle w:val="Hyperlink"/>
            <w:rFonts w:hint="cs"/>
            <w:rtl/>
          </w:rPr>
          <w:t>مقداد،</w:t>
        </w:r>
        <w:r w:rsidRPr="00C10E0B">
          <w:rPr>
            <w:rStyle w:val="Hyperlink"/>
            <w:rtl/>
          </w:rPr>
          <w:t xml:space="preserve"> </w:t>
        </w:r>
        <w:r w:rsidRPr="00C10E0B">
          <w:rPr>
            <w:rStyle w:val="Hyperlink"/>
            <w:rFonts w:hint="cs"/>
            <w:rtl/>
          </w:rPr>
          <w:t>ج</w:t>
        </w:r>
        <w:r w:rsidRPr="00C10E0B">
          <w:rPr>
            <w:rStyle w:val="Hyperlink"/>
            <w:rtl/>
          </w:rPr>
          <w:t>3</w:t>
        </w:r>
        <w:r w:rsidRPr="00C10E0B">
          <w:rPr>
            <w:rStyle w:val="Hyperlink"/>
            <w:rFonts w:hint="cs"/>
            <w:rtl/>
          </w:rPr>
          <w:t>،</w:t>
        </w:r>
        <w:r w:rsidRPr="00C10E0B">
          <w:rPr>
            <w:rStyle w:val="Hyperlink"/>
            <w:rtl/>
          </w:rPr>
          <w:t xml:space="preserve"> </w:t>
        </w:r>
        <w:r w:rsidRPr="00C10E0B">
          <w:rPr>
            <w:rStyle w:val="Hyperlink"/>
            <w:rFonts w:hint="cs"/>
            <w:rtl/>
          </w:rPr>
          <w:t>ص</w:t>
        </w:r>
        <w:r w:rsidRPr="00C10E0B">
          <w:rPr>
            <w:rStyle w:val="Hyperlink"/>
            <w:rtl/>
          </w:rPr>
          <w:t>229.</w:t>
        </w:r>
      </w:hyperlink>
    </w:p>
  </w:footnote>
  <w:footnote w:id="4">
    <w:p w:rsidR="0053385D" w:rsidRDefault="0053385D" w:rsidP="0053385D">
      <w:pPr>
        <w:pStyle w:val="FootnoteText"/>
      </w:pPr>
      <w:r>
        <w:rPr>
          <w:rStyle w:val="FootnoteReference"/>
        </w:rPr>
        <w:footnoteRef/>
      </w:r>
      <w:r>
        <w:rPr>
          <w:rtl/>
        </w:rPr>
        <w:t xml:space="preserve"> </w:t>
      </w:r>
      <w:r w:rsidRPr="0053385D">
        <w:rPr>
          <w:rFonts w:hint="cs"/>
          <w:rtl/>
        </w:rPr>
        <w:t>المهذب البارع في شرح المختصر النافع، ج‌3، ص: 401</w:t>
      </w:r>
    </w:p>
  </w:footnote>
  <w:footnote w:id="5">
    <w:p w:rsidR="00783BA1" w:rsidRDefault="00783BA1" w:rsidP="00783BA1">
      <w:pPr>
        <w:pStyle w:val="FootnoteText"/>
      </w:pPr>
      <w:r>
        <w:rPr>
          <w:rStyle w:val="FootnoteReference"/>
        </w:rPr>
        <w:footnoteRef/>
      </w:r>
      <w:r>
        <w:rPr>
          <w:rtl/>
        </w:rPr>
        <w:t xml:space="preserve"> </w:t>
      </w:r>
      <w:r w:rsidRPr="00783BA1">
        <w:rPr>
          <w:rFonts w:hint="cs"/>
          <w:rtl/>
        </w:rPr>
        <w:t>المقتصر من شرح المختصر، ص: 259</w:t>
      </w:r>
    </w:p>
  </w:footnote>
  <w:footnote w:id="6">
    <w:p w:rsidR="005028AF" w:rsidRDefault="005028AF" w:rsidP="005028AF">
      <w:pPr>
        <w:pStyle w:val="FootnoteText"/>
      </w:pPr>
      <w:r>
        <w:rPr>
          <w:rStyle w:val="FootnoteReference"/>
        </w:rPr>
        <w:footnoteRef/>
      </w:r>
      <w:r>
        <w:rPr>
          <w:rtl/>
        </w:rPr>
        <w:t xml:space="preserve"> </w:t>
      </w:r>
      <w:r w:rsidRPr="005028AF">
        <w:rPr>
          <w:rFonts w:hint="cs"/>
          <w:rtl/>
        </w:rPr>
        <w:t>غاية المرام في شرح شرائع الإسلام، ج‌3، ص: 147</w:t>
      </w:r>
    </w:p>
  </w:footnote>
  <w:footnote w:id="7">
    <w:p w:rsidR="00595B49" w:rsidRDefault="00595B49" w:rsidP="00595B49">
      <w:pPr>
        <w:pStyle w:val="FootnoteText"/>
      </w:pPr>
      <w:r>
        <w:rPr>
          <w:rStyle w:val="FootnoteReference"/>
        </w:rPr>
        <w:footnoteRef/>
      </w:r>
      <w:r>
        <w:rPr>
          <w:rtl/>
        </w:rPr>
        <w:t xml:space="preserve"> </w:t>
      </w:r>
      <w:r w:rsidRPr="00595B49">
        <w:rPr>
          <w:rFonts w:hint="cs"/>
          <w:rtl/>
        </w:rPr>
        <w:t>كشف اللثام و الإبهام عن قواعد الأحكام، ج‌7، ص: 414</w:t>
      </w:r>
    </w:p>
  </w:footnote>
  <w:footnote w:id="8">
    <w:p w:rsidR="00073964" w:rsidRDefault="00073964" w:rsidP="00073964">
      <w:pPr>
        <w:pStyle w:val="FootnoteText"/>
      </w:pPr>
      <w:r>
        <w:rPr>
          <w:rStyle w:val="FootnoteReference"/>
        </w:rPr>
        <w:footnoteRef/>
      </w:r>
      <w:r>
        <w:rPr>
          <w:rtl/>
        </w:rPr>
        <w:t xml:space="preserve"> </w:t>
      </w:r>
      <w:r w:rsidRPr="00073964">
        <w:rPr>
          <w:rFonts w:hint="cs"/>
          <w:rtl/>
        </w:rPr>
        <w:t>كشف اللثام و الإبهام عن قواعد الأحكام، ج‌7، ص: 448</w:t>
      </w:r>
    </w:p>
  </w:footnote>
  <w:footnote w:id="9">
    <w:p w:rsidR="005C6379" w:rsidRPr="005C6379" w:rsidRDefault="005C6379" w:rsidP="005C6379">
      <w:pPr>
        <w:pStyle w:val="FootnoteText"/>
      </w:pPr>
      <w:r w:rsidRPr="005C6379">
        <w:footnoteRef/>
      </w:r>
      <w:r w:rsidRPr="005C6379">
        <w:rPr>
          <w:rtl/>
        </w:rPr>
        <w:t xml:space="preserve"> </w:t>
      </w:r>
      <w:hyperlink r:id="rId3" w:history="1">
        <w:r w:rsidRPr="005C6379">
          <w:rPr>
            <w:rStyle w:val="Hyperlink"/>
            <w:rFonts w:hint="cs"/>
            <w:rtl/>
          </w:rPr>
          <w:t>تهذیب</w:t>
        </w:r>
        <w:r w:rsidRPr="005C6379">
          <w:rPr>
            <w:rStyle w:val="Hyperlink"/>
            <w:rtl/>
          </w:rPr>
          <w:t xml:space="preserve"> </w:t>
        </w:r>
        <w:r w:rsidRPr="005C6379">
          <w:rPr>
            <w:rStyle w:val="Hyperlink"/>
            <w:rFonts w:hint="cs"/>
            <w:rtl/>
          </w:rPr>
          <w:t>الاحکام،</w:t>
        </w:r>
        <w:r w:rsidRPr="005C6379">
          <w:rPr>
            <w:rStyle w:val="Hyperlink"/>
            <w:rtl/>
          </w:rPr>
          <w:t xml:space="preserve"> </w:t>
        </w:r>
        <w:r w:rsidRPr="005C6379">
          <w:rPr>
            <w:rStyle w:val="Hyperlink"/>
            <w:rFonts w:hint="cs"/>
            <w:rtl/>
          </w:rPr>
          <w:t>شیخ</w:t>
        </w:r>
        <w:r w:rsidRPr="005C6379">
          <w:rPr>
            <w:rStyle w:val="Hyperlink"/>
            <w:rtl/>
          </w:rPr>
          <w:t xml:space="preserve"> </w:t>
        </w:r>
        <w:r w:rsidRPr="005C6379">
          <w:rPr>
            <w:rStyle w:val="Hyperlink"/>
            <w:rFonts w:hint="cs"/>
            <w:rtl/>
          </w:rPr>
          <w:t>طوسی،</w:t>
        </w:r>
        <w:r w:rsidRPr="005C6379">
          <w:rPr>
            <w:rStyle w:val="Hyperlink"/>
            <w:rtl/>
          </w:rPr>
          <w:t xml:space="preserve"> </w:t>
        </w:r>
        <w:r w:rsidRPr="005C6379">
          <w:rPr>
            <w:rStyle w:val="Hyperlink"/>
            <w:rFonts w:hint="cs"/>
            <w:rtl/>
          </w:rPr>
          <w:t>ج</w:t>
        </w:r>
        <w:r w:rsidRPr="005C6379">
          <w:rPr>
            <w:rStyle w:val="Hyperlink"/>
            <w:rtl/>
          </w:rPr>
          <w:t>7</w:t>
        </w:r>
        <w:r w:rsidRPr="005C6379">
          <w:rPr>
            <w:rStyle w:val="Hyperlink"/>
            <w:rFonts w:hint="cs"/>
            <w:rtl/>
          </w:rPr>
          <w:t>،</w:t>
        </w:r>
        <w:r w:rsidRPr="005C6379">
          <w:rPr>
            <w:rStyle w:val="Hyperlink"/>
            <w:rtl/>
          </w:rPr>
          <w:t xml:space="preserve"> </w:t>
        </w:r>
        <w:r w:rsidRPr="005C6379">
          <w:rPr>
            <w:rStyle w:val="Hyperlink"/>
            <w:rFonts w:hint="cs"/>
            <w:rtl/>
          </w:rPr>
          <w:t>ص</w:t>
        </w:r>
        <w:r w:rsidRPr="005C6379">
          <w:rPr>
            <w:rStyle w:val="Hyperlink"/>
            <w:rtl/>
          </w:rPr>
          <w:t>466.</w:t>
        </w:r>
      </w:hyperlink>
    </w:p>
  </w:footnote>
  <w:footnote w:id="10">
    <w:p w:rsidR="004C3FEB" w:rsidRPr="004C3FEB" w:rsidRDefault="004C3FEB" w:rsidP="004C3FEB">
      <w:pPr>
        <w:pStyle w:val="FootnoteText"/>
      </w:pPr>
      <w:r w:rsidRPr="004C3FEB">
        <w:footnoteRef/>
      </w:r>
      <w:r w:rsidRPr="004C3FEB">
        <w:rPr>
          <w:rtl/>
        </w:rPr>
        <w:t xml:space="preserve"> </w:t>
      </w:r>
      <w:hyperlink r:id="rId4" w:history="1">
        <w:r w:rsidRPr="004C3FEB">
          <w:rPr>
            <w:rStyle w:val="Hyperlink"/>
            <w:rFonts w:hint="cs"/>
            <w:rtl/>
          </w:rPr>
          <w:t>مسالک</w:t>
        </w:r>
        <w:r w:rsidRPr="004C3FEB">
          <w:rPr>
            <w:rStyle w:val="Hyperlink"/>
            <w:rtl/>
          </w:rPr>
          <w:t xml:space="preserve"> </w:t>
        </w:r>
        <w:r w:rsidRPr="004C3FEB">
          <w:rPr>
            <w:rStyle w:val="Hyperlink"/>
            <w:rFonts w:hint="cs"/>
            <w:rtl/>
          </w:rPr>
          <w:t>الأفهام</w:t>
        </w:r>
        <w:r w:rsidRPr="004C3FEB">
          <w:rPr>
            <w:rStyle w:val="Hyperlink"/>
            <w:rtl/>
          </w:rPr>
          <w:t xml:space="preserve"> </w:t>
        </w:r>
        <w:r w:rsidRPr="004C3FEB">
          <w:rPr>
            <w:rStyle w:val="Hyperlink"/>
            <w:rFonts w:hint="cs"/>
            <w:rtl/>
          </w:rPr>
          <w:t>إلی</w:t>
        </w:r>
        <w:r w:rsidRPr="004C3FEB">
          <w:rPr>
            <w:rStyle w:val="Hyperlink"/>
            <w:rtl/>
          </w:rPr>
          <w:t xml:space="preserve"> </w:t>
        </w:r>
        <w:r w:rsidRPr="004C3FEB">
          <w:rPr>
            <w:rStyle w:val="Hyperlink"/>
            <w:rFonts w:hint="cs"/>
            <w:rtl/>
          </w:rPr>
          <w:t>تنقیح</w:t>
        </w:r>
        <w:r w:rsidRPr="004C3FEB">
          <w:rPr>
            <w:rStyle w:val="Hyperlink"/>
            <w:rtl/>
          </w:rPr>
          <w:t xml:space="preserve"> </w:t>
        </w:r>
        <w:r w:rsidRPr="004C3FEB">
          <w:rPr>
            <w:rStyle w:val="Hyperlink"/>
            <w:rFonts w:hint="cs"/>
            <w:rtl/>
          </w:rPr>
          <w:t>شرائع</w:t>
        </w:r>
        <w:r w:rsidRPr="004C3FEB">
          <w:rPr>
            <w:rStyle w:val="Hyperlink"/>
            <w:rtl/>
          </w:rPr>
          <w:t xml:space="preserve"> </w:t>
        </w:r>
        <w:r w:rsidRPr="004C3FEB">
          <w:rPr>
            <w:rStyle w:val="Hyperlink"/>
            <w:rFonts w:hint="cs"/>
            <w:rtl/>
          </w:rPr>
          <w:t>الإسلام،</w:t>
        </w:r>
        <w:r w:rsidRPr="004C3FEB">
          <w:rPr>
            <w:rStyle w:val="Hyperlink"/>
            <w:rtl/>
          </w:rPr>
          <w:t xml:space="preserve"> </w:t>
        </w:r>
        <w:r w:rsidRPr="004C3FEB">
          <w:rPr>
            <w:rStyle w:val="Hyperlink"/>
            <w:rFonts w:hint="cs"/>
            <w:rtl/>
          </w:rPr>
          <w:t>زین</w:t>
        </w:r>
        <w:r w:rsidRPr="004C3FEB">
          <w:rPr>
            <w:rStyle w:val="Hyperlink"/>
            <w:rtl/>
          </w:rPr>
          <w:t xml:space="preserve"> </w:t>
        </w:r>
        <w:r w:rsidRPr="004C3FEB">
          <w:rPr>
            <w:rStyle w:val="Hyperlink"/>
            <w:rFonts w:hint="cs"/>
            <w:rtl/>
          </w:rPr>
          <w:t>الدین</w:t>
        </w:r>
        <w:r w:rsidRPr="004C3FEB">
          <w:rPr>
            <w:rStyle w:val="Hyperlink"/>
            <w:rtl/>
          </w:rPr>
          <w:t xml:space="preserve"> </w:t>
        </w:r>
        <w:r w:rsidRPr="004C3FEB">
          <w:rPr>
            <w:rStyle w:val="Hyperlink"/>
            <w:rFonts w:hint="cs"/>
            <w:rtl/>
          </w:rPr>
          <w:t>بن</w:t>
        </w:r>
        <w:r w:rsidRPr="004C3FEB">
          <w:rPr>
            <w:rStyle w:val="Hyperlink"/>
            <w:rtl/>
          </w:rPr>
          <w:t xml:space="preserve"> </w:t>
        </w:r>
        <w:r w:rsidRPr="004C3FEB">
          <w:rPr>
            <w:rStyle w:val="Hyperlink"/>
            <w:rFonts w:hint="cs"/>
            <w:rtl/>
          </w:rPr>
          <w:t>علی</w:t>
        </w:r>
        <w:r w:rsidRPr="004C3FEB">
          <w:rPr>
            <w:rStyle w:val="Hyperlink"/>
            <w:rtl/>
          </w:rPr>
          <w:t xml:space="preserve"> </w:t>
        </w:r>
        <w:r w:rsidRPr="004C3FEB">
          <w:rPr>
            <w:rStyle w:val="Hyperlink"/>
            <w:rFonts w:hint="cs"/>
            <w:rtl/>
          </w:rPr>
          <w:t>العاملی</w:t>
        </w:r>
        <w:r w:rsidRPr="004C3FEB">
          <w:rPr>
            <w:rStyle w:val="Hyperlink"/>
            <w:rtl/>
          </w:rPr>
          <w:t xml:space="preserve"> (</w:t>
        </w:r>
        <w:r w:rsidRPr="004C3FEB">
          <w:rPr>
            <w:rStyle w:val="Hyperlink"/>
            <w:rFonts w:hint="cs"/>
            <w:rtl/>
          </w:rPr>
          <w:t>الشهید</w:t>
        </w:r>
        <w:r w:rsidRPr="004C3FEB">
          <w:rPr>
            <w:rStyle w:val="Hyperlink"/>
            <w:rtl/>
          </w:rPr>
          <w:t xml:space="preserve"> </w:t>
        </w:r>
        <w:r w:rsidRPr="004C3FEB">
          <w:rPr>
            <w:rStyle w:val="Hyperlink"/>
            <w:rFonts w:hint="cs"/>
            <w:rtl/>
          </w:rPr>
          <w:t>الثانی</w:t>
        </w:r>
        <w:r w:rsidRPr="004C3FEB">
          <w:rPr>
            <w:rStyle w:val="Hyperlink"/>
            <w:rtl/>
          </w:rPr>
          <w:t>)</w:t>
        </w:r>
        <w:r w:rsidRPr="004C3FEB">
          <w:rPr>
            <w:rStyle w:val="Hyperlink"/>
            <w:rFonts w:hint="cs"/>
            <w:rtl/>
          </w:rPr>
          <w:t>،</w:t>
        </w:r>
        <w:r w:rsidRPr="004C3FEB">
          <w:rPr>
            <w:rStyle w:val="Hyperlink"/>
            <w:rtl/>
          </w:rPr>
          <w:t xml:space="preserve"> </w:t>
        </w:r>
        <w:r w:rsidRPr="004C3FEB">
          <w:rPr>
            <w:rStyle w:val="Hyperlink"/>
            <w:rFonts w:hint="cs"/>
            <w:rtl/>
          </w:rPr>
          <w:t>ج</w:t>
        </w:r>
        <w:r w:rsidRPr="004C3FEB">
          <w:rPr>
            <w:rStyle w:val="Hyperlink"/>
            <w:rtl/>
          </w:rPr>
          <w:t>8</w:t>
        </w:r>
        <w:r w:rsidRPr="004C3FEB">
          <w:rPr>
            <w:rStyle w:val="Hyperlink"/>
            <w:rFonts w:hint="cs"/>
            <w:rtl/>
          </w:rPr>
          <w:t>،</w:t>
        </w:r>
        <w:r w:rsidRPr="004C3FEB">
          <w:rPr>
            <w:rStyle w:val="Hyperlink"/>
            <w:rtl/>
          </w:rPr>
          <w:t xml:space="preserve"> </w:t>
        </w:r>
        <w:r w:rsidRPr="004C3FEB">
          <w:rPr>
            <w:rStyle w:val="Hyperlink"/>
            <w:rFonts w:hint="cs"/>
            <w:rtl/>
          </w:rPr>
          <w:t>ص</w:t>
        </w:r>
        <w:r w:rsidRPr="004C3FEB">
          <w:rPr>
            <w:rStyle w:val="Hyperlink"/>
            <w:rtl/>
          </w:rPr>
          <w:t>229.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380"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5A02B9">
      <w:rPr>
        <w:b/>
        <w:bCs/>
        <w:sz w:val="20"/>
        <w:szCs w:val="24"/>
        <w:rtl/>
      </w:rPr>
      <w:t>010</w:t>
    </w:r>
    <w:r w:rsidR="001A4ED8">
      <w:rPr>
        <w:rFonts w:hint="cs"/>
        <w:b/>
        <w:bCs/>
        <w:sz w:val="20"/>
        <w:szCs w:val="24"/>
        <w:rtl/>
      </w:rPr>
      <w:tab/>
    </w:r>
  </w:p>
  <w:p w:rsidR="00360380"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5A02B9">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5A02B9">
      <w:rPr>
        <w:rFonts w:hint="cs"/>
        <w:b/>
        <w:bCs/>
        <w:color w:val="632423" w:themeColor="accent2" w:themeShade="80"/>
        <w:sz w:val="20"/>
        <w:szCs w:val="24"/>
        <w:rtl/>
      </w:rPr>
      <w:t>سید</w:t>
    </w:r>
    <w:r w:rsidR="005A02B9">
      <w:rPr>
        <w:b/>
        <w:bCs/>
        <w:color w:val="632423" w:themeColor="accent2" w:themeShade="80"/>
        <w:sz w:val="20"/>
        <w:szCs w:val="24"/>
        <w:rtl/>
      </w:rPr>
      <w:t xml:space="preserve"> </w:t>
    </w:r>
    <w:r w:rsidR="005A02B9">
      <w:rPr>
        <w:rFonts w:hint="cs"/>
        <w:b/>
        <w:bCs/>
        <w:color w:val="632423" w:themeColor="accent2" w:themeShade="80"/>
        <w:sz w:val="20"/>
        <w:szCs w:val="24"/>
        <w:rtl/>
      </w:rPr>
      <w:t>محمد</w:t>
    </w:r>
    <w:r w:rsidR="005A02B9">
      <w:rPr>
        <w:b/>
        <w:bCs/>
        <w:color w:val="632423" w:themeColor="accent2" w:themeShade="80"/>
        <w:sz w:val="20"/>
        <w:szCs w:val="24"/>
        <w:rtl/>
      </w:rPr>
      <w:t xml:space="preserve"> </w:t>
    </w:r>
    <w:r w:rsidR="005A02B9">
      <w:rPr>
        <w:rFonts w:hint="cs"/>
        <w:b/>
        <w:bCs/>
        <w:color w:val="632423" w:themeColor="accent2" w:themeShade="80"/>
        <w:sz w:val="20"/>
        <w:szCs w:val="24"/>
        <w:rtl/>
      </w:rPr>
      <w:t>جواد</w:t>
    </w:r>
    <w:r w:rsidR="005A02B9">
      <w:rPr>
        <w:b/>
        <w:bCs/>
        <w:color w:val="632423" w:themeColor="accent2" w:themeShade="80"/>
        <w:sz w:val="20"/>
        <w:szCs w:val="24"/>
        <w:rtl/>
      </w:rPr>
      <w:t xml:space="preserve"> </w:t>
    </w:r>
    <w:r w:rsidR="005A02B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360380" w:rsidRDefault="00935A55" w:rsidP="0036038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5A02B9">
      <w:rPr>
        <w:sz w:val="24"/>
        <w:szCs w:val="24"/>
        <w:rtl/>
      </w:rPr>
      <w:t>8 /7 /1398</w:t>
    </w:r>
  </w:p>
  <w:p w:rsidR="00360380" w:rsidRDefault="00935A55" w:rsidP="0036038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5A02B9">
      <w:rPr>
        <w:rFonts w:hint="cs"/>
        <w:color w:val="000000" w:themeColor="text1"/>
        <w:sz w:val="24"/>
        <w:szCs w:val="24"/>
        <w:rtl/>
      </w:rPr>
      <w:t>متن</w:t>
    </w:r>
    <w:r w:rsidR="005A02B9">
      <w:rPr>
        <w:color w:val="000000" w:themeColor="text1"/>
        <w:sz w:val="24"/>
        <w:szCs w:val="24"/>
        <w:rtl/>
      </w:rPr>
      <w:t xml:space="preserve"> </w:t>
    </w:r>
    <w:r w:rsidR="005A02B9">
      <w:rPr>
        <w:rFonts w:hint="cs"/>
        <w:color w:val="000000" w:themeColor="text1"/>
        <w:sz w:val="24"/>
        <w:szCs w:val="24"/>
        <w:rtl/>
      </w:rPr>
      <w:t>تکمله</w:t>
    </w:r>
    <w:r w:rsidR="005A02B9">
      <w:rPr>
        <w:color w:val="000000" w:themeColor="text1"/>
        <w:sz w:val="24"/>
        <w:szCs w:val="24"/>
        <w:rtl/>
      </w:rPr>
      <w:t xml:space="preserve"> </w:t>
    </w:r>
    <w:r w:rsidR="005A02B9">
      <w:rPr>
        <w:rFonts w:hint="cs"/>
        <w:color w:val="000000" w:themeColor="text1"/>
        <w:sz w:val="24"/>
        <w:szCs w:val="24"/>
        <w:rtl/>
      </w:rPr>
      <w:t>ی</w:t>
    </w:r>
    <w:r w:rsidR="005A02B9">
      <w:rPr>
        <w:color w:val="000000" w:themeColor="text1"/>
        <w:sz w:val="24"/>
        <w:szCs w:val="24"/>
        <w:rtl/>
      </w:rPr>
      <w:t xml:space="preserve"> </w:t>
    </w:r>
    <w:r w:rsidR="005A02B9">
      <w:rPr>
        <w:rFonts w:hint="cs"/>
        <w:color w:val="000000" w:themeColor="text1"/>
        <w:sz w:val="24"/>
        <w:szCs w:val="24"/>
        <w:rtl/>
      </w:rPr>
      <w:t>عروه</w:t>
    </w:r>
  </w:p>
  <w:p w:rsidR="00360380" w:rsidRDefault="00935A55" w:rsidP="0036038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98283F">
      <w:rPr>
        <w:rFonts w:hint="cs"/>
        <w:sz w:val="24"/>
        <w:szCs w:val="24"/>
        <w:rtl/>
      </w:rPr>
      <w:t>مرکز فقهی امام محمد باقر علیه السلام</w:t>
    </w:r>
  </w:p>
  <w:p w:rsidR="00FA3B17" w:rsidRPr="00F16B53" w:rsidRDefault="00935A55" w:rsidP="0036038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5A02B9">
      <w:rPr>
        <w:rFonts w:hint="cs"/>
        <w:sz w:val="24"/>
        <w:szCs w:val="24"/>
        <w:rtl/>
      </w:rPr>
      <w:t>موضوع</w:t>
    </w:r>
    <w:r w:rsidR="005A02B9">
      <w:rPr>
        <w:sz w:val="24"/>
        <w:szCs w:val="24"/>
        <w:rtl/>
      </w:rPr>
      <w:t xml:space="preserve"> </w:t>
    </w:r>
    <w:r w:rsidR="005A02B9">
      <w:rPr>
        <w:rFonts w:hint="cs"/>
        <w:sz w:val="24"/>
        <w:szCs w:val="24"/>
        <w:rtl/>
      </w:rPr>
      <w:t>عده</w:t>
    </w:r>
    <w:r w:rsidR="005A02B9">
      <w:rPr>
        <w:sz w:val="24"/>
        <w:szCs w:val="24"/>
        <w:rtl/>
      </w:rPr>
      <w:t xml:space="preserve"> </w:t>
    </w:r>
    <w:r w:rsidR="005A02B9">
      <w:rPr>
        <w:rFonts w:hint="cs"/>
        <w:sz w:val="24"/>
        <w:szCs w:val="24"/>
        <w:rtl/>
      </w:rPr>
      <w:t>در</w:t>
    </w:r>
    <w:r w:rsidR="005A02B9">
      <w:rPr>
        <w:sz w:val="24"/>
        <w:szCs w:val="24"/>
        <w:rtl/>
      </w:rPr>
      <w:t xml:space="preserve"> </w:t>
    </w:r>
    <w:r w:rsidR="005A02B9">
      <w:rPr>
        <w:rFonts w:hint="cs"/>
        <w:sz w:val="24"/>
        <w:szCs w:val="24"/>
        <w:rtl/>
      </w:rPr>
      <w:t>روایات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417A"/>
    <w:rsid w:val="00025777"/>
    <w:rsid w:val="00025B70"/>
    <w:rsid w:val="00025E0A"/>
    <w:rsid w:val="000353D7"/>
    <w:rsid w:val="00040861"/>
    <w:rsid w:val="00040FC5"/>
    <w:rsid w:val="00055496"/>
    <w:rsid w:val="00073964"/>
    <w:rsid w:val="00080A41"/>
    <w:rsid w:val="0008299B"/>
    <w:rsid w:val="000913AA"/>
    <w:rsid w:val="00094847"/>
    <w:rsid w:val="00096160"/>
    <w:rsid w:val="00096C63"/>
    <w:rsid w:val="000B3782"/>
    <w:rsid w:val="000B5DB5"/>
    <w:rsid w:val="000C3947"/>
    <w:rsid w:val="000C41A0"/>
    <w:rsid w:val="000D2A37"/>
    <w:rsid w:val="000D30E9"/>
    <w:rsid w:val="000D6818"/>
    <w:rsid w:val="000E2FD1"/>
    <w:rsid w:val="000E335E"/>
    <w:rsid w:val="000F16CF"/>
    <w:rsid w:val="000F5BAC"/>
    <w:rsid w:val="00102585"/>
    <w:rsid w:val="00105525"/>
    <w:rsid w:val="00114AB7"/>
    <w:rsid w:val="00114FB5"/>
    <w:rsid w:val="0011636F"/>
    <w:rsid w:val="00116B2B"/>
    <w:rsid w:val="00124E3D"/>
    <w:rsid w:val="0012576E"/>
    <w:rsid w:val="00127E95"/>
    <w:rsid w:val="00130659"/>
    <w:rsid w:val="001347C7"/>
    <w:rsid w:val="001356B0"/>
    <w:rsid w:val="0014302E"/>
    <w:rsid w:val="001468A8"/>
    <w:rsid w:val="00151937"/>
    <w:rsid w:val="00153311"/>
    <w:rsid w:val="00161C0B"/>
    <w:rsid w:val="00163696"/>
    <w:rsid w:val="00165857"/>
    <w:rsid w:val="00181844"/>
    <w:rsid w:val="001828AB"/>
    <w:rsid w:val="001837E9"/>
    <w:rsid w:val="00184740"/>
    <w:rsid w:val="00187347"/>
    <w:rsid w:val="00187DFA"/>
    <w:rsid w:val="001A1BC1"/>
    <w:rsid w:val="001A1EA5"/>
    <w:rsid w:val="001A2574"/>
    <w:rsid w:val="001A27D7"/>
    <w:rsid w:val="001A294E"/>
    <w:rsid w:val="001A4ED8"/>
    <w:rsid w:val="001A752A"/>
    <w:rsid w:val="001B2488"/>
    <w:rsid w:val="001B6799"/>
    <w:rsid w:val="001C1362"/>
    <w:rsid w:val="001D2E9A"/>
    <w:rsid w:val="001D35C6"/>
    <w:rsid w:val="001D597F"/>
    <w:rsid w:val="001E3FD4"/>
    <w:rsid w:val="0020241A"/>
    <w:rsid w:val="00203821"/>
    <w:rsid w:val="00211632"/>
    <w:rsid w:val="002145E2"/>
    <w:rsid w:val="0021630D"/>
    <w:rsid w:val="0023719D"/>
    <w:rsid w:val="0024121B"/>
    <w:rsid w:val="002452C6"/>
    <w:rsid w:val="00247D2F"/>
    <w:rsid w:val="00256560"/>
    <w:rsid w:val="00264CF2"/>
    <w:rsid w:val="0027605E"/>
    <w:rsid w:val="00281E00"/>
    <w:rsid w:val="0029080A"/>
    <w:rsid w:val="00293849"/>
    <w:rsid w:val="00294A52"/>
    <w:rsid w:val="002A4C65"/>
    <w:rsid w:val="002B575F"/>
    <w:rsid w:val="002B729B"/>
    <w:rsid w:val="002C23B5"/>
    <w:rsid w:val="002C3FC1"/>
    <w:rsid w:val="002C53A2"/>
    <w:rsid w:val="002D0040"/>
    <w:rsid w:val="002D2FA8"/>
    <w:rsid w:val="002E220F"/>
    <w:rsid w:val="002F13D2"/>
    <w:rsid w:val="00307311"/>
    <w:rsid w:val="003142A9"/>
    <w:rsid w:val="00315EC4"/>
    <w:rsid w:val="003165C2"/>
    <w:rsid w:val="0032100F"/>
    <w:rsid w:val="00331733"/>
    <w:rsid w:val="0033402C"/>
    <w:rsid w:val="00340521"/>
    <w:rsid w:val="00345C73"/>
    <w:rsid w:val="0035097C"/>
    <w:rsid w:val="00354A99"/>
    <w:rsid w:val="00355DB5"/>
    <w:rsid w:val="00360311"/>
    <w:rsid w:val="00360380"/>
    <w:rsid w:val="00361922"/>
    <w:rsid w:val="003710EB"/>
    <w:rsid w:val="0037339B"/>
    <w:rsid w:val="0038314F"/>
    <w:rsid w:val="00386C11"/>
    <w:rsid w:val="00390823"/>
    <w:rsid w:val="00397466"/>
    <w:rsid w:val="003A6148"/>
    <w:rsid w:val="003B3F74"/>
    <w:rsid w:val="003C33F6"/>
    <w:rsid w:val="003C3D2E"/>
    <w:rsid w:val="003C43A5"/>
    <w:rsid w:val="003C507F"/>
    <w:rsid w:val="003D18DB"/>
    <w:rsid w:val="003E1C5C"/>
    <w:rsid w:val="003E6650"/>
    <w:rsid w:val="003F5B46"/>
    <w:rsid w:val="00401363"/>
    <w:rsid w:val="00402928"/>
    <w:rsid w:val="00402E47"/>
    <w:rsid w:val="00425015"/>
    <w:rsid w:val="00426271"/>
    <w:rsid w:val="00430994"/>
    <w:rsid w:val="004314DD"/>
    <w:rsid w:val="00441B6D"/>
    <w:rsid w:val="00451FBE"/>
    <w:rsid w:val="004556EF"/>
    <w:rsid w:val="00462B07"/>
    <w:rsid w:val="00465BD2"/>
    <w:rsid w:val="004715C8"/>
    <w:rsid w:val="004724E3"/>
    <w:rsid w:val="0048102B"/>
    <w:rsid w:val="00481C31"/>
    <w:rsid w:val="00482FC1"/>
    <w:rsid w:val="00483027"/>
    <w:rsid w:val="004871AA"/>
    <w:rsid w:val="0049002B"/>
    <w:rsid w:val="004918D7"/>
    <w:rsid w:val="004926E1"/>
    <w:rsid w:val="004A2FEA"/>
    <w:rsid w:val="004A4000"/>
    <w:rsid w:val="004C3FEB"/>
    <w:rsid w:val="004C71FF"/>
    <w:rsid w:val="004D2DD7"/>
    <w:rsid w:val="004D55EC"/>
    <w:rsid w:val="004D75C5"/>
    <w:rsid w:val="004E2186"/>
    <w:rsid w:val="004E631D"/>
    <w:rsid w:val="004E66FB"/>
    <w:rsid w:val="004F1456"/>
    <w:rsid w:val="004F470A"/>
    <w:rsid w:val="004F4C59"/>
    <w:rsid w:val="005005C9"/>
    <w:rsid w:val="00500C8F"/>
    <w:rsid w:val="00501909"/>
    <w:rsid w:val="005028AF"/>
    <w:rsid w:val="00502C2C"/>
    <w:rsid w:val="00507BBB"/>
    <w:rsid w:val="00507C0E"/>
    <w:rsid w:val="005128DF"/>
    <w:rsid w:val="005151F1"/>
    <w:rsid w:val="0051592A"/>
    <w:rsid w:val="005206FE"/>
    <w:rsid w:val="005221FB"/>
    <w:rsid w:val="005257ED"/>
    <w:rsid w:val="005306F8"/>
    <w:rsid w:val="0053385D"/>
    <w:rsid w:val="0054023D"/>
    <w:rsid w:val="00541265"/>
    <w:rsid w:val="005426BF"/>
    <w:rsid w:val="00557FC8"/>
    <w:rsid w:val="0056213C"/>
    <w:rsid w:val="00580C24"/>
    <w:rsid w:val="00582C86"/>
    <w:rsid w:val="00594506"/>
    <w:rsid w:val="00595B49"/>
    <w:rsid w:val="005968EF"/>
    <w:rsid w:val="00596C1E"/>
    <w:rsid w:val="00597066"/>
    <w:rsid w:val="005A02B9"/>
    <w:rsid w:val="005A2E26"/>
    <w:rsid w:val="005B7BCA"/>
    <w:rsid w:val="005C0DAE"/>
    <w:rsid w:val="005C188E"/>
    <w:rsid w:val="005C6379"/>
    <w:rsid w:val="005D17B5"/>
    <w:rsid w:val="005D2349"/>
    <w:rsid w:val="005E1B60"/>
    <w:rsid w:val="005E42DF"/>
    <w:rsid w:val="005E5507"/>
    <w:rsid w:val="005E607B"/>
    <w:rsid w:val="005E79D2"/>
    <w:rsid w:val="005F0A8D"/>
    <w:rsid w:val="00601229"/>
    <w:rsid w:val="00603B67"/>
    <w:rsid w:val="00610CE4"/>
    <w:rsid w:val="006139FB"/>
    <w:rsid w:val="006162A2"/>
    <w:rsid w:val="00617E0F"/>
    <w:rsid w:val="006240DA"/>
    <w:rsid w:val="006245FF"/>
    <w:rsid w:val="00630956"/>
    <w:rsid w:val="0063256E"/>
    <w:rsid w:val="00633F04"/>
    <w:rsid w:val="00635219"/>
    <w:rsid w:val="00635EC0"/>
    <w:rsid w:val="00640B58"/>
    <w:rsid w:val="00651B02"/>
    <w:rsid w:val="00651B19"/>
    <w:rsid w:val="00653FB7"/>
    <w:rsid w:val="00656B30"/>
    <w:rsid w:val="00660A29"/>
    <w:rsid w:val="006757C9"/>
    <w:rsid w:val="006775E7"/>
    <w:rsid w:val="006867FC"/>
    <w:rsid w:val="00687EA2"/>
    <w:rsid w:val="00692037"/>
    <w:rsid w:val="00694C07"/>
    <w:rsid w:val="00695519"/>
    <w:rsid w:val="006A37B2"/>
    <w:rsid w:val="006A4134"/>
    <w:rsid w:val="006A5DDA"/>
    <w:rsid w:val="006A6701"/>
    <w:rsid w:val="006B21F4"/>
    <w:rsid w:val="006B3753"/>
    <w:rsid w:val="006B7AD6"/>
    <w:rsid w:val="006C50FD"/>
    <w:rsid w:val="006D1DD4"/>
    <w:rsid w:val="006D4014"/>
    <w:rsid w:val="006D44C1"/>
    <w:rsid w:val="006E5651"/>
    <w:rsid w:val="006E5B85"/>
    <w:rsid w:val="006F026A"/>
    <w:rsid w:val="006F288C"/>
    <w:rsid w:val="0070265B"/>
    <w:rsid w:val="00704813"/>
    <w:rsid w:val="00711F4D"/>
    <w:rsid w:val="0072290D"/>
    <w:rsid w:val="00723D6D"/>
    <w:rsid w:val="00724537"/>
    <w:rsid w:val="00731724"/>
    <w:rsid w:val="0073474B"/>
    <w:rsid w:val="00735492"/>
    <w:rsid w:val="00735511"/>
    <w:rsid w:val="00737208"/>
    <w:rsid w:val="00744DE6"/>
    <w:rsid w:val="00757AE7"/>
    <w:rsid w:val="00762452"/>
    <w:rsid w:val="00762686"/>
    <w:rsid w:val="007626A2"/>
    <w:rsid w:val="007639E0"/>
    <w:rsid w:val="00775507"/>
    <w:rsid w:val="00783473"/>
    <w:rsid w:val="00783BA1"/>
    <w:rsid w:val="0078594B"/>
    <w:rsid w:val="00795E02"/>
    <w:rsid w:val="007979D0"/>
    <w:rsid w:val="007A0366"/>
    <w:rsid w:val="007A4E18"/>
    <w:rsid w:val="007A7B8C"/>
    <w:rsid w:val="007B0778"/>
    <w:rsid w:val="007B15C5"/>
    <w:rsid w:val="007C63E7"/>
    <w:rsid w:val="007C6D9E"/>
    <w:rsid w:val="007D1C43"/>
    <w:rsid w:val="007D40A8"/>
    <w:rsid w:val="007D6C53"/>
    <w:rsid w:val="007E1259"/>
    <w:rsid w:val="007E1564"/>
    <w:rsid w:val="007E1E87"/>
    <w:rsid w:val="007E5B3F"/>
    <w:rsid w:val="007F16AD"/>
    <w:rsid w:val="007F1871"/>
    <w:rsid w:val="007F2257"/>
    <w:rsid w:val="007F527B"/>
    <w:rsid w:val="0080091D"/>
    <w:rsid w:val="00804108"/>
    <w:rsid w:val="00804FC4"/>
    <w:rsid w:val="008069D6"/>
    <w:rsid w:val="00816367"/>
    <w:rsid w:val="00816A0B"/>
    <w:rsid w:val="00824B22"/>
    <w:rsid w:val="00830C53"/>
    <w:rsid w:val="00837FAA"/>
    <w:rsid w:val="00841F77"/>
    <w:rsid w:val="0085276D"/>
    <w:rsid w:val="008556CE"/>
    <w:rsid w:val="00863390"/>
    <w:rsid w:val="0086385C"/>
    <w:rsid w:val="00871916"/>
    <w:rsid w:val="008956DD"/>
    <w:rsid w:val="008A0370"/>
    <w:rsid w:val="008A510E"/>
    <w:rsid w:val="008A522A"/>
    <w:rsid w:val="008B0DDB"/>
    <w:rsid w:val="008B4464"/>
    <w:rsid w:val="008B750B"/>
    <w:rsid w:val="008C3162"/>
    <w:rsid w:val="008D1F14"/>
    <w:rsid w:val="008E3924"/>
    <w:rsid w:val="008F13F7"/>
    <w:rsid w:val="008F5B4D"/>
    <w:rsid w:val="0090339A"/>
    <w:rsid w:val="00907425"/>
    <w:rsid w:val="0091568D"/>
    <w:rsid w:val="00915BC5"/>
    <w:rsid w:val="00923C34"/>
    <w:rsid w:val="00923FA1"/>
    <w:rsid w:val="00924152"/>
    <w:rsid w:val="00924965"/>
    <w:rsid w:val="0092513D"/>
    <w:rsid w:val="00927A9F"/>
    <w:rsid w:val="009335CC"/>
    <w:rsid w:val="00935A55"/>
    <w:rsid w:val="00941CEB"/>
    <w:rsid w:val="0094720F"/>
    <w:rsid w:val="009472D7"/>
    <w:rsid w:val="00953B28"/>
    <w:rsid w:val="00954322"/>
    <w:rsid w:val="00957CAA"/>
    <w:rsid w:val="0096778A"/>
    <w:rsid w:val="00977656"/>
    <w:rsid w:val="009807C4"/>
    <w:rsid w:val="0098283F"/>
    <w:rsid w:val="009846A7"/>
    <w:rsid w:val="0098794D"/>
    <w:rsid w:val="00987AFC"/>
    <w:rsid w:val="0099497B"/>
    <w:rsid w:val="009A2B3C"/>
    <w:rsid w:val="009A43BA"/>
    <w:rsid w:val="009B0D05"/>
    <w:rsid w:val="009B4CA6"/>
    <w:rsid w:val="009B79F8"/>
    <w:rsid w:val="009C06B6"/>
    <w:rsid w:val="009C66D5"/>
    <w:rsid w:val="009C6CDE"/>
    <w:rsid w:val="009D13FD"/>
    <w:rsid w:val="009D266A"/>
    <w:rsid w:val="009F658B"/>
    <w:rsid w:val="009F7E07"/>
    <w:rsid w:val="00A01522"/>
    <w:rsid w:val="00A10A11"/>
    <w:rsid w:val="00A13C6A"/>
    <w:rsid w:val="00A17B09"/>
    <w:rsid w:val="00A457C6"/>
    <w:rsid w:val="00A46AD0"/>
    <w:rsid w:val="00A47063"/>
    <w:rsid w:val="00A473A8"/>
    <w:rsid w:val="00A513F0"/>
    <w:rsid w:val="00A57EF4"/>
    <w:rsid w:val="00A61AC8"/>
    <w:rsid w:val="00A6366F"/>
    <w:rsid w:val="00A65D4C"/>
    <w:rsid w:val="00A70512"/>
    <w:rsid w:val="00A73339"/>
    <w:rsid w:val="00A859A8"/>
    <w:rsid w:val="00AA1F60"/>
    <w:rsid w:val="00AA40D7"/>
    <w:rsid w:val="00AB5F7D"/>
    <w:rsid w:val="00AC0C50"/>
    <w:rsid w:val="00AC6FE2"/>
    <w:rsid w:val="00AF3925"/>
    <w:rsid w:val="00B04A8D"/>
    <w:rsid w:val="00B1296B"/>
    <w:rsid w:val="00B2292F"/>
    <w:rsid w:val="00B43169"/>
    <w:rsid w:val="00B4385D"/>
    <w:rsid w:val="00B4460F"/>
    <w:rsid w:val="00B501A8"/>
    <w:rsid w:val="00B55AE4"/>
    <w:rsid w:val="00B70B46"/>
    <w:rsid w:val="00B72BC0"/>
    <w:rsid w:val="00B739B0"/>
    <w:rsid w:val="00B77A85"/>
    <w:rsid w:val="00B814A3"/>
    <w:rsid w:val="00B96F38"/>
    <w:rsid w:val="00BB53A6"/>
    <w:rsid w:val="00BC716B"/>
    <w:rsid w:val="00BD0E74"/>
    <w:rsid w:val="00BD41A0"/>
    <w:rsid w:val="00BD5F8C"/>
    <w:rsid w:val="00BE29DD"/>
    <w:rsid w:val="00C066AF"/>
    <w:rsid w:val="00C10E06"/>
    <w:rsid w:val="00C10E0B"/>
    <w:rsid w:val="00C145B8"/>
    <w:rsid w:val="00C2438F"/>
    <w:rsid w:val="00C31AF0"/>
    <w:rsid w:val="00C32A7E"/>
    <w:rsid w:val="00C34F28"/>
    <w:rsid w:val="00C368DF"/>
    <w:rsid w:val="00C442C5"/>
    <w:rsid w:val="00C57B5C"/>
    <w:rsid w:val="00C57C7C"/>
    <w:rsid w:val="00C603A1"/>
    <w:rsid w:val="00C61049"/>
    <w:rsid w:val="00C63FFE"/>
    <w:rsid w:val="00C6582C"/>
    <w:rsid w:val="00C73494"/>
    <w:rsid w:val="00C772D3"/>
    <w:rsid w:val="00C90FBD"/>
    <w:rsid w:val="00C91EB6"/>
    <w:rsid w:val="00CA10B0"/>
    <w:rsid w:val="00CA2F8E"/>
    <w:rsid w:val="00CA3EE2"/>
    <w:rsid w:val="00CA501C"/>
    <w:rsid w:val="00CA7FD5"/>
    <w:rsid w:val="00CB3287"/>
    <w:rsid w:val="00CB33E2"/>
    <w:rsid w:val="00CB4E68"/>
    <w:rsid w:val="00CC0692"/>
    <w:rsid w:val="00CC0D28"/>
    <w:rsid w:val="00CC2733"/>
    <w:rsid w:val="00CD0050"/>
    <w:rsid w:val="00CE0699"/>
    <w:rsid w:val="00CE5253"/>
    <w:rsid w:val="00CE7481"/>
    <w:rsid w:val="00CF0A8F"/>
    <w:rsid w:val="00CF7392"/>
    <w:rsid w:val="00D048CE"/>
    <w:rsid w:val="00D10998"/>
    <w:rsid w:val="00D15CBD"/>
    <w:rsid w:val="00D221CB"/>
    <w:rsid w:val="00D23391"/>
    <w:rsid w:val="00D31785"/>
    <w:rsid w:val="00D31805"/>
    <w:rsid w:val="00D514E8"/>
    <w:rsid w:val="00D54B1A"/>
    <w:rsid w:val="00D552B9"/>
    <w:rsid w:val="00D56D22"/>
    <w:rsid w:val="00D60F39"/>
    <w:rsid w:val="00D646EB"/>
    <w:rsid w:val="00D735B2"/>
    <w:rsid w:val="00D74021"/>
    <w:rsid w:val="00D76D01"/>
    <w:rsid w:val="00D922A9"/>
    <w:rsid w:val="00D9331C"/>
    <w:rsid w:val="00D9394A"/>
    <w:rsid w:val="00DB0CBB"/>
    <w:rsid w:val="00DB27A3"/>
    <w:rsid w:val="00DB67CC"/>
    <w:rsid w:val="00DC3783"/>
    <w:rsid w:val="00DE1070"/>
    <w:rsid w:val="00DF2D6D"/>
    <w:rsid w:val="00E00219"/>
    <w:rsid w:val="00E0316B"/>
    <w:rsid w:val="00E25E10"/>
    <w:rsid w:val="00E270FA"/>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F06"/>
    <w:rsid w:val="00EC735A"/>
    <w:rsid w:val="00ED5F38"/>
    <w:rsid w:val="00EF27FE"/>
    <w:rsid w:val="00EF6F7A"/>
    <w:rsid w:val="00F07FB6"/>
    <w:rsid w:val="00F13025"/>
    <w:rsid w:val="00F149D0"/>
    <w:rsid w:val="00F16B53"/>
    <w:rsid w:val="00F25ECD"/>
    <w:rsid w:val="00F318BE"/>
    <w:rsid w:val="00F33297"/>
    <w:rsid w:val="00F343FB"/>
    <w:rsid w:val="00F359FE"/>
    <w:rsid w:val="00F42159"/>
    <w:rsid w:val="00F4256E"/>
    <w:rsid w:val="00F42EE1"/>
    <w:rsid w:val="00F60F1F"/>
    <w:rsid w:val="00F64141"/>
    <w:rsid w:val="00F66EC1"/>
    <w:rsid w:val="00F67508"/>
    <w:rsid w:val="00F71FC9"/>
    <w:rsid w:val="00F73B48"/>
    <w:rsid w:val="00F7464D"/>
    <w:rsid w:val="00F74F51"/>
    <w:rsid w:val="00F842AD"/>
    <w:rsid w:val="00F914EB"/>
    <w:rsid w:val="00F91B85"/>
    <w:rsid w:val="00F938E7"/>
    <w:rsid w:val="00FA3B17"/>
    <w:rsid w:val="00FA5E8D"/>
    <w:rsid w:val="00FA5F3D"/>
    <w:rsid w:val="00FB399E"/>
    <w:rsid w:val="00FB7F50"/>
    <w:rsid w:val="00FC2A85"/>
    <w:rsid w:val="00FC40AF"/>
    <w:rsid w:val="00FC73B9"/>
    <w:rsid w:val="00FC7E77"/>
    <w:rsid w:val="00FD0A16"/>
    <w:rsid w:val="00FE3D7D"/>
    <w:rsid w:val="00FE6DCF"/>
    <w:rsid w:val="00FF0753"/>
    <w:rsid w:val="00FF5C6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762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9157808">
      <w:bodyDiv w:val="1"/>
      <w:marLeft w:val="0"/>
      <w:marRight w:val="0"/>
      <w:marTop w:val="0"/>
      <w:marBottom w:val="0"/>
      <w:divBdr>
        <w:top w:val="none" w:sz="0" w:space="0" w:color="auto"/>
        <w:left w:val="none" w:sz="0" w:space="0" w:color="auto"/>
        <w:bottom w:val="none" w:sz="0" w:space="0" w:color="auto"/>
        <w:right w:val="none" w:sz="0" w:space="0" w:color="auto"/>
      </w:divBdr>
    </w:div>
    <w:div w:id="21720372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3132577">
      <w:bodyDiv w:val="1"/>
      <w:marLeft w:val="0"/>
      <w:marRight w:val="0"/>
      <w:marTop w:val="0"/>
      <w:marBottom w:val="0"/>
      <w:divBdr>
        <w:top w:val="none" w:sz="0" w:space="0" w:color="auto"/>
        <w:left w:val="none" w:sz="0" w:space="0" w:color="auto"/>
        <w:bottom w:val="none" w:sz="0" w:space="0" w:color="auto"/>
        <w:right w:val="none" w:sz="0" w:space="0" w:color="auto"/>
      </w:divBdr>
    </w:div>
    <w:div w:id="2616447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8048028">
      <w:bodyDiv w:val="1"/>
      <w:marLeft w:val="0"/>
      <w:marRight w:val="0"/>
      <w:marTop w:val="0"/>
      <w:marBottom w:val="0"/>
      <w:divBdr>
        <w:top w:val="none" w:sz="0" w:space="0" w:color="auto"/>
        <w:left w:val="none" w:sz="0" w:space="0" w:color="auto"/>
        <w:bottom w:val="none" w:sz="0" w:space="0" w:color="auto"/>
        <w:right w:val="none" w:sz="0" w:space="0" w:color="auto"/>
      </w:divBdr>
    </w:div>
    <w:div w:id="39631987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4904736">
      <w:bodyDiv w:val="1"/>
      <w:marLeft w:val="0"/>
      <w:marRight w:val="0"/>
      <w:marTop w:val="0"/>
      <w:marBottom w:val="0"/>
      <w:divBdr>
        <w:top w:val="none" w:sz="0" w:space="0" w:color="auto"/>
        <w:left w:val="none" w:sz="0" w:space="0" w:color="auto"/>
        <w:bottom w:val="none" w:sz="0" w:space="0" w:color="auto"/>
        <w:right w:val="none" w:sz="0" w:space="0" w:color="auto"/>
      </w:divBdr>
    </w:div>
    <w:div w:id="529298048">
      <w:bodyDiv w:val="1"/>
      <w:marLeft w:val="0"/>
      <w:marRight w:val="0"/>
      <w:marTop w:val="0"/>
      <w:marBottom w:val="0"/>
      <w:divBdr>
        <w:top w:val="none" w:sz="0" w:space="0" w:color="auto"/>
        <w:left w:val="none" w:sz="0" w:space="0" w:color="auto"/>
        <w:bottom w:val="none" w:sz="0" w:space="0" w:color="auto"/>
        <w:right w:val="none" w:sz="0" w:space="0" w:color="auto"/>
      </w:divBdr>
    </w:div>
    <w:div w:id="53951111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9412743">
      <w:bodyDiv w:val="1"/>
      <w:marLeft w:val="0"/>
      <w:marRight w:val="0"/>
      <w:marTop w:val="0"/>
      <w:marBottom w:val="0"/>
      <w:divBdr>
        <w:top w:val="none" w:sz="0" w:space="0" w:color="auto"/>
        <w:left w:val="none" w:sz="0" w:space="0" w:color="auto"/>
        <w:bottom w:val="none" w:sz="0" w:space="0" w:color="auto"/>
        <w:right w:val="none" w:sz="0" w:space="0" w:color="auto"/>
      </w:divBdr>
    </w:div>
    <w:div w:id="720134458">
      <w:bodyDiv w:val="1"/>
      <w:marLeft w:val="0"/>
      <w:marRight w:val="0"/>
      <w:marTop w:val="0"/>
      <w:marBottom w:val="0"/>
      <w:divBdr>
        <w:top w:val="none" w:sz="0" w:space="0" w:color="auto"/>
        <w:left w:val="none" w:sz="0" w:space="0" w:color="auto"/>
        <w:bottom w:val="none" w:sz="0" w:space="0" w:color="auto"/>
        <w:right w:val="none" w:sz="0" w:space="0" w:color="auto"/>
      </w:divBdr>
    </w:div>
    <w:div w:id="740829894">
      <w:bodyDiv w:val="1"/>
      <w:marLeft w:val="0"/>
      <w:marRight w:val="0"/>
      <w:marTop w:val="0"/>
      <w:marBottom w:val="0"/>
      <w:divBdr>
        <w:top w:val="none" w:sz="0" w:space="0" w:color="auto"/>
        <w:left w:val="none" w:sz="0" w:space="0" w:color="auto"/>
        <w:bottom w:val="none" w:sz="0" w:space="0" w:color="auto"/>
        <w:right w:val="none" w:sz="0" w:space="0" w:color="auto"/>
      </w:divBdr>
    </w:div>
    <w:div w:id="904144275">
      <w:bodyDiv w:val="1"/>
      <w:marLeft w:val="0"/>
      <w:marRight w:val="0"/>
      <w:marTop w:val="0"/>
      <w:marBottom w:val="0"/>
      <w:divBdr>
        <w:top w:val="none" w:sz="0" w:space="0" w:color="auto"/>
        <w:left w:val="none" w:sz="0" w:space="0" w:color="auto"/>
        <w:bottom w:val="none" w:sz="0" w:space="0" w:color="auto"/>
        <w:right w:val="none" w:sz="0" w:space="0" w:color="auto"/>
      </w:divBdr>
    </w:div>
    <w:div w:id="1095519515">
      <w:bodyDiv w:val="1"/>
      <w:marLeft w:val="0"/>
      <w:marRight w:val="0"/>
      <w:marTop w:val="0"/>
      <w:marBottom w:val="0"/>
      <w:divBdr>
        <w:top w:val="none" w:sz="0" w:space="0" w:color="auto"/>
        <w:left w:val="none" w:sz="0" w:space="0" w:color="auto"/>
        <w:bottom w:val="none" w:sz="0" w:space="0" w:color="auto"/>
        <w:right w:val="none" w:sz="0" w:space="0" w:color="auto"/>
      </w:divBdr>
    </w:div>
    <w:div w:id="115896314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1207486">
      <w:bodyDiv w:val="1"/>
      <w:marLeft w:val="0"/>
      <w:marRight w:val="0"/>
      <w:marTop w:val="0"/>
      <w:marBottom w:val="0"/>
      <w:divBdr>
        <w:top w:val="none" w:sz="0" w:space="0" w:color="auto"/>
        <w:left w:val="none" w:sz="0" w:space="0" w:color="auto"/>
        <w:bottom w:val="none" w:sz="0" w:space="0" w:color="auto"/>
        <w:right w:val="none" w:sz="0" w:space="0" w:color="auto"/>
      </w:divBdr>
    </w:div>
    <w:div w:id="1251624922">
      <w:bodyDiv w:val="1"/>
      <w:marLeft w:val="0"/>
      <w:marRight w:val="0"/>
      <w:marTop w:val="0"/>
      <w:marBottom w:val="0"/>
      <w:divBdr>
        <w:top w:val="none" w:sz="0" w:space="0" w:color="auto"/>
        <w:left w:val="none" w:sz="0" w:space="0" w:color="auto"/>
        <w:bottom w:val="none" w:sz="0" w:space="0" w:color="auto"/>
        <w:right w:val="none" w:sz="0" w:space="0" w:color="auto"/>
      </w:divBdr>
    </w:div>
    <w:div w:id="126506732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4555521">
      <w:bodyDiv w:val="1"/>
      <w:marLeft w:val="0"/>
      <w:marRight w:val="0"/>
      <w:marTop w:val="0"/>
      <w:marBottom w:val="0"/>
      <w:divBdr>
        <w:top w:val="none" w:sz="0" w:space="0" w:color="auto"/>
        <w:left w:val="none" w:sz="0" w:space="0" w:color="auto"/>
        <w:bottom w:val="none" w:sz="0" w:space="0" w:color="auto"/>
        <w:right w:val="none" w:sz="0" w:space="0" w:color="auto"/>
      </w:divBdr>
    </w:div>
    <w:div w:id="151383848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1620910">
      <w:bodyDiv w:val="1"/>
      <w:marLeft w:val="0"/>
      <w:marRight w:val="0"/>
      <w:marTop w:val="0"/>
      <w:marBottom w:val="0"/>
      <w:divBdr>
        <w:top w:val="none" w:sz="0" w:space="0" w:color="auto"/>
        <w:left w:val="none" w:sz="0" w:space="0" w:color="auto"/>
        <w:bottom w:val="none" w:sz="0" w:space="0" w:color="auto"/>
        <w:right w:val="none" w:sz="0" w:space="0" w:color="auto"/>
      </w:divBdr>
    </w:div>
    <w:div w:id="1577282995">
      <w:bodyDiv w:val="1"/>
      <w:marLeft w:val="0"/>
      <w:marRight w:val="0"/>
      <w:marTop w:val="0"/>
      <w:marBottom w:val="0"/>
      <w:divBdr>
        <w:top w:val="none" w:sz="0" w:space="0" w:color="auto"/>
        <w:left w:val="none" w:sz="0" w:space="0" w:color="auto"/>
        <w:bottom w:val="none" w:sz="0" w:space="0" w:color="auto"/>
        <w:right w:val="none" w:sz="0" w:space="0" w:color="auto"/>
      </w:divBdr>
    </w:div>
    <w:div w:id="1656375866">
      <w:bodyDiv w:val="1"/>
      <w:marLeft w:val="0"/>
      <w:marRight w:val="0"/>
      <w:marTop w:val="0"/>
      <w:marBottom w:val="0"/>
      <w:divBdr>
        <w:top w:val="none" w:sz="0" w:space="0" w:color="auto"/>
        <w:left w:val="none" w:sz="0" w:space="0" w:color="auto"/>
        <w:bottom w:val="none" w:sz="0" w:space="0" w:color="auto"/>
        <w:right w:val="none" w:sz="0" w:space="0" w:color="auto"/>
      </w:divBdr>
    </w:div>
    <w:div w:id="1658682296">
      <w:bodyDiv w:val="1"/>
      <w:marLeft w:val="0"/>
      <w:marRight w:val="0"/>
      <w:marTop w:val="0"/>
      <w:marBottom w:val="0"/>
      <w:divBdr>
        <w:top w:val="none" w:sz="0" w:space="0" w:color="auto"/>
        <w:left w:val="none" w:sz="0" w:space="0" w:color="auto"/>
        <w:bottom w:val="none" w:sz="0" w:space="0" w:color="auto"/>
        <w:right w:val="none" w:sz="0" w:space="0" w:color="auto"/>
      </w:divBdr>
    </w:div>
    <w:div w:id="1659846505">
      <w:bodyDiv w:val="1"/>
      <w:marLeft w:val="0"/>
      <w:marRight w:val="0"/>
      <w:marTop w:val="0"/>
      <w:marBottom w:val="0"/>
      <w:divBdr>
        <w:top w:val="none" w:sz="0" w:space="0" w:color="auto"/>
        <w:left w:val="none" w:sz="0" w:space="0" w:color="auto"/>
        <w:bottom w:val="none" w:sz="0" w:space="0" w:color="auto"/>
        <w:right w:val="none" w:sz="0" w:space="0" w:color="auto"/>
      </w:divBdr>
    </w:div>
    <w:div w:id="1661612016">
      <w:bodyDiv w:val="1"/>
      <w:marLeft w:val="0"/>
      <w:marRight w:val="0"/>
      <w:marTop w:val="0"/>
      <w:marBottom w:val="0"/>
      <w:divBdr>
        <w:top w:val="none" w:sz="0" w:space="0" w:color="auto"/>
        <w:left w:val="none" w:sz="0" w:space="0" w:color="auto"/>
        <w:bottom w:val="none" w:sz="0" w:space="0" w:color="auto"/>
        <w:right w:val="none" w:sz="0" w:space="0" w:color="auto"/>
      </w:divBdr>
    </w:div>
    <w:div w:id="1692223319">
      <w:bodyDiv w:val="1"/>
      <w:marLeft w:val="0"/>
      <w:marRight w:val="0"/>
      <w:marTop w:val="0"/>
      <w:marBottom w:val="0"/>
      <w:divBdr>
        <w:top w:val="none" w:sz="0" w:space="0" w:color="auto"/>
        <w:left w:val="none" w:sz="0" w:space="0" w:color="auto"/>
        <w:bottom w:val="none" w:sz="0" w:space="0" w:color="auto"/>
        <w:right w:val="none" w:sz="0" w:space="0" w:color="auto"/>
      </w:divBdr>
    </w:div>
    <w:div w:id="174679748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2039240">
      <w:bodyDiv w:val="1"/>
      <w:marLeft w:val="0"/>
      <w:marRight w:val="0"/>
      <w:marTop w:val="0"/>
      <w:marBottom w:val="0"/>
      <w:divBdr>
        <w:top w:val="none" w:sz="0" w:space="0" w:color="auto"/>
        <w:left w:val="none" w:sz="0" w:space="0" w:color="auto"/>
        <w:bottom w:val="none" w:sz="0" w:space="0" w:color="auto"/>
        <w:right w:val="none" w:sz="0" w:space="0" w:color="auto"/>
      </w:divBdr>
    </w:div>
    <w:div w:id="1845976791">
      <w:bodyDiv w:val="1"/>
      <w:marLeft w:val="0"/>
      <w:marRight w:val="0"/>
      <w:marTop w:val="0"/>
      <w:marBottom w:val="0"/>
      <w:divBdr>
        <w:top w:val="none" w:sz="0" w:space="0" w:color="auto"/>
        <w:left w:val="none" w:sz="0" w:space="0" w:color="auto"/>
        <w:bottom w:val="none" w:sz="0" w:space="0" w:color="auto"/>
        <w:right w:val="none" w:sz="0" w:space="0" w:color="auto"/>
      </w:divBdr>
    </w:div>
    <w:div w:id="185128900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443306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758560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466/&#1585;&#1586;&#1740;&#1606;" TargetMode="External"/><Relationship Id="rId2" Type="http://schemas.openxmlformats.org/officeDocument/2006/relationships/hyperlink" Target="http://lib.eshia.ir/71524/3/229/&#1575;&#1604;&#1582;&#1604;&#1608;&#1577;" TargetMode="External"/><Relationship Id="rId1" Type="http://schemas.openxmlformats.org/officeDocument/2006/relationships/hyperlink" Target="http://lib.eshia.ir/71559/7/159/&#1575;&#1593;&#1604;&#1605;" TargetMode="External"/><Relationship Id="rId4" Type="http://schemas.openxmlformats.org/officeDocument/2006/relationships/hyperlink" Target="http://lib.eshia.ir/10151/8/229/&#1575;&#1604;&#1575;&#1593;&#1578;&#1605;&#1575;&#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F459-3CEE-48B5-A2A5-1795C16B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1200</Words>
  <Characters>6840</Characters>
  <Application>Microsoft Office Word</Application>
  <DocSecurity>0</DocSecurity>
  <Lines>57</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8024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2019-10-01T03:13:00Z</cp:lastPrinted>
  <dcterms:created xsi:type="dcterms:W3CDTF">2019-10-01T03:13:00Z</dcterms:created>
  <dcterms:modified xsi:type="dcterms:W3CDTF">2019-12-04T07:12:00Z</dcterms:modified>
  <cp:contentStatus>ویرایش 2.5</cp:contentStatus>
  <cp:version>2.7</cp:version>
</cp:coreProperties>
</file>