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27" w:rsidRPr="0000301D" w:rsidRDefault="00F07327" w:rsidP="00F0732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867C9E">
      <w:pPr>
        <w:jc w:val="both"/>
        <w:rPr>
          <w:rStyle w:val="Emphasis"/>
          <w:b/>
          <w:bCs w:val="0"/>
          <w:rtl/>
        </w:rPr>
      </w:pPr>
      <w:r w:rsidRPr="009C66D5">
        <w:rPr>
          <w:rStyle w:val="Emphasis"/>
          <w:rFonts w:hint="cs"/>
          <w:b/>
          <w:bCs w:val="0"/>
          <w:rtl/>
        </w:rPr>
        <w:t>خلاصه مباحث گذشته</w:t>
      </w:r>
      <w:r w:rsidR="002A1CB2">
        <w:rPr>
          <w:rStyle w:val="Emphasis"/>
          <w:rFonts w:hint="cs"/>
          <w:b/>
          <w:bCs w:val="0"/>
          <w:rtl/>
        </w:rPr>
        <w:t xml:space="preserve"> و جلسه امروز</w:t>
      </w:r>
      <w:r w:rsidRPr="009C66D5">
        <w:rPr>
          <w:rStyle w:val="Emphasis"/>
          <w:rFonts w:hint="cs"/>
          <w:b/>
          <w:bCs w:val="0"/>
          <w:rtl/>
        </w:rPr>
        <w:t>:</w:t>
      </w:r>
    </w:p>
    <w:p w:rsidR="00247D2F" w:rsidRDefault="002A1CB2" w:rsidP="00F83D7F">
      <w:pPr>
        <w:pBdr>
          <w:bottom w:val="double" w:sz="6" w:space="1" w:color="auto"/>
        </w:pBdr>
        <w:jc w:val="both"/>
        <w:rPr>
          <w:rtl/>
        </w:rPr>
      </w:pPr>
      <w:r>
        <w:rPr>
          <w:rFonts w:hint="cs"/>
          <w:rtl/>
        </w:rPr>
        <w:t xml:space="preserve">بحث در </w:t>
      </w:r>
      <w:r w:rsidR="00F83D7F">
        <w:rPr>
          <w:rFonts w:hint="cs"/>
          <w:rtl/>
        </w:rPr>
        <w:t xml:space="preserve">نقل های حدیث لا ضرر بود. اولین نقل، قضیه سمره است که نقل اول آن توسط ابن بکیر از زراره در کافی وارد شده که عین همین روایت در تهذیب نیز نقل شده است. آیا نقل تهذیب مستقل از کافی بوده یا از کافی اخذ شده است؟ </w:t>
      </w:r>
    </w:p>
    <w:p w:rsidR="00F83D7F" w:rsidRPr="003A6148" w:rsidRDefault="002C2E6A" w:rsidP="00F83D7F">
      <w:pPr>
        <w:pBdr>
          <w:bottom w:val="double" w:sz="6" w:space="1" w:color="auto"/>
        </w:pBdr>
        <w:jc w:val="both"/>
      </w:pPr>
      <w:r>
        <w:rPr>
          <w:rFonts w:hint="cs"/>
          <w:rtl/>
        </w:rPr>
        <w:t xml:space="preserve">به تناسب این بحث، پدیده اجازات تبیین شده و بیان می شود: طرق به کتب تشریفاتی بوده و نیازی به بررسی سندی طرق به کتب نیست. به همین دلیل با فرض وجود شهادت به انتساب روایت به راوی، صحت استناد روایت ثابت شده و در این بحث تفاوتی بین کتب مشهوره و غیر مشهوره وجود ندارد. </w:t>
      </w:r>
    </w:p>
    <w:p w:rsidR="008F5B4D" w:rsidRDefault="008F5B4D" w:rsidP="00867C9E">
      <w:pPr>
        <w:jc w:val="both"/>
      </w:pPr>
    </w:p>
    <w:p w:rsidR="00C11881" w:rsidRDefault="00C11881" w:rsidP="00C11881">
      <w:pPr>
        <w:pStyle w:val="Heading2"/>
        <w:rPr>
          <w:rtl/>
        </w:rPr>
      </w:pPr>
      <w:bookmarkStart w:id="1" w:name="_Toc20195056"/>
      <w:r>
        <w:rPr>
          <w:rFonts w:hint="cs"/>
          <w:rtl/>
        </w:rPr>
        <w:t>بررسی استقلال نقل قضیه سمره در تهذیب از کافی</w:t>
      </w:r>
      <w:bookmarkEnd w:id="1"/>
      <w:r>
        <w:rPr>
          <w:rFonts w:hint="cs"/>
          <w:rtl/>
        </w:rPr>
        <w:t xml:space="preserve"> </w:t>
      </w:r>
    </w:p>
    <w:p w:rsidR="001A1EA5" w:rsidRDefault="00E11C93" w:rsidP="00867C9E">
      <w:pPr>
        <w:jc w:val="both"/>
        <w:rPr>
          <w:rtl/>
        </w:rPr>
      </w:pPr>
      <w:r>
        <w:rPr>
          <w:rFonts w:hint="cs"/>
          <w:rtl/>
        </w:rPr>
        <w:t xml:space="preserve">روایت اولی که قضیه سمره را نقل می کند روایت عبد الله بن بکیر از زراره است که در کافی نقل شده است عین روایت در تهذیب نیز نقل شده است. بحث این است که آیا نقل تهذیب مستقل است یا </w:t>
      </w:r>
      <w:r w:rsidR="002B08AD">
        <w:rPr>
          <w:rFonts w:hint="cs"/>
          <w:rtl/>
        </w:rPr>
        <w:t>از کافی نقل شده و نسخه ای از کافی حساب می شود؟</w:t>
      </w:r>
    </w:p>
    <w:p w:rsidR="002B08AD" w:rsidRDefault="002B08AD" w:rsidP="00867C9E">
      <w:pPr>
        <w:jc w:val="both"/>
        <w:rPr>
          <w:rtl/>
        </w:rPr>
      </w:pPr>
      <w:r>
        <w:rPr>
          <w:rFonts w:hint="cs"/>
          <w:rtl/>
        </w:rPr>
        <w:t xml:space="preserve">آقای سیستانی این ضابطه را بیان می کنند که اگر در صدر سند تهذیب، احمد بن محمد بن خالد وارد شده باشد، روایت از کافی اخذ شده و اگر احمد بن ابی عبد الله در صدر سند باشد، روایت از </w:t>
      </w:r>
      <w:r w:rsidR="00360CA6">
        <w:rPr>
          <w:rFonts w:hint="cs"/>
          <w:rtl/>
        </w:rPr>
        <w:t xml:space="preserve">کتاب </w:t>
      </w:r>
      <w:r w:rsidR="00D92D13">
        <w:rPr>
          <w:rFonts w:hint="cs"/>
          <w:rtl/>
        </w:rPr>
        <w:t>کافی اخذ نشده است</w:t>
      </w:r>
      <w:r w:rsidR="00360CA6">
        <w:rPr>
          <w:rFonts w:hint="cs"/>
          <w:rtl/>
        </w:rPr>
        <w:t xml:space="preserve">. </w:t>
      </w:r>
      <w:r w:rsidR="004109EA">
        <w:rPr>
          <w:rFonts w:hint="cs"/>
          <w:rtl/>
        </w:rPr>
        <w:t>در روایت مورد بحث در صدر سند احمد بن محمد بن خالد وارد شده</w:t>
      </w:r>
      <w:r w:rsidR="00DF73F6">
        <w:rPr>
          <w:rFonts w:hint="cs"/>
          <w:rtl/>
        </w:rPr>
        <w:t xml:space="preserve"> که همین نشانگر اخذ روایت از کافی است. ایشان بر این مطلب به شواهدی در مشیخه تهذیب استشهاد کرده اند که در مقاله </w:t>
      </w:r>
      <w:r w:rsidR="00D92D13">
        <w:rPr>
          <w:rFonts w:hint="cs"/>
          <w:rtl/>
        </w:rPr>
        <w:t>مصادر الشیخ الطوسی فی کتاب</w:t>
      </w:r>
      <w:r w:rsidR="00A40EB0">
        <w:rPr>
          <w:rFonts w:hint="cs"/>
          <w:rtl/>
        </w:rPr>
        <w:t xml:space="preserve">ه تهذیب الاحکام،  بیان کرده ایم: </w:t>
      </w:r>
      <w:r w:rsidR="00C11881">
        <w:rPr>
          <w:rFonts w:hint="cs"/>
          <w:rtl/>
        </w:rPr>
        <w:t xml:space="preserve"> هر چند </w:t>
      </w:r>
      <w:r w:rsidR="00D92D13">
        <w:rPr>
          <w:rFonts w:hint="cs"/>
          <w:rtl/>
        </w:rPr>
        <w:t xml:space="preserve">مواردی </w:t>
      </w:r>
      <w:r w:rsidR="00C11881">
        <w:rPr>
          <w:rFonts w:hint="cs"/>
          <w:rtl/>
        </w:rPr>
        <w:t xml:space="preserve">در تهذیب </w:t>
      </w:r>
      <w:r w:rsidR="00D92D13">
        <w:rPr>
          <w:rFonts w:hint="cs"/>
          <w:rtl/>
        </w:rPr>
        <w:t>که</w:t>
      </w:r>
      <w:r w:rsidR="00C11881">
        <w:rPr>
          <w:rFonts w:hint="cs"/>
          <w:rtl/>
        </w:rPr>
        <w:t xml:space="preserve"> صدر سند</w:t>
      </w:r>
      <w:r w:rsidR="00D92D13">
        <w:rPr>
          <w:rFonts w:hint="cs"/>
          <w:rtl/>
        </w:rPr>
        <w:t xml:space="preserve"> احمد بن محمد بن خالد است از کافی اخذ شده ولی </w:t>
      </w:r>
      <w:r w:rsidR="00A40EB0">
        <w:rPr>
          <w:rFonts w:hint="cs"/>
          <w:rtl/>
        </w:rPr>
        <w:t xml:space="preserve">مواردی که </w:t>
      </w:r>
      <w:r w:rsidR="00D92D13">
        <w:rPr>
          <w:rFonts w:hint="cs"/>
          <w:rtl/>
        </w:rPr>
        <w:t xml:space="preserve">احمد بن ابی عبد الله </w:t>
      </w:r>
      <w:r w:rsidR="00A40EB0">
        <w:rPr>
          <w:rFonts w:hint="cs"/>
          <w:rtl/>
        </w:rPr>
        <w:t xml:space="preserve">در صدر سند تهذیب است، </w:t>
      </w:r>
      <w:r w:rsidR="00D92D13">
        <w:rPr>
          <w:rFonts w:hint="cs"/>
          <w:rtl/>
        </w:rPr>
        <w:t xml:space="preserve">از غیر کافی نبوده و بیشتر این موارد نیز از کافی اخذ شده است. </w:t>
      </w:r>
      <w:r w:rsidR="00A40EB0">
        <w:rPr>
          <w:rFonts w:hint="cs"/>
          <w:rtl/>
        </w:rPr>
        <w:t xml:space="preserve">نحوه شناخت مصدر بودن کافی، مقایسه ترتیب روایات وارد شده در تهذیب با ترتیب روایات کافی است. </w:t>
      </w:r>
    </w:p>
    <w:p w:rsidR="00A40EB0" w:rsidRDefault="00A40EB0" w:rsidP="00867C9E">
      <w:pPr>
        <w:jc w:val="both"/>
        <w:rPr>
          <w:rtl/>
        </w:rPr>
      </w:pPr>
      <w:r>
        <w:rPr>
          <w:rFonts w:hint="cs"/>
          <w:rtl/>
        </w:rPr>
        <w:lastRenderedPageBreak/>
        <w:t xml:space="preserve">روایت مورد بحث، </w:t>
      </w:r>
      <w:r w:rsidR="009F14E1">
        <w:rPr>
          <w:rFonts w:hint="cs"/>
          <w:rtl/>
        </w:rPr>
        <w:t xml:space="preserve">در کافی ج </w:t>
      </w:r>
      <w:r w:rsidR="00D1684A">
        <w:rPr>
          <w:rFonts w:hint="cs"/>
          <w:rtl/>
        </w:rPr>
        <w:t>5 ص:</w:t>
      </w:r>
      <w:r w:rsidR="009F14E1">
        <w:rPr>
          <w:rFonts w:hint="cs"/>
          <w:rtl/>
        </w:rPr>
        <w:t xml:space="preserve">292 </w:t>
      </w:r>
      <w:r w:rsidR="00D1684A">
        <w:rPr>
          <w:rFonts w:hint="cs"/>
          <w:rtl/>
        </w:rPr>
        <w:t xml:space="preserve">، باب الضرار، ح 2 و </w:t>
      </w:r>
      <w:r w:rsidR="009F14E1">
        <w:rPr>
          <w:rFonts w:hint="cs"/>
          <w:rtl/>
        </w:rPr>
        <w:t xml:space="preserve">در تهذیب ج 7، ص: 146 آمده است. </w:t>
      </w:r>
    </w:p>
    <w:p w:rsidR="00DC6FC3" w:rsidRDefault="00DC6FC3" w:rsidP="002D297B">
      <w:pPr>
        <w:jc w:val="both"/>
        <w:rPr>
          <w:rtl/>
        </w:rPr>
      </w:pPr>
      <w:r>
        <w:rPr>
          <w:rFonts w:hint="cs"/>
          <w:rtl/>
        </w:rPr>
        <w:t xml:space="preserve">روایت قبل که روایت اول باب الضرار است به سند </w:t>
      </w:r>
      <w:r w:rsidRPr="00DC6FC3">
        <w:rPr>
          <w:rtl/>
        </w:rPr>
        <w:t xml:space="preserve"> </w:t>
      </w:r>
      <w:r w:rsidRPr="00DC6FC3">
        <w:rPr>
          <w:rFonts w:hint="cs"/>
          <w:rtl/>
        </w:rPr>
        <w:t>مُحَمَّدُ</w:t>
      </w:r>
      <w:r w:rsidRPr="00DC6FC3">
        <w:rPr>
          <w:rtl/>
        </w:rPr>
        <w:t xml:space="preserve"> </w:t>
      </w:r>
      <w:r w:rsidRPr="00DC6FC3">
        <w:rPr>
          <w:rFonts w:hint="cs"/>
          <w:rtl/>
        </w:rPr>
        <w:t>بْنُ</w:t>
      </w:r>
      <w:r w:rsidRPr="00DC6FC3">
        <w:rPr>
          <w:rtl/>
        </w:rPr>
        <w:t xml:space="preserve"> </w:t>
      </w:r>
      <w:r w:rsidRPr="00DC6FC3">
        <w:rPr>
          <w:rFonts w:hint="cs"/>
          <w:rtl/>
        </w:rPr>
        <w:t>يَحْيَى</w:t>
      </w:r>
      <w:r w:rsidRPr="00DC6FC3">
        <w:rPr>
          <w:rtl/>
        </w:rPr>
        <w:t xml:space="preserve"> </w:t>
      </w:r>
      <w:r w:rsidRPr="00DC6FC3">
        <w:rPr>
          <w:rFonts w:hint="cs"/>
          <w:rtl/>
        </w:rPr>
        <w:t>عَنْ</w:t>
      </w:r>
      <w:r w:rsidRPr="00DC6FC3">
        <w:rPr>
          <w:rtl/>
        </w:rPr>
        <w:t xml:space="preserve"> </w:t>
      </w:r>
      <w:r w:rsidRPr="00DC6FC3">
        <w:rPr>
          <w:rFonts w:hint="cs"/>
          <w:rtl/>
        </w:rPr>
        <w:t>أَحْمَدَ</w:t>
      </w:r>
      <w:r w:rsidRPr="00DC6FC3">
        <w:rPr>
          <w:rtl/>
        </w:rPr>
        <w:t xml:space="preserve"> </w:t>
      </w:r>
      <w:r w:rsidRPr="00DC6FC3">
        <w:rPr>
          <w:rFonts w:hint="cs"/>
          <w:rtl/>
        </w:rPr>
        <w:t>بْنِ</w:t>
      </w:r>
      <w:r w:rsidRPr="00DC6FC3">
        <w:rPr>
          <w:rtl/>
        </w:rPr>
        <w:t xml:space="preserve"> </w:t>
      </w:r>
      <w:r w:rsidRPr="00DC6FC3">
        <w:rPr>
          <w:rFonts w:hint="cs"/>
          <w:rtl/>
        </w:rPr>
        <w:t>مُحَمَّدٍ</w:t>
      </w:r>
      <w:r w:rsidRPr="00DC6FC3">
        <w:rPr>
          <w:rtl/>
        </w:rPr>
        <w:t xml:space="preserve"> </w:t>
      </w:r>
      <w:r w:rsidRPr="00DC6FC3">
        <w:rPr>
          <w:rFonts w:hint="cs"/>
          <w:rtl/>
        </w:rPr>
        <w:t>عَنْ</w:t>
      </w:r>
      <w:r w:rsidRPr="00DC6FC3">
        <w:rPr>
          <w:rtl/>
        </w:rPr>
        <w:t xml:space="preserve"> </w:t>
      </w:r>
      <w:r w:rsidRPr="00DC6FC3">
        <w:rPr>
          <w:rFonts w:hint="cs"/>
          <w:rtl/>
        </w:rPr>
        <w:t>مُحَمَّدِ</w:t>
      </w:r>
      <w:r w:rsidRPr="00DC6FC3">
        <w:rPr>
          <w:rtl/>
        </w:rPr>
        <w:t xml:space="preserve"> </w:t>
      </w:r>
      <w:r w:rsidRPr="00DC6FC3">
        <w:rPr>
          <w:rFonts w:hint="cs"/>
          <w:rtl/>
        </w:rPr>
        <w:t>بْنِ</w:t>
      </w:r>
      <w:r w:rsidRPr="00DC6FC3">
        <w:rPr>
          <w:rtl/>
        </w:rPr>
        <w:t xml:space="preserve"> </w:t>
      </w:r>
      <w:r w:rsidRPr="00DC6FC3">
        <w:rPr>
          <w:rFonts w:hint="cs"/>
          <w:rtl/>
        </w:rPr>
        <w:t>يَحْيَى</w:t>
      </w:r>
      <w:r w:rsidRPr="00DC6FC3">
        <w:rPr>
          <w:rtl/>
        </w:rPr>
        <w:t xml:space="preserve"> </w:t>
      </w:r>
      <w:r w:rsidRPr="00DC6FC3">
        <w:rPr>
          <w:rFonts w:hint="cs"/>
          <w:rtl/>
        </w:rPr>
        <w:t>عَنْ</w:t>
      </w:r>
      <w:r w:rsidRPr="00DC6FC3">
        <w:rPr>
          <w:rtl/>
        </w:rPr>
        <w:t xml:space="preserve"> </w:t>
      </w:r>
      <w:r w:rsidRPr="00DC6FC3">
        <w:rPr>
          <w:rFonts w:hint="cs"/>
          <w:rtl/>
        </w:rPr>
        <w:t>طَلْحَةَ</w:t>
      </w:r>
      <w:r w:rsidRPr="00DC6FC3">
        <w:rPr>
          <w:rtl/>
        </w:rPr>
        <w:t xml:space="preserve"> </w:t>
      </w:r>
      <w:r w:rsidRPr="00DC6FC3">
        <w:rPr>
          <w:rFonts w:hint="cs"/>
          <w:rtl/>
        </w:rPr>
        <w:t>بْنِ</w:t>
      </w:r>
      <w:r w:rsidRPr="00DC6FC3">
        <w:rPr>
          <w:rtl/>
        </w:rPr>
        <w:t xml:space="preserve"> </w:t>
      </w:r>
      <w:r w:rsidRPr="00DC6FC3">
        <w:rPr>
          <w:rFonts w:hint="cs"/>
          <w:rtl/>
        </w:rPr>
        <w:t>زَيْد</w:t>
      </w:r>
      <w:r>
        <w:rPr>
          <w:rFonts w:hint="cs"/>
          <w:rtl/>
        </w:rPr>
        <w:t xml:space="preserve"> است که دقیقا همین روایت، پیش از روایت مورد بحث در تهذیب آمده است. </w:t>
      </w:r>
      <w:r w:rsidR="00C95FE6">
        <w:rPr>
          <w:rFonts w:hint="cs"/>
          <w:rtl/>
        </w:rPr>
        <w:t xml:space="preserve">روایت قبل در تهذیب به سند </w:t>
      </w:r>
      <w:r w:rsidR="00C95FE6" w:rsidRPr="00C95FE6">
        <w:rPr>
          <w:rFonts w:hint="cs"/>
          <w:rtl/>
        </w:rPr>
        <w:t>أَبُو</w:t>
      </w:r>
      <w:r w:rsidR="00C95FE6" w:rsidRPr="00C95FE6">
        <w:rPr>
          <w:rtl/>
        </w:rPr>
        <w:t xml:space="preserve"> </w:t>
      </w:r>
      <w:r w:rsidR="00C95FE6" w:rsidRPr="00C95FE6">
        <w:rPr>
          <w:rFonts w:hint="cs"/>
          <w:rtl/>
        </w:rPr>
        <w:t>عَلِيٍّ</w:t>
      </w:r>
      <w:r w:rsidR="00C95FE6" w:rsidRPr="00C95FE6">
        <w:rPr>
          <w:rtl/>
        </w:rPr>
        <w:t xml:space="preserve"> </w:t>
      </w:r>
      <w:r w:rsidR="00C95FE6" w:rsidRPr="00C95FE6">
        <w:rPr>
          <w:rFonts w:hint="cs"/>
          <w:rtl/>
        </w:rPr>
        <w:t>الْأَشْعَرِيُّ</w:t>
      </w:r>
      <w:r w:rsidR="00C95FE6" w:rsidRPr="00C95FE6">
        <w:rPr>
          <w:rtl/>
        </w:rPr>
        <w:t xml:space="preserve"> </w:t>
      </w:r>
      <w:r w:rsidR="00C95FE6" w:rsidRPr="00C95FE6">
        <w:rPr>
          <w:rFonts w:hint="cs"/>
          <w:rtl/>
        </w:rPr>
        <w:t>عَنْ</w:t>
      </w:r>
      <w:r w:rsidR="00C95FE6" w:rsidRPr="00C95FE6">
        <w:rPr>
          <w:rtl/>
        </w:rPr>
        <w:t xml:space="preserve"> </w:t>
      </w:r>
      <w:r w:rsidR="00C95FE6" w:rsidRPr="00C95FE6">
        <w:rPr>
          <w:rFonts w:hint="cs"/>
          <w:rtl/>
        </w:rPr>
        <w:t>مُحَمَّدِ</w:t>
      </w:r>
      <w:r w:rsidR="00C95FE6" w:rsidRPr="00C95FE6">
        <w:rPr>
          <w:rtl/>
        </w:rPr>
        <w:t xml:space="preserve"> </w:t>
      </w:r>
      <w:r w:rsidR="00C95FE6" w:rsidRPr="00C95FE6">
        <w:rPr>
          <w:rFonts w:hint="cs"/>
          <w:rtl/>
        </w:rPr>
        <w:t>بْنِ</w:t>
      </w:r>
      <w:r w:rsidR="00C95FE6" w:rsidRPr="00C95FE6">
        <w:rPr>
          <w:rtl/>
        </w:rPr>
        <w:t xml:space="preserve"> </w:t>
      </w:r>
      <w:r w:rsidR="00C95FE6" w:rsidRPr="00C95FE6">
        <w:rPr>
          <w:rFonts w:hint="cs"/>
          <w:rtl/>
        </w:rPr>
        <w:t>عَبْدِ</w:t>
      </w:r>
      <w:r w:rsidR="00C95FE6" w:rsidRPr="00C95FE6">
        <w:rPr>
          <w:rtl/>
        </w:rPr>
        <w:t xml:space="preserve"> </w:t>
      </w:r>
      <w:r w:rsidR="00C95FE6" w:rsidRPr="00C95FE6">
        <w:rPr>
          <w:rFonts w:hint="cs"/>
          <w:rtl/>
        </w:rPr>
        <w:t>الْجَبَّارِ</w:t>
      </w:r>
      <w:r w:rsidR="00C95FE6" w:rsidRPr="00C95FE6">
        <w:rPr>
          <w:rtl/>
        </w:rPr>
        <w:t xml:space="preserve"> </w:t>
      </w:r>
      <w:r w:rsidR="00C95FE6" w:rsidRPr="00C95FE6">
        <w:rPr>
          <w:rFonts w:hint="cs"/>
          <w:rtl/>
        </w:rPr>
        <w:t>عَنْ</w:t>
      </w:r>
      <w:r w:rsidR="00C95FE6" w:rsidRPr="00C95FE6">
        <w:rPr>
          <w:rtl/>
        </w:rPr>
        <w:t xml:space="preserve"> </w:t>
      </w:r>
      <w:r w:rsidR="00C95FE6" w:rsidRPr="00C95FE6">
        <w:rPr>
          <w:rFonts w:hint="cs"/>
          <w:rtl/>
        </w:rPr>
        <w:t>صَفْوَانَ</w:t>
      </w:r>
      <w:r w:rsidR="00C95FE6" w:rsidRPr="00C95FE6">
        <w:rPr>
          <w:rtl/>
        </w:rPr>
        <w:t xml:space="preserve"> </w:t>
      </w:r>
      <w:r w:rsidR="00C95FE6" w:rsidRPr="00C95FE6">
        <w:rPr>
          <w:rFonts w:hint="cs"/>
          <w:rtl/>
        </w:rPr>
        <w:t>بْنِ</w:t>
      </w:r>
      <w:r w:rsidR="00C95FE6" w:rsidRPr="00C95FE6">
        <w:rPr>
          <w:rtl/>
        </w:rPr>
        <w:t xml:space="preserve"> </w:t>
      </w:r>
      <w:r w:rsidR="00C95FE6" w:rsidRPr="00C95FE6">
        <w:rPr>
          <w:rFonts w:hint="cs"/>
          <w:rtl/>
        </w:rPr>
        <w:t>يَحْيَى</w:t>
      </w:r>
      <w:r w:rsidR="00C95FE6" w:rsidRPr="00C95FE6">
        <w:rPr>
          <w:rtl/>
        </w:rPr>
        <w:t xml:space="preserve"> </w:t>
      </w:r>
      <w:r w:rsidR="00C95FE6" w:rsidRPr="00C95FE6">
        <w:rPr>
          <w:rFonts w:hint="cs"/>
          <w:rtl/>
        </w:rPr>
        <w:t>عَنْ</w:t>
      </w:r>
      <w:r w:rsidR="00C95FE6" w:rsidRPr="00C95FE6">
        <w:rPr>
          <w:rtl/>
        </w:rPr>
        <w:t xml:space="preserve"> </w:t>
      </w:r>
      <w:r w:rsidR="00C95FE6" w:rsidRPr="00C95FE6">
        <w:rPr>
          <w:rFonts w:hint="cs"/>
          <w:rtl/>
        </w:rPr>
        <w:t>مَنْصُورِ</w:t>
      </w:r>
      <w:r w:rsidR="00C95FE6" w:rsidRPr="00C95FE6">
        <w:rPr>
          <w:rtl/>
        </w:rPr>
        <w:t xml:space="preserve"> </w:t>
      </w:r>
      <w:r w:rsidR="00C95FE6" w:rsidRPr="00C95FE6">
        <w:rPr>
          <w:rFonts w:hint="cs"/>
          <w:rtl/>
        </w:rPr>
        <w:t>بْنِ</w:t>
      </w:r>
      <w:r w:rsidR="00C95FE6" w:rsidRPr="00C95FE6">
        <w:rPr>
          <w:rtl/>
        </w:rPr>
        <w:t xml:space="preserve"> </w:t>
      </w:r>
      <w:r w:rsidR="00C95FE6" w:rsidRPr="00C95FE6">
        <w:rPr>
          <w:rFonts w:hint="cs"/>
          <w:rtl/>
        </w:rPr>
        <w:t>حَازِمٍ</w:t>
      </w:r>
      <w:r w:rsidR="00C95FE6">
        <w:rPr>
          <w:rFonts w:hint="cs"/>
          <w:rtl/>
        </w:rPr>
        <w:t xml:space="preserve"> است که این روایت در کافی ص 196، ح 9 وارد شده است. </w:t>
      </w:r>
      <w:r w:rsidR="00D06D96">
        <w:rPr>
          <w:rFonts w:hint="cs"/>
          <w:rtl/>
        </w:rPr>
        <w:t xml:space="preserve">دو روایت ابتدایی باب الضرار کافی، به همین صورت در تهذیب وارد شده است. مرحوم شیخ طوسی با مراجعه به کافی، روای صاحب جامع حدیثی </w:t>
      </w:r>
      <w:r w:rsidR="009D17E1">
        <w:rPr>
          <w:rFonts w:hint="cs"/>
          <w:rtl/>
        </w:rPr>
        <w:t>که</w:t>
      </w:r>
      <w:r w:rsidR="00D06D96">
        <w:rPr>
          <w:rFonts w:hint="cs"/>
          <w:rtl/>
        </w:rPr>
        <w:t xml:space="preserve"> کلینی به </w:t>
      </w:r>
      <w:r w:rsidR="009D17E1">
        <w:rPr>
          <w:rFonts w:hint="cs"/>
          <w:rtl/>
        </w:rPr>
        <w:t xml:space="preserve">طور متعارف از کتاب او اخذ کرده </w:t>
      </w:r>
      <w:r w:rsidR="00D06D96">
        <w:rPr>
          <w:rFonts w:hint="cs"/>
          <w:rtl/>
        </w:rPr>
        <w:t xml:space="preserve">را در صدر سند تهذیب  قرار می دهد. </w:t>
      </w:r>
      <w:r w:rsidR="009D17E1">
        <w:rPr>
          <w:rFonts w:hint="cs"/>
          <w:rtl/>
        </w:rPr>
        <w:t xml:space="preserve">در روایت اول باب الضرار کافی، احمد بن محمد (بن عیسی) </w:t>
      </w:r>
      <w:r w:rsidR="00266FB8">
        <w:rPr>
          <w:rFonts w:hint="cs"/>
          <w:rtl/>
        </w:rPr>
        <w:t xml:space="preserve">صاحب کتاب بوده و در تهذیب صدر سند قرار گرفته و در روایت دوم، احمد بن محمد بن خالد صاحب کتاب است و شیخ طوسی او را صدر سند قرار داده است. </w:t>
      </w:r>
    </w:p>
    <w:p w:rsidR="006C23BF" w:rsidRDefault="00266FB8" w:rsidP="00937B00">
      <w:pPr>
        <w:jc w:val="both"/>
        <w:rPr>
          <w:rtl/>
        </w:rPr>
      </w:pPr>
      <w:r>
        <w:rPr>
          <w:rFonts w:hint="cs"/>
          <w:rtl/>
        </w:rPr>
        <w:t xml:space="preserve">اصل تفکر پشت این رفتار شیخ طوسی این است که </w:t>
      </w:r>
      <w:r w:rsidR="00873FBF">
        <w:rPr>
          <w:rFonts w:hint="cs"/>
          <w:rtl/>
        </w:rPr>
        <w:t>شیخ طوسی</w:t>
      </w:r>
      <w:r w:rsidR="00937B00">
        <w:rPr>
          <w:rFonts w:hint="cs"/>
          <w:rtl/>
        </w:rPr>
        <w:t xml:space="preserve"> چون</w:t>
      </w:r>
      <w:r w:rsidR="00873FBF">
        <w:rPr>
          <w:rFonts w:hint="cs"/>
          <w:rtl/>
        </w:rPr>
        <w:t xml:space="preserve"> به جمیع روایات و کتب احمد بن محمد بن عیسی و احمد بن محمد بن خالد طریق دارد</w:t>
      </w:r>
      <w:r w:rsidR="00937B00">
        <w:rPr>
          <w:rFonts w:hint="cs"/>
          <w:rtl/>
        </w:rPr>
        <w:t xml:space="preserve">، می تواند </w:t>
      </w:r>
      <w:r w:rsidR="006C23BF">
        <w:rPr>
          <w:rFonts w:hint="cs"/>
          <w:rtl/>
        </w:rPr>
        <w:t xml:space="preserve">با حذف طریق کافی، احمد بن محمد بن عیسی و احمد بن محمد بن خالد را در صدر اسناد کتاب خویش قرار دهد. </w:t>
      </w:r>
    </w:p>
    <w:p w:rsidR="006C23BF" w:rsidRDefault="006C23BF" w:rsidP="006C23BF">
      <w:pPr>
        <w:jc w:val="both"/>
        <w:rPr>
          <w:rtl/>
        </w:rPr>
      </w:pPr>
      <w:r>
        <w:rPr>
          <w:rFonts w:hint="cs"/>
          <w:rtl/>
        </w:rPr>
        <w:t xml:space="preserve">برای روشن شدن این مطلب باید توضیحی درباره اجازات موجود در گذشته، ارائه شود. </w:t>
      </w:r>
    </w:p>
    <w:p w:rsidR="007C3EF4" w:rsidRDefault="007C3EF4" w:rsidP="007C3EF4">
      <w:pPr>
        <w:pStyle w:val="Heading3"/>
        <w:rPr>
          <w:rtl/>
        </w:rPr>
      </w:pPr>
      <w:bookmarkStart w:id="2" w:name="_Toc20195057"/>
      <w:r>
        <w:rPr>
          <w:rFonts w:hint="cs"/>
          <w:rtl/>
        </w:rPr>
        <w:t>تبیین پدیده اجازه نقل مرویات</w:t>
      </w:r>
      <w:bookmarkEnd w:id="2"/>
      <w:r>
        <w:rPr>
          <w:rFonts w:hint="cs"/>
          <w:rtl/>
        </w:rPr>
        <w:t xml:space="preserve"> </w:t>
      </w:r>
    </w:p>
    <w:p w:rsidR="00266FB8" w:rsidRDefault="001D3B6B" w:rsidP="007C3EF4">
      <w:pPr>
        <w:jc w:val="both"/>
        <w:rPr>
          <w:rtl/>
        </w:rPr>
      </w:pPr>
      <w:r>
        <w:rPr>
          <w:rFonts w:hint="cs"/>
          <w:rtl/>
        </w:rPr>
        <w:t xml:space="preserve">در گذشته اجازات وجود داشته و مثلا احمد بن محمد بن عیسی به محمد بن یحیی العطار اجازه داده و می گوید: اجیز لک ما صح عندک من روایتی </w:t>
      </w:r>
      <w:r w:rsidR="00C22A66">
        <w:rPr>
          <w:rFonts w:hint="cs"/>
          <w:rtl/>
        </w:rPr>
        <w:t>(</w:t>
      </w:r>
      <w:r>
        <w:rPr>
          <w:rFonts w:hint="cs"/>
          <w:rtl/>
        </w:rPr>
        <w:t>به تو اجازه می دهم جمیع روا</w:t>
      </w:r>
      <w:r w:rsidR="00C22A66">
        <w:rPr>
          <w:rFonts w:hint="cs"/>
          <w:rtl/>
        </w:rPr>
        <w:t xml:space="preserve">یاتی که نزد تو اسناد آن به من ثابت است را نقل کنی) </w:t>
      </w:r>
      <w:r w:rsidR="00736195">
        <w:rPr>
          <w:rFonts w:hint="cs"/>
          <w:rtl/>
        </w:rPr>
        <w:t>با این اجازه</w:t>
      </w:r>
      <w:r w:rsidR="008F71DC">
        <w:rPr>
          <w:rFonts w:hint="cs"/>
          <w:rtl/>
        </w:rPr>
        <w:t>، استاد</w:t>
      </w:r>
      <w:r w:rsidR="00736195">
        <w:rPr>
          <w:rFonts w:hint="cs"/>
          <w:rtl/>
        </w:rPr>
        <w:t xml:space="preserve"> تشخیص استناد روایت به استاد را </w:t>
      </w:r>
      <w:r w:rsidR="008F71DC">
        <w:rPr>
          <w:rFonts w:hint="cs"/>
          <w:rtl/>
        </w:rPr>
        <w:t xml:space="preserve">به </w:t>
      </w:r>
      <w:r w:rsidR="00736195">
        <w:rPr>
          <w:rFonts w:hint="cs"/>
          <w:rtl/>
        </w:rPr>
        <w:t xml:space="preserve">شاگرد واگذار می </w:t>
      </w:r>
      <w:r w:rsidR="008F71DC">
        <w:rPr>
          <w:rFonts w:hint="cs"/>
          <w:rtl/>
        </w:rPr>
        <w:t>کرده</w:t>
      </w:r>
      <w:r w:rsidR="00736195">
        <w:rPr>
          <w:rFonts w:hint="cs"/>
          <w:rtl/>
        </w:rPr>
        <w:t xml:space="preserve"> و استاد با این اجازه، صلاحیت تشخیص راوی را تأیید می کند. به عبارتی دیگر، استاد به نحو قضیه شرطیه به شاگرد اجازه داده و تشخیص صغری با شاگرد است. تشخیص صغری گاه </w:t>
      </w:r>
      <w:r w:rsidR="007F1BA6">
        <w:rPr>
          <w:rFonts w:hint="cs"/>
          <w:rtl/>
        </w:rPr>
        <w:t xml:space="preserve">به این است که از نسخه معتبری از کتاب استاد که اعتبار آن توسط شاگرد تأیید شده، روایت اخذ شده و گاه به این است که شخص معروفی که </w:t>
      </w:r>
      <w:r w:rsidR="008F71DC">
        <w:rPr>
          <w:rFonts w:hint="cs"/>
          <w:rtl/>
        </w:rPr>
        <w:t xml:space="preserve">در </w:t>
      </w:r>
      <w:r w:rsidR="007F1BA6">
        <w:rPr>
          <w:rFonts w:hint="cs"/>
          <w:rtl/>
        </w:rPr>
        <w:t xml:space="preserve">وثاقت او بحثی ندارد، از استاد نقل  کند. شیخ </w:t>
      </w:r>
      <w:r w:rsidR="007C3EF4">
        <w:rPr>
          <w:rFonts w:hint="cs"/>
          <w:rtl/>
        </w:rPr>
        <w:t>صدوق</w:t>
      </w:r>
      <w:r w:rsidR="007F1BA6">
        <w:rPr>
          <w:rFonts w:hint="cs"/>
          <w:rtl/>
        </w:rPr>
        <w:t xml:space="preserve"> در عبارتی در کمال الدین بیان می کند: </w:t>
      </w:r>
    </w:p>
    <w:p w:rsidR="00952B77" w:rsidRDefault="00952B77" w:rsidP="00867C9E">
      <w:pPr>
        <w:jc w:val="both"/>
        <w:rPr>
          <w:rtl/>
        </w:rPr>
      </w:pPr>
      <w:r w:rsidRPr="00952B77">
        <w:rPr>
          <w:rFonts w:hint="cs"/>
          <w:rtl/>
        </w:rPr>
        <w:lastRenderedPageBreak/>
        <w:t>وَ</w:t>
      </w:r>
      <w:r w:rsidRPr="00952B77">
        <w:rPr>
          <w:rtl/>
        </w:rPr>
        <w:t xml:space="preserve"> </w:t>
      </w:r>
      <w:r w:rsidRPr="00952B77">
        <w:rPr>
          <w:rFonts w:hint="cs"/>
          <w:rtl/>
        </w:rPr>
        <w:t>أَخْبَرَنِي</w:t>
      </w:r>
      <w:r w:rsidRPr="00952B77">
        <w:rPr>
          <w:rtl/>
        </w:rPr>
        <w:t xml:space="preserve"> </w:t>
      </w:r>
      <w:r w:rsidRPr="00952B77">
        <w:rPr>
          <w:rFonts w:hint="cs"/>
          <w:rtl/>
        </w:rPr>
        <w:t>أَبُو</w:t>
      </w:r>
      <w:r w:rsidRPr="00952B77">
        <w:rPr>
          <w:rtl/>
        </w:rPr>
        <w:t xml:space="preserve"> </w:t>
      </w:r>
      <w:r w:rsidRPr="00952B77">
        <w:rPr>
          <w:rFonts w:hint="cs"/>
          <w:rtl/>
        </w:rPr>
        <w:t>مُحَمَّدٍ</w:t>
      </w:r>
      <w:r w:rsidRPr="00952B77">
        <w:rPr>
          <w:rtl/>
        </w:rPr>
        <w:t xml:space="preserve"> </w:t>
      </w:r>
      <w:r w:rsidRPr="00952B77">
        <w:rPr>
          <w:rFonts w:hint="cs"/>
          <w:rtl/>
        </w:rPr>
        <w:t>الْحَسَنُ</w:t>
      </w:r>
      <w:r w:rsidRPr="00952B77">
        <w:rPr>
          <w:rtl/>
        </w:rPr>
        <w:t xml:space="preserve"> </w:t>
      </w:r>
      <w:r w:rsidRPr="00952B77">
        <w:rPr>
          <w:rFonts w:hint="cs"/>
          <w:rtl/>
        </w:rPr>
        <w:t>بْنُ</w:t>
      </w:r>
      <w:r w:rsidRPr="00952B77">
        <w:rPr>
          <w:rtl/>
        </w:rPr>
        <w:t xml:space="preserve"> </w:t>
      </w:r>
      <w:r w:rsidRPr="00952B77">
        <w:rPr>
          <w:rFonts w:hint="cs"/>
          <w:rtl/>
        </w:rPr>
        <w:t>مُحَمَّدِ</w:t>
      </w:r>
      <w:r w:rsidRPr="00952B77">
        <w:rPr>
          <w:rtl/>
        </w:rPr>
        <w:t xml:space="preserve"> </w:t>
      </w:r>
      <w:r w:rsidRPr="00952B77">
        <w:rPr>
          <w:rFonts w:hint="cs"/>
          <w:rtl/>
        </w:rPr>
        <w:t>بْنِ</w:t>
      </w:r>
      <w:r w:rsidRPr="00952B77">
        <w:rPr>
          <w:rtl/>
        </w:rPr>
        <w:t xml:space="preserve"> </w:t>
      </w:r>
      <w:r w:rsidRPr="00952B77">
        <w:rPr>
          <w:rFonts w:hint="cs"/>
          <w:rtl/>
        </w:rPr>
        <w:t>يَحْيَى</w:t>
      </w:r>
      <w:r w:rsidRPr="00952B77">
        <w:rPr>
          <w:rtl/>
        </w:rPr>
        <w:t xml:space="preserve"> </w:t>
      </w:r>
      <w:r w:rsidRPr="00952B77">
        <w:rPr>
          <w:rFonts w:hint="cs"/>
          <w:rtl/>
        </w:rPr>
        <w:t>بْنِ</w:t>
      </w:r>
      <w:r w:rsidRPr="00952B77">
        <w:rPr>
          <w:rtl/>
        </w:rPr>
        <w:t xml:space="preserve"> </w:t>
      </w:r>
      <w:r w:rsidRPr="00952B77">
        <w:rPr>
          <w:rFonts w:hint="cs"/>
          <w:rtl/>
        </w:rPr>
        <w:t>الْحَسَنِ</w:t>
      </w:r>
      <w:r w:rsidRPr="00952B77">
        <w:rPr>
          <w:rtl/>
        </w:rPr>
        <w:t xml:space="preserve"> </w:t>
      </w:r>
      <w:r w:rsidRPr="00952B77">
        <w:rPr>
          <w:rFonts w:hint="cs"/>
          <w:rtl/>
        </w:rPr>
        <w:t>بْنِ</w:t>
      </w:r>
      <w:r w:rsidRPr="00952B77">
        <w:rPr>
          <w:rtl/>
        </w:rPr>
        <w:t xml:space="preserve"> </w:t>
      </w:r>
      <w:r w:rsidRPr="00952B77">
        <w:rPr>
          <w:rFonts w:hint="cs"/>
          <w:rtl/>
        </w:rPr>
        <w:t>جَعْفَرِ</w:t>
      </w:r>
      <w:r w:rsidRPr="00952B77">
        <w:rPr>
          <w:rtl/>
        </w:rPr>
        <w:t xml:space="preserve"> </w:t>
      </w:r>
      <w:r w:rsidRPr="00952B77">
        <w:rPr>
          <w:rFonts w:hint="cs"/>
          <w:rtl/>
        </w:rPr>
        <w:t>بْنِ</w:t>
      </w:r>
      <w:r w:rsidRPr="00952B77">
        <w:rPr>
          <w:rtl/>
        </w:rPr>
        <w:t xml:space="preserve"> </w:t>
      </w:r>
      <w:r w:rsidRPr="00952B77">
        <w:rPr>
          <w:rFonts w:hint="cs"/>
          <w:rtl/>
        </w:rPr>
        <w:t>عَبْدِ</w:t>
      </w:r>
      <w:r w:rsidRPr="00952B77">
        <w:rPr>
          <w:rtl/>
        </w:rPr>
        <w:t xml:space="preserve"> </w:t>
      </w:r>
      <w:r w:rsidRPr="00952B77">
        <w:rPr>
          <w:rFonts w:hint="cs"/>
          <w:rtl/>
        </w:rPr>
        <w:t>اللَّهِ</w:t>
      </w:r>
      <w:r w:rsidRPr="00952B77">
        <w:rPr>
          <w:rtl/>
        </w:rPr>
        <w:t xml:space="preserve"> </w:t>
      </w:r>
      <w:r w:rsidRPr="00952B77">
        <w:rPr>
          <w:rFonts w:hint="cs"/>
          <w:rtl/>
        </w:rPr>
        <w:t>بْنِ</w:t>
      </w:r>
      <w:r w:rsidRPr="00952B77">
        <w:rPr>
          <w:rtl/>
        </w:rPr>
        <w:t xml:space="preserve"> </w:t>
      </w:r>
      <w:r w:rsidRPr="00952B77">
        <w:rPr>
          <w:rFonts w:hint="cs"/>
          <w:rtl/>
        </w:rPr>
        <w:t>الْحَسَنِ</w:t>
      </w:r>
      <w:r w:rsidRPr="00952B77">
        <w:rPr>
          <w:rtl/>
        </w:rPr>
        <w:t xml:space="preserve"> </w:t>
      </w:r>
      <w:r w:rsidRPr="00952B77">
        <w:rPr>
          <w:rFonts w:hint="cs"/>
          <w:rtl/>
        </w:rPr>
        <w:t>بْنِ</w:t>
      </w:r>
      <w:r w:rsidRPr="00952B77">
        <w:rPr>
          <w:rtl/>
        </w:rPr>
        <w:t xml:space="preserve"> </w:t>
      </w:r>
      <w:r w:rsidRPr="00952B77">
        <w:rPr>
          <w:rFonts w:hint="cs"/>
          <w:rtl/>
        </w:rPr>
        <w:t>عَلِيِّ</w:t>
      </w:r>
      <w:r w:rsidRPr="00952B77">
        <w:rPr>
          <w:rtl/>
        </w:rPr>
        <w:t xml:space="preserve"> </w:t>
      </w:r>
      <w:r w:rsidRPr="00952B77">
        <w:rPr>
          <w:rFonts w:hint="cs"/>
          <w:rtl/>
        </w:rPr>
        <w:t>بْنِ</w:t>
      </w:r>
      <w:r w:rsidRPr="00952B77">
        <w:rPr>
          <w:rtl/>
        </w:rPr>
        <w:t xml:space="preserve"> </w:t>
      </w:r>
      <w:r w:rsidRPr="00952B77">
        <w:rPr>
          <w:rFonts w:hint="cs"/>
          <w:rtl/>
        </w:rPr>
        <w:t>الْحُسَيْنِ</w:t>
      </w:r>
      <w:r w:rsidRPr="00952B77">
        <w:rPr>
          <w:rtl/>
        </w:rPr>
        <w:t xml:space="preserve"> </w:t>
      </w:r>
      <w:r w:rsidRPr="00952B77">
        <w:rPr>
          <w:rFonts w:hint="cs"/>
          <w:rtl/>
        </w:rPr>
        <w:t>بْنِ</w:t>
      </w:r>
      <w:r w:rsidRPr="00952B77">
        <w:rPr>
          <w:rtl/>
        </w:rPr>
        <w:t xml:space="preserve"> </w:t>
      </w:r>
      <w:r w:rsidRPr="00952B77">
        <w:rPr>
          <w:rFonts w:hint="cs"/>
          <w:rtl/>
        </w:rPr>
        <w:t>عَلِيِّ</w:t>
      </w:r>
      <w:r w:rsidRPr="00952B77">
        <w:rPr>
          <w:rtl/>
        </w:rPr>
        <w:t xml:space="preserve"> </w:t>
      </w:r>
      <w:r w:rsidRPr="00952B77">
        <w:rPr>
          <w:rFonts w:hint="cs"/>
          <w:rtl/>
        </w:rPr>
        <w:t>بْنِ</w:t>
      </w:r>
      <w:r w:rsidRPr="00952B77">
        <w:rPr>
          <w:rtl/>
        </w:rPr>
        <w:t xml:space="preserve"> </w:t>
      </w:r>
      <w:r w:rsidRPr="00952B77">
        <w:rPr>
          <w:rFonts w:hint="cs"/>
          <w:rtl/>
        </w:rPr>
        <w:t>أَبِي</w:t>
      </w:r>
      <w:r w:rsidRPr="00952B77">
        <w:rPr>
          <w:rtl/>
        </w:rPr>
        <w:t xml:space="preserve"> </w:t>
      </w:r>
      <w:r w:rsidRPr="00952B77">
        <w:rPr>
          <w:rFonts w:hint="cs"/>
          <w:rtl/>
        </w:rPr>
        <w:t>طَالِبٍ</w:t>
      </w:r>
      <w:r w:rsidRPr="00952B77">
        <w:rPr>
          <w:rtl/>
        </w:rPr>
        <w:t xml:space="preserve"> </w:t>
      </w:r>
      <w:r w:rsidRPr="00952B77">
        <w:rPr>
          <w:rFonts w:hint="cs"/>
          <w:rtl/>
        </w:rPr>
        <w:t>ع</w:t>
      </w:r>
      <w:r w:rsidRPr="00952B77">
        <w:rPr>
          <w:rtl/>
        </w:rPr>
        <w:t xml:space="preserve"> </w:t>
      </w:r>
      <w:r w:rsidRPr="00952B77">
        <w:rPr>
          <w:rFonts w:hint="cs"/>
          <w:rtl/>
        </w:rPr>
        <w:t>فِيمَا</w:t>
      </w:r>
      <w:r w:rsidRPr="00952B77">
        <w:rPr>
          <w:rtl/>
        </w:rPr>
        <w:t xml:space="preserve"> </w:t>
      </w:r>
      <w:r w:rsidRPr="00952B77">
        <w:rPr>
          <w:rFonts w:hint="cs"/>
          <w:rtl/>
        </w:rPr>
        <w:t>أَجَازَهُ</w:t>
      </w:r>
      <w:r w:rsidRPr="00952B77">
        <w:rPr>
          <w:rtl/>
        </w:rPr>
        <w:t xml:space="preserve"> </w:t>
      </w:r>
      <w:r w:rsidRPr="00952B77">
        <w:rPr>
          <w:rFonts w:hint="cs"/>
          <w:rtl/>
        </w:rPr>
        <w:t>لِي</w:t>
      </w:r>
      <w:r w:rsidRPr="00952B77">
        <w:rPr>
          <w:rtl/>
        </w:rPr>
        <w:t xml:space="preserve"> </w:t>
      </w:r>
      <w:r w:rsidRPr="00952B77">
        <w:rPr>
          <w:rFonts w:hint="cs"/>
          <w:rtl/>
        </w:rPr>
        <w:t>مِمَّا</w:t>
      </w:r>
      <w:r w:rsidRPr="00952B77">
        <w:rPr>
          <w:rtl/>
        </w:rPr>
        <w:t xml:space="preserve"> </w:t>
      </w:r>
      <w:r w:rsidRPr="00952B77">
        <w:rPr>
          <w:rFonts w:hint="cs"/>
          <w:rtl/>
        </w:rPr>
        <w:t>صَحَّ</w:t>
      </w:r>
      <w:r w:rsidRPr="00952B77">
        <w:rPr>
          <w:rtl/>
        </w:rPr>
        <w:t xml:space="preserve"> </w:t>
      </w:r>
      <w:r w:rsidRPr="00952B77">
        <w:rPr>
          <w:rFonts w:hint="cs"/>
          <w:rtl/>
        </w:rPr>
        <w:t>عِنْدِي</w:t>
      </w:r>
      <w:r w:rsidRPr="00952B77">
        <w:rPr>
          <w:rtl/>
        </w:rPr>
        <w:t xml:space="preserve"> </w:t>
      </w:r>
      <w:r w:rsidRPr="00952B77">
        <w:rPr>
          <w:rFonts w:hint="cs"/>
          <w:rtl/>
        </w:rPr>
        <w:t>مِنْ</w:t>
      </w:r>
      <w:r w:rsidRPr="00952B77">
        <w:rPr>
          <w:rtl/>
        </w:rPr>
        <w:t xml:space="preserve"> </w:t>
      </w:r>
      <w:r w:rsidRPr="00952B77">
        <w:rPr>
          <w:rFonts w:hint="cs"/>
          <w:rtl/>
        </w:rPr>
        <w:t>حَدِيثِهِ</w:t>
      </w:r>
      <w:r w:rsidRPr="00952B77">
        <w:rPr>
          <w:rtl/>
        </w:rPr>
        <w:t xml:space="preserve">  </w:t>
      </w:r>
      <w:r w:rsidRPr="00952B77">
        <w:rPr>
          <w:rFonts w:hint="cs"/>
          <w:rtl/>
        </w:rPr>
        <w:t>وَ</w:t>
      </w:r>
      <w:r w:rsidRPr="00952B77">
        <w:rPr>
          <w:rtl/>
        </w:rPr>
        <w:t xml:space="preserve"> </w:t>
      </w:r>
      <w:r w:rsidRPr="00952B77">
        <w:rPr>
          <w:rFonts w:hint="cs"/>
          <w:rtl/>
        </w:rPr>
        <w:t>صَحَّ</w:t>
      </w:r>
      <w:r w:rsidRPr="00952B77">
        <w:rPr>
          <w:rtl/>
        </w:rPr>
        <w:t xml:space="preserve"> </w:t>
      </w:r>
      <w:r w:rsidRPr="00952B77">
        <w:rPr>
          <w:rFonts w:hint="cs"/>
          <w:rtl/>
        </w:rPr>
        <w:t>عِنْدِي</w:t>
      </w:r>
      <w:r w:rsidRPr="00952B77">
        <w:rPr>
          <w:rtl/>
        </w:rPr>
        <w:t xml:space="preserve"> </w:t>
      </w:r>
      <w:r w:rsidRPr="00952B77">
        <w:rPr>
          <w:rFonts w:hint="cs"/>
          <w:rtl/>
        </w:rPr>
        <w:t>هَذَا</w:t>
      </w:r>
      <w:r w:rsidRPr="00952B77">
        <w:rPr>
          <w:rtl/>
        </w:rPr>
        <w:t xml:space="preserve"> </w:t>
      </w:r>
      <w:r w:rsidRPr="00952B77">
        <w:rPr>
          <w:rFonts w:hint="cs"/>
          <w:rtl/>
        </w:rPr>
        <w:t>الْحَدِيثُ</w:t>
      </w:r>
      <w:r w:rsidRPr="00952B77">
        <w:rPr>
          <w:rtl/>
        </w:rPr>
        <w:t xml:space="preserve">- </w:t>
      </w:r>
      <w:r w:rsidRPr="00952B77">
        <w:rPr>
          <w:rFonts w:hint="cs"/>
          <w:rtl/>
        </w:rPr>
        <w:t>بِرِوَايَةِ</w:t>
      </w:r>
      <w:r w:rsidRPr="00952B77">
        <w:rPr>
          <w:rtl/>
        </w:rPr>
        <w:t xml:space="preserve"> </w:t>
      </w:r>
      <w:r w:rsidRPr="00952B77">
        <w:rPr>
          <w:rFonts w:hint="cs"/>
          <w:rtl/>
        </w:rPr>
        <w:t>الشَّرِيفِ</w:t>
      </w:r>
      <w:r w:rsidRPr="00952B77">
        <w:rPr>
          <w:rtl/>
        </w:rPr>
        <w:t xml:space="preserve"> </w:t>
      </w:r>
      <w:r w:rsidRPr="00952B77">
        <w:rPr>
          <w:rFonts w:hint="cs"/>
          <w:rtl/>
        </w:rPr>
        <w:t>أَبِي</w:t>
      </w:r>
      <w:r w:rsidRPr="00952B77">
        <w:rPr>
          <w:rtl/>
        </w:rPr>
        <w:t xml:space="preserve"> </w:t>
      </w:r>
      <w:r w:rsidRPr="00952B77">
        <w:rPr>
          <w:rFonts w:hint="cs"/>
          <w:rtl/>
        </w:rPr>
        <w:t>عَبْدِ</w:t>
      </w:r>
      <w:r w:rsidRPr="00952B77">
        <w:rPr>
          <w:rtl/>
        </w:rPr>
        <w:t xml:space="preserve"> </w:t>
      </w:r>
      <w:r w:rsidRPr="00952B77">
        <w:rPr>
          <w:rFonts w:hint="cs"/>
          <w:rtl/>
        </w:rPr>
        <w:t>اللَّهِ</w:t>
      </w:r>
      <w:r w:rsidRPr="00952B77">
        <w:rPr>
          <w:rtl/>
        </w:rPr>
        <w:t xml:space="preserve"> </w:t>
      </w:r>
      <w:r w:rsidRPr="00952B77">
        <w:rPr>
          <w:rFonts w:hint="cs"/>
          <w:rtl/>
        </w:rPr>
        <w:t>مُحَمَّدِ</w:t>
      </w:r>
      <w:r w:rsidRPr="00952B77">
        <w:rPr>
          <w:rtl/>
        </w:rPr>
        <w:t xml:space="preserve"> </w:t>
      </w:r>
      <w:r w:rsidRPr="00952B77">
        <w:rPr>
          <w:rFonts w:hint="cs"/>
          <w:rtl/>
        </w:rPr>
        <w:t>بْنِ</w:t>
      </w:r>
      <w:r w:rsidRPr="00952B77">
        <w:rPr>
          <w:rtl/>
        </w:rPr>
        <w:t xml:space="preserve"> </w:t>
      </w:r>
      <w:r w:rsidRPr="00952B77">
        <w:rPr>
          <w:rFonts w:hint="cs"/>
          <w:rtl/>
        </w:rPr>
        <w:t>الْحَسَنِ</w:t>
      </w:r>
      <w:r w:rsidRPr="00952B77">
        <w:rPr>
          <w:rtl/>
        </w:rPr>
        <w:t xml:space="preserve"> </w:t>
      </w:r>
      <w:r w:rsidRPr="00952B77">
        <w:rPr>
          <w:rFonts w:hint="cs"/>
          <w:rtl/>
        </w:rPr>
        <w:t>بْنِ</w:t>
      </w:r>
      <w:r w:rsidRPr="00952B77">
        <w:rPr>
          <w:rtl/>
        </w:rPr>
        <w:t xml:space="preserve"> </w:t>
      </w:r>
      <w:r w:rsidRPr="00952B77">
        <w:rPr>
          <w:rFonts w:hint="cs"/>
          <w:rtl/>
        </w:rPr>
        <w:t>إِسْحَاقَ</w:t>
      </w:r>
      <w:r w:rsidRPr="00952B77">
        <w:rPr>
          <w:rtl/>
        </w:rPr>
        <w:t xml:space="preserve"> </w:t>
      </w:r>
      <w:r w:rsidRPr="00952B77">
        <w:rPr>
          <w:rFonts w:hint="cs"/>
          <w:rtl/>
        </w:rPr>
        <w:t>بْنِ</w:t>
      </w:r>
      <w:r w:rsidRPr="00952B77">
        <w:rPr>
          <w:rtl/>
        </w:rPr>
        <w:t xml:space="preserve"> </w:t>
      </w:r>
      <w:r w:rsidRPr="00952B77">
        <w:rPr>
          <w:rFonts w:hint="cs"/>
          <w:rtl/>
        </w:rPr>
        <w:t>الْحُسَيْنِ</w:t>
      </w:r>
      <w:r w:rsidRPr="00952B77">
        <w:rPr>
          <w:rtl/>
        </w:rPr>
        <w:t xml:space="preserve">  </w:t>
      </w:r>
      <w:r w:rsidRPr="00952B77">
        <w:rPr>
          <w:rFonts w:hint="cs"/>
          <w:rtl/>
        </w:rPr>
        <w:t>بْنِ</w:t>
      </w:r>
      <w:r w:rsidRPr="00952B77">
        <w:rPr>
          <w:rtl/>
        </w:rPr>
        <w:t xml:space="preserve"> </w:t>
      </w:r>
      <w:r w:rsidRPr="00952B77">
        <w:rPr>
          <w:rFonts w:hint="cs"/>
          <w:rtl/>
        </w:rPr>
        <w:t>إِسْحَاقَ</w:t>
      </w:r>
      <w:r w:rsidRPr="00952B77">
        <w:rPr>
          <w:rtl/>
        </w:rPr>
        <w:t xml:space="preserve"> </w:t>
      </w:r>
      <w:r w:rsidRPr="00952B77">
        <w:rPr>
          <w:rFonts w:hint="cs"/>
          <w:rtl/>
        </w:rPr>
        <w:t>بْنِ</w:t>
      </w:r>
      <w:r w:rsidRPr="00952B77">
        <w:rPr>
          <w:rtl/>
        </w:rPr>
        <w:t xml:space="preserve"> </w:t>
      </w:r>
      <w:r w:rsidRPr="00952B77">
        <w:rPr>
          <w:rFonts w:hint="cs"/>
          <w:rtl/>
        </w:rPr>
        <w:t>مُوسَى</w:t>
      </w:r>
      <w:r w:rsidRPr="00952B77">
        <w:rPr>
          <w:rtl/>
        </w:rPr>
        <w:t xml:space="preserve"> </w:t>
      </w:r>
      <w:r w:rsidRPr="00952B77">
        <w:rPr>
          <w:rFonts w:hint="cs"/>
          <w:rtl/>
        </w:rPr>
        <w:t>بْنِ</w:t>
      </w:r>
      <w:r w:rsidRPr="00952B77">
        <w:rPr>
          <w:rtl/>
        </w:rPr>
        <w:t xml:space="preserve"> </w:t>
      </w:r>
      <w:r w:rsidRPr="00952B77">
        <w:rPr>
          <w:rFonts w:hint="cs"/>
          <w:rtl/>
        </w:rPr>
        <w:t>جَعْفَرِ</w:t>
      </w:r>
      <w:r w:rsidRPr="00952B77">
        <w:rPr>
          <w:rtl/>
        </w:rPr>
        <w:t xml:space="preserve"> </w:t>
      </w:r>
      <w:r w:rsidRPr="00952B77">
        <w:rPr>
          <w:rFonts w:hint="cs"/>
          <w:rtl/>
        </w:rPr>
        <w:t>بْنِ</w:t>
      </w:r>
      <w:r w:rsidRPr="00952B77">
        <w:rPr>
          <w:rtl/>
        </w:rPr>
        <w:t xml:space="preserve"> </w:t>
      </w:r>
      <w:r w:rsidRPr="00952B77">
        <w:rPr>
          <w:rFonts w:hint="cs"/>
          <w:rtl/>
        </w:rPr>
        <w:t>مُحَمَّدِ</w:t>
      </w:r>
      <w:r w:rsidRPr="00952B77">
        <w:rPr>
          <w:rtl/>
        </w:rPr>
        <w:t xml:space="preserve"> </w:t>
      </w:r>
      <w:r w:rsidRPr="00952B77">
        <w:rPr>
          <w:rFonts w:hint="cs"/>
          <w:rtl/>
        </w:rPr>
        <w:t>بْنِ</w:t>
      </w:r>
      <w:r w:rsidRPr="00952B77">
        <w:rPr>
          <w:rtl/>
        </w:rPr>
        <w:t xml:space="preserve"> </w:t>
      </w:r>
      <w:r w:rsidRPr="00952B77">
        <w:rPr>
          <w:rFonts w:hint="cs"/>
          <w:rtl/>
        </w:rPr>
        <w:t>عَلِيِّ</w:t>
      </w:r>
      <w:r w:rsidRPr="00952B77">
        <w:rPr>
          <w:rtl/>
        </w:rPr>
        <w:t xml:space="preserve"> </w:t>
      </w:r>
      <w:r w:rsidRPr="00952B77">
        <w:rPr>
          <w:rFonts w:hint="cs"/>
          <w:rtl/>
        </w:rPr>
        <w:t>بْنِ</w:t>
      </w:r>
      <w:r w:rsidRPr="00952B77">
        <w:rPr>
          <w:rtl/>
        </w:rPr>
        <w:t xml:space="preserve"> </w:t>
      </w:r>
      <w:r w:rsidRPr="00952B77">
        <w:rPr>
          <w:rFonts w:hint="cs"/>
          <w:rtl/>
        </w:rPr>
        <w:t>الْحُسَيْنِ</w:t>
      </w:r>
      <w:r w:rsidRPr="00952B77">
        <w:rPr>
          <w:rtl/>
        </w:rPr>
        <w:t xml:space="preserve"> </w:t>
      </w:r>
      <w:r w:rsidRPr="00952B77">
        <w:rPr>
          <w:rFonts w:hint="cs"/>
          <w:rtl/>
        </w:rPr>
        <w:t>بْنِ</w:t>
      </w:r>
      <w:r w:rsidRPr="00952B77">
        <w:rPr>
          <w:rtl/>
        </w:rPr>
        <w:t xml:space="preserve"> </w:t>
      </w:r>
      <w:r w:rsidRPr="00952B77">
        <w:rPr>
          <w:rFonts w:hint="cs"/>
          <w:rtl/>
        </w:rPr>
        <w:t>عَلِيِّ</w:t>
      </w:r>
      <w:r w:rsidRPr="00952B77">
        <w:rPr>
          <w:rtl/>
        </w:rPr>
        <w:t xml:space="preserve"> </w:t>
      </w:r>
      <w:r w:rsidRPr="00952B77">
        <w:rPr>
          <w:rFonts w:hint="cs"/>
          <w:rtl/>
        </w:rPr>
        <w:t>بْنِ</w:t>
      </w:r>
      <w:r w:rsidRPr="00952B77">
        <w:rPr>
          <w:rtl/>
        </w:rPr>
        <w:t xml:space="preserve"> </w:t>
      </w:r>
      <w:r w:rsidRPr="00952B77">
        <w:rPr>
          <w:rFonts w:hint="cs"/>
          <w:rtl/>
        </w:rPr>
        <w:t>أَبِي</w:t>
      </w:r>
      <w:r w:rsidRPr="00952B77">
        <w:rPr>
          <w:rtl/>
        </w:rPr>
        <w:t xml:space="preserve"> </w:t>
      </w:r>
      <w:r w:rsidRPr="00952B77">
        <w:rPr>
          <w:rFonts w:hint="cs"/>
          <w:rtl/>
        </w:rPr>
        <w:t>طَالِبٍ</w:t>
      </w:r>
      <w:r w:rsidRPr="00952B77">
        <w:rPr>
          <w:rtl/>
        </w:rPr>
        <w:t xml:space="preserve"> </w:t>
      </w:r>
      <w:r w:rsidRPr="00952B77">
        <w:rPr>
          <w:rFonts w:hint="cs"/>
          <w:rtl/>
        </w:rPr>
        <w:t>ع</w:t>
      </w:r>
      <w:r w:rsidRPr="00952B77">
        <w:rPr>
          <w:rtl/>
        </w:rPr>
        <w:t xml:space="preserve"> </w:t>
      </w:r>
      <w:r w:rsidRPr="00952B77">
        <w:rPr>
          <w:rFonts w:hint="cs"/>
          <w:rtl/>
        </w:rPr>
        <w:t>أَنَّهُ</w:t>
      </w:r>
      <w:r w:rsidRPr="00952B77">
        <w:rPr>
          <w:rtl/>
        </w:rPr>
        <w:t xml:space="preserve"> </w:t>
      </w:r>
      <w:r w:rsidRPr="00952B77">
        <w:rPr>
          <w:rFonts w:hint="cs"/>
          <w:rtl/>
        </w:rPr>
        <w:t>قَالَ</w:t>
      </w:r>
      <w:r w:rsidRPr="00952B77">
        <w:rPr>
          <w:rtl/>
        </w:rPr>
        <w:t>:</w:t>
      </w:r>
      <w:r w:rsidR="0085415E">
        <w:rPr>
          <w:rStyle w:val="FootnoteReference"/>
          <w:rtl/>
        </w:rPr>
        <w:footnoteReference w:id="1"/>
      </w:r>
    </w:p>
    <w:p w:rsidR="0085415E" w:rsidRDefault="0085415E" w:rsidP="007C3EF4">
      <w:pPr>
        <w:jc w:val="both"/>
        <w:rPr>
          <w:rtl/>
        </w:rPr>
      </w:pPr>
      <w:r>
        <w:rPr>
          <w:rFonts w:hint="cs"/>
          <w:rtl/>
        </w:rPr>
        <w:t xml:space="preserve">شیخ صدوق در این سند بیان می کند: استاد ما حسن بن محمد بن یحیی </w:t>
      </w:r>
      <w:r w:rsidR="003D4FBC">
        <w:rPr>
          <w:rFonts w:hint="cs"/>
          <w:rtl/>
        </w:rPr>
        <w:t>به من اجازه داده است که هر روایتی از او</w:t>
      </w:r>
      <w:r w:rsidR="007C3EF4">
        <w:rPr>
          <w:rFonts w:hint="cs"/>
          <w:rtl/>
        </w:rPr>
        <w:t xml:space="preserve"> که</w:t>
      </w:r>
      <w:r w:rsidR="003D4FBC">
        <w:rPr>
          <w:rFonts w:hint="cs"/>
          <w:rtl/>
        </w:rPr>
        <w:t xml:space="preserve"> برای من ثابت شود را نقل کنم. روایت مذکور</w:t>
      </w:r>
      <w:r w:rsidR="007C3EF4">
        <w:rPr>
          <w:rFonts w:hint="cs"/>
          <w:rtl/>
        </w:rPr>
        <w:t xml:space="preserve"> را</w:t>
      </w:r>
      <w:r w:rsidR="003D4FBC">
        <w:rPr>
          <w:rFonts w:hint="cs"/>
          <w:rtl/>
        </w:rPr>
        <w:t xml:space="preserve"> نیز هر چند از استاد نشنیده ام اما شخص ثقه ای (الشریف ابی عبد الله) از استاد نقل کرده است پس من حق دارم به استناد اجازه استاد، بیان کنم: اخبرنی ابو محمد الحسن بن محمد بن یحیی. </w:t>
      </w:r>
    </w:p>
    <w:p w:rsidR="003D4FBC" w:rsidRDefault="005762F3" w:rsidP="00867C9E">
      <w:pPr>
        <w:jc w:val="both"/>
        <w:rPr>
          <w:rtl/>
        </w:rPr>
      </w:pPr>
      <w:r>
        <w:rPr>
          <w:rFonts w:hint="cs"/>
          <w:rtl/>
        </w:rPr>
        <w:t xml:space="preserve">علت این مطلب آن است که اجازه، انتقال اجمالی تمام معلومات و روایات به استاد است که تطبیق آن را شاگرد بر عهده بگیرد. </w:t>
      </w:r>
      <w:r w:rsidR="00CE53CB">
        <w:rPr>
          <w:rFonts w:hint="cs"/>
          <w:rtl/>
        </w:rPr>
        <w:t xml:space="preserve">این اجازه در مرحله بعد توسط شاگرد به شاگرد او منتقل شده </w:t>
      </w:r>
      <w:r w:rsidR="00032C81">
        <w:rPr>
          <w:rFonts w:hint="cs"/>
          <w:rtl/>
        </w:rPr>
        <w:t xml:space="preserve">و او نیز حق پیدا می کند روایاتی را که استناد آن به شیخ استاد خود را احراز کرده، نقل کند. </w:t>
      </w:r>
      <w:r>
        <w:rPr>
          <w:rFonts w:hint="cs"/>
          <w:rtl/>
        </w:rPr>
        <w:t>همین پدیده اجازه باعث می شود شیخ طوسی این حق را به خود بدهد که در صورتی که در کافی به استادی ب</w:t>
      </w:r>
      <w:r w:rsidR="00CE53CB">
        <w:rPr>
          <w:rFonts w:hint="cs"/>
          <w:rtl/>
        </w:rPr>
        <w:t xml:space="preserve">رخورد کند که از او اجازه نقل </w:t>
      </w:r>
      <w:r w:rsidR="00403DCC">
        <w:rPr>
          <w:rFonts w:hint="cs"/>
          <w:rtl/>
        </w:rPr>
        <w:t xml:space="preserve">جمیع مرویات و کتب و لو با واسطه را دارد، در صدر اسناد خود در تهذیب قرار دهد. </w:t>
      </w:r>
    </w:p>
    <w:p w:rsidR="00403DCC" w:rsidRDefault="00403DCC" w:rsidP="00867C9E">
      <w:pPr>
        <w:jc w:val="both"/>
        <w:rPr>
          <w:rtl/>
        </w:rPr>
      </w:pPr>
      <w:r>
        <w:rPr>
          <w:rFonts w:hint="cs"/>
          <w:rtl/>
        </w:rPr>
        <w:t>در روایت مورد بحث اولا: شیخ طوسی</w:t>
      </w:r>
      <w:r w:rsidR="00842B74">
        <w:rPr>
          <w:rFonts w:hint="cs"/>
          <w:rtl/>
        </w:rPr>
        <w:t xml:space="preserve"> با واسطه</w:t>
      </w:r>
      <w:r>
        <w:rPr>
          <w:rFonts w:hint="cs"/>
          <w:rtl/>
        </w:rPr>
        <w:t xml:space="preserve"> به جمیع مرویات احمد بن محمد بن خالد اجازه دارد. ثانیا: </w:t>
      </w:r>
      <w:r w:rsidR="00EC71C2">
        <w:rPr>
          <w:rFonts w:hint="cs"/>
          <w:rtl/>
        </w:rPr>
        <w:t xml:space="preserve">کافی به طریق معتبر از احمد بن محمد بن خالد روایت را نقل کرده است. پس شیخ طوسی می تواند به اتکای طرق اجازه ای </w:t>
      </w:r>
      <w:r w:rsidR="001A2A59">
        <w:rPr>
          <w:rFonts w:hint="cs"/>
          <w:rtl/>
        </w:rPr>
        <w:t xml:space="preserve">که </w:t>
      </w:r>
      <w:r w:rsidR="00EC71C2">
        <w:rPr>
          <w:rFonts w:hint="cs"/>
          <w:rtl/>
        </w:rPr>
        <w:t>در مشیخه و فهرست به احمد بن محمد</w:t>
      </w:r>
      <w:r w:rsidR="001A2A59">
        <w:rPr>
          <w:rFonts w:hint="cs"/>
          <w:rtl/>
        </w:rPr>
        <w:t xml:space="preserve"> دارد، احمد بن محمد بن خالد را در صدر سند تهذیب قرار دهد و طرق اجازه ای خود را تضمین کننده صحت روایت تلقی کند. </w:t>
      </w:r>
    </w:p>
    <w:p w:rsidR="007B520A" w:rsidRDefault="001A2A59" w:rsidP="00D5716D">
      <w:pPr>
        <w:jc w:val="both"/>
        <w:rPr>
          <w:rtl/>
        </w:rPr>
      </w:pPr>
      <w:r>
        <w:rPr>
          <w:rFonts w:hint="cs"/>
          <w:rtl/>
        </w:rPr>
        <w:t>با تتبع گسترده در موارد مختلف</w:t>
      </w:r>
      <w:r w:rsidR="009153A7">
        <w:rPr>
          <w:rFonts w:hint="cs"/>
          <w:rtl/>
        </w:rPr>
        <w:t xml:space="preserve"> که حدود پانزده سال به طور مستقیم مورد بررسی بوده،</w:t>
      </w:r>
      <w:r>
        <w:rPr>
          <w:rFonts w:hint="cs"/>
          <w:rtl/>
        </w:rPr>
        <w:t xml:space="preserve"> به دست آمده است که افرادی که توسط شیخ طوسی حذف می شود، طرق معروف</w:t>
      </w:r>
      <w:r w:rsidR="009153A7">
        <w:rPr>
          <w:rFonts w:hint="cs"/>
          <w:rtl/>
        </w:rPr>
        <w:t xml:space="preserve">ی هستند که در وثاقت آنها </w:t>
      </w:r>
      <w:r w:rsidR="004922DD">
        <w:rPr>
          <w:rFonts w:hint="cs"/>
          <w:rtl/>
        </w:rPr>
        <w:t xml:space="preserve">بحثی نیست. </w:t>
      </w:r>
      <w:r w:rsidR="00FA7C4A">
        <w:rPr>
          <w:rFonts w:hint="cs"/>
          <w:rtl/>
        </w:rPr>
        <w:t xml:space="preserve">به همین دلیل نمی توان گفت: استنباط شیخ طوسی در صحت سند دخیل بوده و صحت استنباط شیخ طوسی محل تردید است. بلکه طرقی که ایشان حذف کرده، </w:t>
      </w:r>
      <w:r w:rsidR="00842B74">
        <w:rPr>
          <w:rFonts w:hint="cs"/>
          <w:rtl/>
        </w:rPr>
        <w:t xml:space="preserve">از مشاهیر بوده </w:t>
      </w:r>
      <w:r w:rsidR="00FA7C4A">
        <w:rPr>
          <w:rFonts w:hint="cs"/>
          <w:rtl/>
        </w:rPr>
        <w:t xml:space="preserve">و بحثی در وثاقت آنها </w:t>
      </w:r>
      <w:r w:rsidR="00842B74">
        <w:rPr>
          <w:rFonts w:hint="cs"/>
          <w:rtl/>
        </w:rPr>
        <w:t>نبوده است</w:t>
      </w:r>
      <w:r w:rsidR="00FA7C4A">
        <w:rPr>
          <w:rFonts w:hint="cs"/>
          <w:rtl/>
        </w:rPr>
        <w:t>. گویا ادعای شیخ طوسی این است که به طریق مسلم الاعتبار</w:t>
      </w:r>
      <w:r w:rsidR="00D5716D">
        <w:rPr>
          <w:rFonts w:hint="cs"/>
          <w:rtl/>
        </w:rPr>
        <w:t>،</w:t>
      </w:r>
      <w:r w:rsidR="00FA7C4A">
        <w:rPr>
          <w:rFonts w:hint="cs"/>
          <w:rtl/>
        </w:rPr>
        <w:t xml:space="preserve"> </w:t>
      </w:r>
      <w:r w:rsidR="007B520A">
        <w:rPr>
          <w:rFonts w:hint="cs"/>
          <w:rtl/>
        </w:rPr>
        <w:t xml:space="preserve">احمد بن محمد بن خالد این مطلب را نقل کرده است. پس در مواردی که منبع اصلی روایت تهذیب روشن نبوده و شیخ طوسی صدر سند را حذف کرده است، </w:t>
      </w:r>
      <w:r w:rsidR="00D5716D">
        <w:rPr>
          <w:rFonts w:hint="cs"/>
          <w:rtl/>
        </w:rPr>
        <w:t>در نتیجه با</w:t>
      </w:r>
      <w:r w:rsidR="007B520A">
        <w:rPr>
          <w:rFonts w:hint="cs"/>
          <w:rtl/>
        </w:rPr>
        <w:t xml:space="preserve"> شهادت شیخ طوسی به مسلم الاعتبار بودن طریق حذف شده، صحت اسناد ثابت می شود. مثلا شیخ طوسی از کتاب محمد بن علی بن محبوب </w:t>
      </w:r>
      <w:r w:rsidR="00867C9E">
        <w:rPr>
          <w:rFonts w:hint="cs"/>
          <w:rtl/>
        </w:rPr>
        <w:t xml:space="preserve">روایتی را اخذ کرده و محمد بن علی بن محبوب عن احمد بن محمد عن الحسن بن محبوب روایت را نقل کرده است اما شیخ طوسی به علت مشهور بودن طریق محمد بن علی بن محمد عن احمد بن محمد، این طریق را حذف کرده و در تهذیب روایت را با حسن بن محبوب آغاز کرده است. </w:t>
      </w:r>
    </w:p>
    <w:p w:rsidR="00D5716D" w:rsidRDefault="00D5716D" w:rsidP="00D5716D">
      <w:pPr>
        <w:pStyle w:val="Heading3"/>
        <w:rPr>
          <w:rtl/>
        </w:rPr>
      </w:pPr>
      <w:bookmarkStart w:id="3" w:name="_Toc20195058"/>
      <w:r>
        <w:rPr>
          <w:rFonts w:hint="cs"/>
          <w:rtl/>
        </w:rPr>
        <w:t>عدم نیاز طرق به کتب به بررسی سندی</w:t>
      </w:r>
      <w:bookmarkEnd w:id="3"/>
      <w:r>
        <w:rPr>
          <w:rFonts w:hint="cs"/>
          <w:rtl/>
        </w:rPr>
        <w:t xml:space="preserve"> </w:t>
      </w:r>
    </w:p>
    <w:p w:rsidR="00867C9E" w:rsidRDefault="00867C9E" w:rsidP="00A650FB">
      <w:pPr>
        <w:jc w:val="both"/>
        <w:rPr>
          <w:rtl/>
        </w:rPr>
      </w:pPr>
      <w:r>
        <w:rPr>
          <w:rFonts w:hint="cs"/>
          <w:rtl/>
        </w:rPr>
        <w:t>از نحوه مشی مرحوم شیخ، نکته منهجی مهم</w:t>
      </w:r>
      <w:r w:rsidR="00D5716D">
        <w:rPr>
          <w:rFonts w:hint="cs"/>
          <w:rtl/>
        </w:rPr>
        <w:t>ی</w:t>
      </w:r>
      <w:r>
        <w:rPr>
          <w:rFonts w:hint="cs"/>
          <w:rtl/>
        </w:rPr>
        <w:t xml:space="preserve"> استفاده می شود. </w:t>
      </w:r>
      <w:r w:rsidR="00431E4A">
        <w:rPr>
          <w:rFonts w:hint="cs"/>
          <w:rtl/>
        </w:rPr>
        <w:t>این بحث مهم در رجال وجود دارد که آیا طریق به کتب نیازمند بررسی سندی است؟ به عنوان نمونه شیخ طوسی در مشیخه یا فهرست</w:t>
      </w:r>
      <w:r w:rsidR="00182BF6">
        <w:rPr>
          <w:rFonts w:hint="cs"/>
          <w:rtl/>
        </w:rPr>
        <w:t>،،</w:t>
      </w:r>
      <w:r w:rsidR="00431E4A">
        <w:rPr>
          <w:rFonts w:hint="cs"/>
          <w:rtl/>
        </w:rPr>
        <w:t xml:space="preserve"> طریق به کتب و روایات احمد بن محمد بن خالد ذکر کرده است. آیا اعتبار روایت</w:t>
      </w:r>
      <w:r w:rsidR="004A5079">
        <w:rPr>
          <w:rFonts w:hint="cs"/>
          <w:rtl/>
        </w:rPr>
        <w:t>ی که شیخ طوسی از احمد بن محمد بن خالد نقل می کند،</w:t>
      </w:r>
      <w:r w:rsidR="00431E4A">
        <w:rPr>
          <w:rFonts w:hint="cs"/>
          <w:rtl/>
        </w:rPr>
        <w:t xml:space="preserve"> وابسته به اعتبار</w:t>
      </w:r>
      <w:r w:rsidR="004A5079">
        <w:rPr>
          <w:rFonts w:hint="cs"/>
          <w:rtl/>
        </w:rPr>
        <w:t xml:space="preserve"> طریق شیخ طوسی </w:t>
      </w:r>
      <w:r w:rsidR="00A650FB">
        <w:rPr>
          <w:rFonts w:hint="cs"/>
          <w:rtl/>
        </w:rPr>
        <w:t>احمد بن محمد بن خالد در فهرست و مشیخه است؟ این بحث در رجال به عنوان اعتبار نقد</w:t>
      </w:r>
      <w:r w:rsidR="004A5079">
        <w:rPr>
          <w:rFonts w:hint="cs"/>
          <w:rtl/>
        </w:rPr>
        <w:t xml:space="preserve"> طرق و مشیخه، </w:t>
      </w:r>
      <w:r w:rsidR="00A650FB">
        <w:rPr>
          <w:rFonts w:hint="cs"/>
          <w:rtl/>
        </w:rPr>
        <w:t xml:space="preserve">مورد بحث قرار گرفته است. بحث نقد طرق و مشیخه چند محور دارد که طرق به کتب مورد </w:t>
      </w:r>
      <w:r w:rsidR="001F2B93">
        <w:rPr>
          <w:rFonts w:hint="cs"/>
          <w:rtl/>
        </w:rPr>
        <w:t xml:space="preserve">بحث حاضر ماست. </w:t>
      </w:r>
    </w:p>
    <w:p w:rsidR="001F2B93" w:rsidRDefault="001F2B93" w:rsidP="00A650FB">
      <w:pPr>
        <w:jc w:val="both"/>
        <w:rPr>
          <w:rtl/>
        </w:rPr>
      </w:pPr>
      <w:r>
        <w:rPr>
          <w:rFonts w:hint="cs"/>
          <w:rtl/>
        </w:rPr>
        <w:t>در بحث نیازمند بودن طرق به کتب به بررسی سندی، سه قول اصلی وجود دارد.</w:t>
      </w:r>
    </w:p>
    <w:p w:rsidR="001F2B93" w:rsidRDefault="001F2B93" w:rsidP="001F2B93">
      <w:pPr>
        <w:pStyle w:val="ListParagraph"/>
        <w:numPr>
          <w:ilvl w:val="0"/>
          <w:numId w:val="16"/>
        </w:numPr>
        <w:jc w:val="both"/>
      </w:pPr>
      <w:r>
        <w:rPr>
          <w:rFonts w:hint="cs"/>
          <w:rtl/>
        </w:rPr>
        <w:t xml:space="preserve">نیازمند به بررسی سند است مطلقا. این قول را مرحوم خویی قائل بوده و مطابق آن مشی کرده است. </w:t>
      </w:r>
    </w:p>
    <w:p w:rsidR="001F2B93" w:rsidRDefault="001F2B93" w:rsidP="00441F38">
      <w:pPr>
        <w:pStyle w:val="ListParagraph"/>
        <w:numPr>
          <w:ilvl w:val="0"/>
          <w:numId w:val="16"/>
        </w:numPr>
        <w:jc w:val="both"/>
      </w:pPr>
      <w:r>
        <w:rPr>
          <w:rFonts w:hint="cs"/>
          <w:rtl/>
        </w:rPr>
        <w:t>نیازمند به بررسی سندی نیست</w:t>
      </w:r>
      <w:r w:rsidR="00441F38">
        <w:rPr>
          <w:rFonts w:hint="cs"/>
          <w:rtl/>
        </w:rPr>
        <w:t xml:space="preserve">. </w:t>
      </w:r>
    </w:p>
    <w:p w:rsidR="001F2B93" w:rsidRDefault="001F2B93" w:rsidP="00182BF6">
      <w:pPr>
        <w:pStyle w:val="ListParagraph"/>
        <w:numPr>
          <w:ilvl w:val="0"/>
          <w:numId w:val="16"/>
        </w:numPr>
        <w:jc w:val="both"/>
      </w:pPr>
      <w:r>
        <w:rPr>
          <w:rFonts w:hint="cs"/>
          <w:rtl/>
        </w:rPr>
        <w:t xml:space="preserve">از مرحوم بروجردی تفصیلی بین کتب مشهوره و غیر مشهوره نقل شده است که صحت انتساب این قول </w:t>
      </w:r>
      <w:r w:rsidR="00441F38">
        <w:rPr>
          <w:rFonts w:hint="cs"/>
          <w:rtl/>
        </w:rPr>
        <w:t xml:space="preserve">به ایشان برای بنده روشن نیست. </w:t>
      </w:r>
    </w:p>
    <w:p w:rsidR="00441F38" w:rsidRDefault="00441F38" w:rsidP="00DF2BAB">
      <w:pPr>
        <w:ind w:left="360"/>
        <w:jc w:val="both"/>
        <w:rPr>
          <w:rtl/>
        </w:rPr>
      </w:pPr>
      <w:r w:rsidRPr="00441F38">
        <w:rPr>
          <w:rFonts w:hint="cs"/>
          <w:rtl/>
        </w:rPr>
        <w:t>قول</w:t>
      </w:r>
      <w:r w:rsidRPr="00441F38">
        <w:rPr>
          <w:rtl/>
        </w:rPr>
        <w:t xml:space="preserve"> </w:t>
      </w:r>
      <w:r w:rsidRPr="00441F38">
        <w:rPr>
          <w:rFonts w:hint="cs"/>
          <w:rtl/>
        </w:rPr>
        <w:t>مختار</w:t>
      </w:r>
      <w:r w:rsidRPr="00441F38">
        <w:rPr>
          <w:rtl/>
        </w:rPr>
        <w:t xml:space="preserve"> </w:t>
      </w:r>
      <w:r w:rsidRPr="00441F38">
        <w:rPr>
          <w:rFonts w:hint="cs"/>
          <w:rtl/>
        </w:rPr>
        <w:t>قول</w:t>
      </w:r>
      <w:r w:rsidRPr="00441F38">
        <w:rPr>
          <w:rtl/>
        </w:rPr>
        <w:t xml:space="preserve"> </w:t>
      </w:r>
      <w:r>
        <w:rPr>
          <w:rFonts w:hint="cs"/>
          <w:rtl/>
        </w:rPr>
        <w:t>دوم است</w:t>
      </w:r>
      <w:r w:rsidRPr="00441F38">
        <w:rPr>
          <w:rtl/>
        </w:rPr>
        <w:t xml:space="preserve"> </w:t>
      </w:r>
      <w:r w:rsidRPr="00441F38">
        <w:rPr>
          <w:rFonts w:hint="cs"/>
          <w:rtl/>
        </w:rPr>
        <w:t>و</w:t>
      </w:r>
      <w:r w:rsidRPr="00441F38">
        <w:rPr>
          <w:rtl/>
        </w:rPr>
        <w:t xml:space="preserve"> </w:t>
      </w:r>
      <w:r w:rsidRPr="00441F38">
        <w:rPr>
          <w:rFonts w:hint="cs"/>
          <w:rtl/>
        </w:rPr>
        <w:t>به</w:t>
      </w:r>
      <w:r w:rsidRPr="00441F38">
        <w:rPr>
          <w:rtl/>
        </w:rPr>
        <w:t xml:space="preserve"> </w:t>
      </w:r>
      <w:r w:rsidRPr="00441F38">
        <w:rPr>
          <w:rFonts w:hint="cs"/>
          <w:rtl/>
        </w:rPr>
        <w:t>نظر</w:t>
      </w:r>
      <w:r w:rsidRPr="00441F38">
        <w:rPr>
          <w:rtl/>
        </w:rPr>
        <w:t xml:space="preserve"> </w:t>
      </w:r>
      <w:r w:rsidRPr="00441F38">
        <w:rPr>
          <w:rFonts w:hint="cs"/>
          <w:rtl/>
        </w:rPr>
        <w:t>ما</w:t>
      </w:r>
      <w:r>
        <w:rPr>
          <w:rFonts w:hint="cs"/>
          <w:rtl/>
        </w:rPr>
        <w:t xml:space="preserve"> طرق به کتب مطلقا نیازمند بررسی سندی </w:t>
      </w:r>
      <w:r w:rsidR="00653072">
        <w:rPr>
          <w:rFonts w:hint="cs"/>
          <w:rtl/>
        </w:rPr>
        <w:t xml:space="preserve">نیست زیرا بسیاری از طرق به کتب که مشیخه تهذیب و فهرست شیخ طوسی نقل شده، اجازاتی </w:t>
      </w:r>
      <w:r w:rsidR="00182BF6">
        <w:rPr>
          <w:rFonts w:hint="cs"/>
          <w:rtl/>
        </w:rPr>
        <w:t xml:space="preserve">است </w:t>
      </w:r>
      <w:r w:rsidR="00653072">
        <w:rPr>
          <w:rFonts w:hint="cs"/>
          <w:rtl/>
        </w:rPr>
        <w:t>که علما داده اند و این اجازه</w:t>
      </w:r>
      <w:r w:rsidR="00182BF6">
        <w:rPr>
          <w:rFonts w:hint="cs"/>
          <w:rtl/>
        </w:rPr>
        <w:t>، صرفا</w:t>
      </w:r>
      <w:r w:rsidR="00653072">
        <w:rPr>
          <w:rFonts w:hint="cs"/>
          <w:rtl/>
        </w:rPr>
        <w:t xml:space="preserve"> کبرای کلی است که استاد به شاگرد اجازه می دهد روایاتی که انتساب آن به من برای تو ثابت شده است را می توانی از من نقل کنی. صغری این اجازه توسط شاگرد احراز شده است و </w:t>
      </w:r>
      <w:r w:rsidR="005E3027">
        <w:rPr>
          <w:rFonts w:hint="cs"/>
          <w:rtl/>
        </w:rPr>
        <w:t xml:space="preserve">با فرض شهادت دادن شاگرد به اسناد روایت به استاد، </w:t>
      </w:r>
      <w:r w:rsidR="00387949">
        <w:rPr>
          <w:rFonts w:hint="cs"/>
          <w:rtl/>
        </w:rPr>
        <w:t xml:space="preserve">اعتماد به شهادت شاگرد به روایت استاد بودن، کافی </w:t>
      </w:r>
      <w:r w:rsidR="005E3027">
        <w:rPr>
          <w:rFonts w:hint="cs"/>
          <w:rtl/>
        </w:rPr>
        <w:t xml:space="preserve">در اعتبار روایت </w:t>
      </w:r>
      <w:r w:rsidR="00387949">
        <w:rPr>
          <w:rFonts w:hint="cs"/>
          <w:rtl/>
        </w:rPr>
        <w:t xml:space="preserve">است. </w:t>
      </w:r>
      <w:r w:rsidR="00502733">
        <w:rPr>
          <w:rFonts w:hint="cs"/>
          <w:rtl/>
        </w:rPr>
        <w:t xml:space="preserve">مثلا احمد بن محمد بن عیسی با واسطه به شیخ طوسی اجازه داده است روایاتی که برای شیخ طوسی احراز شده </w:t>
      </w:r>
      <w:r w:rsidR="00062998">
        <w:rPr>
          <w:rFonts w:hint="cs"/>
          <w:rtl/>
        </w:rPr>
        <w:t>روایت احمد بن محمد بن عیسی</w:t>
      </w:r>
      <w:r w:rsidR="00DF2BAB">
        <w:rPr>
          <w:rFonts w:hint="cs"/>
          <w:rtl/>
        </w:rPr>
        <w:t xml:space="preserve"> است</w:t>
      </w:r>
      <w:r w:rsidR="00062998">
        <w:rPr>
          <w:rFonts w:hint="cs"/>
          <w:rtl/>
        </w:rPr>
        <w:t xml:space="preserve"> را از او نقل کند. در این اجازه، احمد بن محمد بن عیسی تضمین نمی کند روایت منقول توسط شیخ طوسی روایت احمد بن محمد بن عیسی است بلکه شیخ طوسی با آغاز کردن سند با احمد بن محمد بن عیسی، اخبار می دهد این روایت، روایت احمد بن محمد است. م</w:t>
      </w:r>
      <w:r w:rsidR="004F3C75">
        <w:rPr>
          <w:rFonts w:hint="cs"/>
          <w:rtl/>
        </w:rPr>
        <w:t>طابق تتبع صورت گرفته، مراد از این که</w:t>
      </w:r>
      <w:r w:rsidR="00DF2BAB">
        <w:rPr>
          <w:rFonts w:hint="cs"/>
          <w:rtl/>
        </w:rPr>
        <w:t xml:space="preserve"> شیخ طوسی روایت را</w:t>
      </w:r>
      <w:r w:rsidR="004F3C75">
        <w:rPr>
          <w:rFonts w:hint="cs"/>
          <w:rtl/>
        </w:rPr>
        <w:t xml:space="preserve"> روایت احمد بن محمد می داند، این است که به طریقی که اختلافی نیست برای شیخ طوسی روایت احمد بن محمد بودن احراز شده است. پس طریق موجود در مشیخه یا فهرست دخالتی در اسناد روایت به احمد بن محمد بن عیسی نداشته و شهادت شیخ طوسی، اسناد روایت به احمد بن محمد و اعتبار این اسناد را اثبات می کند. </w:t>
      </w:r>
      <w:r w:rsidR="00DF2BAB">
        <w:rPr>
          <w:rFonts w:hint="cs"/>
          <w:rtl/>
        </w:rPr>
        <w:t>در نتیجه،</w:t>
      </w:r>
      <w:r w:rsidR="004F3C75">
        <w:rPr>
          <w:rFonts w:hint="cs"/>
          <w:rtl/>
        </w:rPr>
        <w:t xml:space="preserve"> هر جا شهادت شیخ طوسی وجود داشته باشد، چه راوی </w:t>
      </w:r>
      <w:r w:rsidR="008F30C3">
        <w:rPr>
          <w:rFonts w:hint="cs"/>
          <w:rtl/>
        </w:rPr>
        <w:t xml:space="preserve">مشهور بوده و چه راوی مشهور نباشد، اعتبار اسناد روایت به راوی اثبات می شود. </w:t>
      </w:r>
      <w:r w:rsidR="00062998">
        <w:rPr>
          <w:rFonts w:hint="cs"/>
          <w:rtl/>
        </w:rPr>
        <w:t xml:space="preserve"> </w:t>
      </w:r>
    </w:p>
    <w:p w:rsidR="00A650FB" w:rsidRDefault="00343209" w:rsidP="00EB5C84">
      <w:pPr>
        <w:jc w:val="both"/>
        <w:rPr>
          <w:rtl/>
        </w:rPr>
      </w:pPr>
      <w:r>
        <w:rPr>
          <w:rFonts w:hint="cs"/>
          <w:rtl/>
        </w:rPr>
        <w:t>ما در سابق همین سخن را در کافی نیز تطبیق می کردیم اما به علت وجود اشکالاتی</w:t>
      </w:r>
      <w:r w:rsidR="00DF2BAB">
        <w:rPr>
          <w:rFonts w:hint="cs"/>
          <w:rtl/>
        </w:rPr>
        <w:t>،</w:t>
      </w:r>
      <w:r>
        <w:rPr>
          <w:rFonts w:hint="cs"/>
          <w:rtl/>
        </w:rPr>
        <w:t xml:space="preserve"> این بیان </w:t>
      </w:r>
      <w:r w:rsidR="00385E42">
        <w:rPr>
          <w:rFonts w:hint="cs"/>
          <w:rtl/>
        </w:rPr>
        <w:t xml:space="preserve">در کافی تطبیق نمی شود. بحث حاضر، در </w:t>
      </w:r>
      <w:r>
        <w:rPr>
          <w:rFonts w:hint="cs"/>
          <w:rtl/>
        </w:rPr>
        <w:t xml:space="preserve">طرق مشیخه و فهرست که طرق کلی است و </w:t>
      </w:r>
      <w:r w:rsidR="00385E42">
        <w:rPr>
          <w:rFonts w:hint="cs"/>
          <w:rtl/>
        </w:rPr>
        <w:t xml:space="preserve">شیخ طوسی به اعتبار طریق به راوی شهادت می دهد، تطبیق می شود. </w:t>
      </w:r>
      <w:r w:rsidR="00EB5C84">
        <w:rPr>
          <w:rFonts w:hint="cs"/>
          <w:rtl/>
        </w:rPr>
        <w:t>نکته بحث نیز این بود که با تتبع گسترده صورت گرفته، به</w:t>
      </w:r>
      <w:r w:rsidR="00AF34D2">
        <w:rPr>
          <w:rFonts w:hint="cs"/>
          <w:rtl/>
        </w:rPr>
        <w:t xml:space="preserve"> این نتیجه می رسیم طرق حذف شده توسط شیخ طوسی، مسلم الاعتبار است.</w:t>
      </w:r>
      <w:r w:rsidR="00AF34D2">
        <w:rPr>
          <w:rStyle w:val="FootnoteReference"/>
          <w:rtl/>
        </w:rPr>
        <w:footnoteReference w:id="2"/>
      </w:r>
    </w:p>
    <w:p w:rsidR="00EB3816" w:rsidRDefault="00DB5861" w:rsidP="00F5382D">
      <w:pPr>
        <w:jc w:val="both"/>
        <w:rPr>
          <w:rtl/>
        </w:rPr>
      </w:pPr>
      <w:r>
        <w:rPr>
          <w:rFonts w:hint="cs"/>
          <w:rtl/>
        </w:rPr>
        <w:t>یکی از شواهد بر ارزش نداشتن طرق به کتب، همین رفتار شیخ طوسی است که ایشان بدون اشاره، طرق به کتب ر</w:t>
      </w:r>
      <w:r w:rsidR="001E0AFB">
        <w:rPr>
          <w:rFonts w:hint="cs"/>
          <w:rtl/>
        </w:rPr>
        <w:t xml:space="preserve">ا حذف کرده یا تعویض سند می کند و </w:t>
      </w:r>
      <w:r w:rsidR="005E38B0">
        <w:rPr>
          <w:rFonts w:hint="cs"/>
          <w:rtl/>
        </w:rPr>
        <w:t xml:space="preserve">حذف طرق به کتاب و تعویض سند، </w:t>
      </w:r>
      <w:r w:rsidR="001E0AFB">
        <w:rPr>
          <w:rFonts w:hint="cs"/>
          <w:rtl/>
        </w:rPr>
        <w:t xml:space="preserve">در میان قدما </w:t>
      </w:r>
      <w:r w:rsidR="00F5382D">
        <w:rPr>
          <w:rFonts w:hint="cs"/>
          <w:rtl/>
        </w:rPr>
        <w:t>شایع و مرسوم بوده است</w:t>
      </w:r>
      <w:r w:rsidR="001E0AFB">
        <w:rPr>
          <w:rFonts w:hint="cs"/>
          <w:rtl/>
        </w:rPr>
        <w:t xml:space="preserve">. </w:t>
      </w:r>
      <w:r w:rsidR="00F5382D">
        <w:rPr>
          <w:rFonts w:hint="cs"/>
          <w:rtl/>
        </w:rPr>
        <w:t xml:space="preserve">به عنوان نمونه </w:t>
      </w:r>
      <w:r w:rsidR="001E0AFB">
        <w:rPr>
          <w:rFonts w:hint="cs"/>
          <w:rtl/>
        </w:rPr>
        <w:t>مرحوم شیخ صدوق تمام روایات باب المزار ثواب الاعمال را از کامل الزیارات اخذ کرده و</w:t>
      </w:r>
      <w:r w:rsidR="002A1CB2">
        <w:rPr>
          <w:rFonts w:hint="cs"/>
          <w:rtl/>
        </w:rPr>
        <w:t>لی</w:t>
      </w:r>
      <w:r w:rsidR="001E0AFB">
        <w:rPr>
          <w:rFonts w:hint="cs"/>
          <w:rtl/>
        </w:rPr>
        <w:t xml:space="preserve"> در هیچ یک، اشاره ای به اخذ از کامل الزیارات نکرده است. </w:t>
      </w:r>
    </w:p>
    <w:p w:rsidR="003A04AE" w:rsidRPr="006162A2" w:rsidRDefault="003A04AE" w:rsidP="001E0AFB">
      <w:pPr>
        <w:jc w:val="both"/>
        <w:rPr>
          <w:rtl/>
        </w:rPr>
      </w:pPr>
      <w:r>
        <w:rPr>
          <w:rFonts w:hint="cs"/>
          <w:rtl/>
        </w:rPr>
        <w:t xml:space="preserve">در جلسه آینده مقایسه بین روایات باب المزار ثواب الاعمال و کامل الزیارات را تطبیق خواهیم کرد. </w:t>
      </w:r>
    </w:p>
    <w:sectPr w:rsidR="003A04A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2F" w:rsidRDefault="008D5A2F" w:rsidP="008B750B">
      <w:pPr>
        <w:spacing w:line="240" w:lineRule="auto"/>
      </w:pPr>
      <w:r>
        <w:separator/>
      </w:r>
    </w:p>
  </w:endnote>
  <w:endnote w:type="continuationSeparator" w:id="0">
    <w:p w:rsidR="008D5A2F" w:rsidRDefault="008D5A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DC1F9E">
          <w:pPr>
            <w:pStyle w:val="Footer"/>
            <w:rPr>
              <w:rtl/>
            </w:rPr>
          </w:pPr>
          <w:r w:rsidRPr="006D44C1">
            <w:rPr>
              <w:rFonts w:hint="cs"/>
              <w:color w:val="808080" w:themeColor="background1" w:themeShade="80"/>
              <w:rtl/>
            </w:rPr>
            <w:t>م</w:t>
          </w:r>
          <w:r w:rsidR="00DC1F9E">
            <w:rPr>
              <w:rFonts w:hint="cs"/>
              <w:color w:val="808080" w:themeColor="background1" w:themeShade="80"/>
              <w:rtl/>
            </w:rPr>
            <w:t>رکز</w:t>
          </w:r>
          <w:r w:rsidRPr="006D44C1">
            <w:rPr>
              <w:rFonts w:hint="cs"/>
              <w:color w:val="808080" w:themeColor="background1" w:themeShade="80"/>
              <w:rtl/>
            </w:rPr>
            <w:t xml:space="preserve">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07327" w:rsidRPr="00F0732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24514" w:rsidP="001B6799">
          <w:pPr>
            <w:pStyle w:val="Footer"/>
            <w:bidi w:val="0"/>
            <w:rPr>
              <w:color w:val="808080" w:themeColor="background1" w:themeShade="80"/>
              <w:rtl/>
            </w:rPr>
          </w:pPr>
          <w:bookmarkStart w:id="11" w:name="BokAdres"/>
          <w:bookmarkEnd w:id="11"/>
          <w:r>
            <w:rPr>
              <w:color w:val="808080" w:themeColor="background1" w:themeShade="80"/>
            </w:rPr>
            <w:t>U1js1_13980627-004_mr1_mfeb.ir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2F" w:rsidRDefault="008D5A2F" w:rsidP="008B750B">
      <w:pPr>
        <w:spacing w:line="240" w:lineRule="auto"/>
      </w:pPr>
      <w:r>
        <w:separator/>
      </w:r>
    </w:p>
  </w:footnote>
  <w:footnote w:type="continuationSeparator" w:id="0">
    <w:p w:rsidR="008D5A2F" w:rsidRDefault="008D5A2F" w:rsidP="008B750B">
      <w:pPr>
        <w:spacing w:line="240" w:lineRule="auto"/>
      </w:pPr>
      <w:r>
        <w:continuationSeparator/>
      </w:r>
    </w:p>
  </w:footnote>
  <w:footnote w:id="1">
    <w:p w:rsidR="0085415E" w:rsidRDefault="0085415E" w:rsidP="0085415E">
      <w:pPr>
        <w:pStyle w:val="FootnoteText"/>
        <w:rPr>
          <w:rtl/>
        </w:rPr>
      </w:pPr>
      <w:r>
        <w:rPr>
          <w:rStyle w:val="FootnoteReference"/>
        </w:rPr>
        <w:footnoteRef/>
      </w:r>
      <w:r>
        <w:rPr>
          <w:rtl/>
        </w:rPr>
        <w:t xml:space="preserve"> </w:t>
      </w:r>
      <w:r w:rsidRPr="0085415E">
        <w:rPr>
          <w:rtl/>
        </w:rPr>
        <w:t xml:space="preserve"> </w:t>
      </w:r>
      <w:r w:rsidRPr="0085415E">
        <w:rPr>
          <w:rFonts w:hint="cs"/>
          <w:rtl/>
        </w:rPr>
        <w:t>كمال</w:t>
      </w:r>
      <w:r w:rsidRPr="0085415E">
        <w:rPr>
          <w:rtl/>
        </w:rPr>
        <w:t xml:space="preserve"> </w:t>
      </w:r>
      <w:r w:rsidRPr="0085415E">
        <w:rPr>
          <w:rFonts w:hint="cs"/>
          <w:rtl/>
        </w:rPr>
        <w:t>الدين</w:t>
      </w:r>
      <w:r w:rsidRPr="0085415E">
        <w:rPr>
          <w:rtl/>
        </w:rPr>
        <w:t xml:space="preserve"> </w:t>
      </w:r>
      <w:r w:rsidRPr="0085415E">
        <w:rPr>
          <w:rFonts w:hint="cs"/>
          <w:rtl/>
        </w:rPr>
        <w:t>و</w:t>
      </w:r>
      <w:r w:rsidRPr="0085415E">
        <w:rPr>
          <w:rtl/>
        </w:rPr>
        <w:t xml:space="preserve"> </w:t>
      </w:r>
      <w:r w:rsidRPr="0085415E">
        <w:rPr>
          <w:rFonts w:hint="cs"/>
          <w:rtl/>
        </w:rPr>
        <w:t>تمام</w:t>
      </w:r>
      <w:r w:rsidRPr="0085415E">
        <w:rPr>
          <w:rtl/>
        </w:rPr>
        <w:t xml:space="preserve"> </w:t>
      </w:r>
      <w:r w:rsidRPr="0085415E">
        <w:rPr>
          <w:rFonts w:hint="cs"/>
          <w:rtl/>
        </w:rPr>
        <w:t>النعمة،</w:t>
      </w:r>
      <w:r w:rsidRPr="0085415E">
        <w:rPr>
          <w:rtl/>
        </w:rPr>
        <w:t xml:space="preserve"> </w:t>
      </w:r>
      <w:r w:rsidRPr="0085415E">
        <w:rPr>
          <w:rFonts w:hint="cs"/>
          <w:rtl/>
        </w:rPr>
        <w:t>ج‏</w:t>
      </w:r>
      <w:r w:rsidRPr="0085415E">
        <w:rPr>
          <w:rtl/>
        </w:rPr>
        <w:t>2</w:t>
      </w:r>
      <w:r w:rsidRPr="0085415E">
        <w:rPr>
          <w:rFonts w:hint="cs"/>
          <w:rtl/>
        </w:rPr>
        <w:t>،</w:t>
      </w:r>
      <w:r w:rsidRPr="0085415E">
        <w:rPr>
          <w:rtl/>
        </w:rPr>
        <w:t xml:space="preserve"> </w:t>
      </w:r>
      <w:r w:rsidRPr="0085415E">
        <w:rPr>
          <w:rFonts w:hint="cs"/>
          <w:rtl/>
        </w:rPr>
        <w:t>ص</w:t>
      </w:r>
      <w:r w:rsidRPr="0085415E">
        <w:rPr>
          <w:rtl/>
        </w:rPr>
        <w:t>: 543</w:t>
      </w:r>
    </w:p>
  </w:footnote>
  <w:footnote w:id="2">
    <w:p w:rsidR="00AF34D2" w:rsidRDefault="00AF34D2">
      <w:pPr>
        <w:pStyle w:val="FootnoteText"/>
        <w:rPr>
          <w:rtl/>
        </w:rPr>
      </w:pPr>
      <w:r>
        <w:rPr>
          <w:rStyle w:val="FootnoteReference"/>
        </w:rPr>
        <w:footnoteRef/>
      </w:r>
      <w:r>
        <w:rPr>
          <w:rtl/>
        </w:rPr>
        <w:t xml:space="preserve"> </w:t>
      </w:r>
      <w:r>
        <w:rPr>
          <w:rFonts w:hint="cs"/>
          <w:rtl/>
        </w:rPr>
        <w:t>سوال:</w:t>
      </w:r>
      <w:r w:rsidR="00EB3816">
        <w:rPr>
          <w:rFonts w:hint="cs"/>
          <w:rtl/>
        </w:rPr>
        <w:t xml:space="preserve"> شهادت شیخ طوسی، شهادت در موضوعات بوده و در موضوعات شهادت عدل واحد اعتبار ندارد.</w:t>
      </w:r>
    </w:p>
    <w:p w:rsidR="00EB3816" w:rsidRDefault="00EB3816">
      <w:pPr>
        <w:pStyle w:val="FootnoteText"/>
      </w:pPr>
      <w:r>
        <w:rPr>
          <w:rFonts w:hint="cs"/>
          <w:rtl/>
        </w:rPr>
        <w:t xml:space="preserve">پاسخ: هر چند شهادت شیخ طوسی واحد است و شهادت عدل واحد در موضوعات معتبر نیست اما در این موارد به علت انسداد صغیر، قائل به اعتبار شهادت می شویم.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4" w:name="BokNum"/>
    <w:bookmarkEnd w:id="4"/>
    <w:r w:rsidR="00A24514">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A2451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A24514">
      <w:rPr>
        <w:rFonts w:hint="cs"/>
        <w:b/>
        <w:bCs/>
        <w:color w:val="632423" w:themeColor="accent2" w:themeShade="80"/>
        <w:sz w:val="20"/>
        <w:szCs w:val="24"/>
        <w:rtl/>
      </w:rPr>
      <w:t>سید</w:t>
    </w:r>
    <w:r w:rsidR="00A24514">
      <w:rPr>
        <w:b/>
        <w:bCs/>
        <w:color w:val="632423" w:themeColor="accent2" w:themeShade="80"/>
        <w:sz w:val="20"/>
        <w:szCs w:val="24"/>
        <w:rtl/>
      </w:rPr>
      <w:t xml:space="preserve"> </w:t>
    </w:r>
    <w:r w:rsidR="00A24514">
      <w:rPr>
        <w:rFonts w:hint="cs"/>
        <w:b/>
        <w:bCs/>
        <w:color w:val="632423" w:themeColor="accent2" w:themeShade="80"/>
        <w:sz w:val="20"/>
        <w:szCs w:val="24"/>
        <w:rtl/>
      </w:rPr>
      <w:t>محمد</w:t>
    </w:r>
    <w:r w:rsidR="00A24514">
      <w:rPr>
        <w:b/>
        <w:bCs/>
        <w:color w:val="632423" w:themeColor="accent2" w:themeShade="80"/>
        <w:sz w:val="20"/>
        <w:szCs w:val="24"/>
        <w:rtl/>
      </w:rPr>
      <w:t xml:space="preserve"> </w:t>
    </w:r>
    <w:r w:rsidR="00A24514">
      <w:rPr>
        <w:rFonts w:hint="cs"/>
        <w:b/>
        <w:bCs/>
        <w:color w:val="632423" w:themeColor="accent2" w:themeShade="80"/>
        <w:sz w:val="20"/>
        <w:szCs w:val="24"/>
        <w:rtl/>
      </w:rPr>
      <w:t>جواد</w:t>
    </w:r>
    <w:r w:rsidR="00A24514">
      <w:rPr>
        <w:b/>
        <w:bCs/>
        <w:color w:val="632423" w:themeColor="accent2" w:themeShade="80"/>
        <w:sz w:val="20"/>
        <w:szCs w:val="24"/>
        <w:rtl/>
      </w:rPr>
      <w:t xml:space="preserve"> </w:t>
    </w:r>
    <w:r w:rsidR="00A2451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7" w:name="BokTarikh"/>
    <w:bookmarkEnd w:id="7"/>
    <w:r w:rsidR="00A24514">
      <w:rPr>
        <w:sz w:val="24"/>
        <w:szCs w:val="24"/>
        <w:rtl/>
      </w:rPr>
      <w:t>27 /6 /1398</w:t>
    </w:r>
  </w:p>
  <w:p w:rsidR="00FA3B17" w:rsidRPr="00F16B53" w:rsidRDefault="00935A55" w:rsidP="00DC1F9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8" w:name="BokSabj"/>
    <w:bookmarkEnd w:id="8"/>
    <w:r w:rsidR="00A24514">
      <w:rPr>
        <w:rFonts w:hint="cs"/>
        <w:sz w:val="24"/>
        <w:szCs w:val="24"/>
        <w:rtl/>
      </w:rPr>
      <w:t>نقل</w:t>
    </w:r>
    <w:r w:rsidR="00A24514">
      <w:rPr>
        <w:sz w:val="24"/>
        <w:szCs w:val="24"/>
        <w:rtl/>
      </w:rPr>
      <w:t xml:space="preserve"> </w:t>
    </w:r>
    <w:r w:rsidR="00A24514">
      <w:rPr>
        <w:rFonts w:hint="cs"/>
        <w:sz w:val="24"/>
        <w:szCs w:val="24"/>
        <w:rtl/>
      </w:rPr>
      <w:t>های</w:t>
    </w:r>
    <w:r w:rsidR="00A24514">
      <w:rPr>
        <w:sz w:val="24"/>
        <w:szCs w:val="24"/>
        <w:rtl/>
      </w:rPr>
      <w:t xml:space="preserve"> </w:t>
    </w:r>
    <w:r w:rsidR="00A24514">
      <w:rPr>
        <w:rFonts w:hint="cs"/>
        <w:sz w:val="24"/>
        <w:szCs w:val="24"/>
        <w:rtl/>
      </w:rPr>
      <w:t>لا</w:t>
    </w:r>
    <w:r w:rsidR="00A24514">
      <w:rPr>
        <w:sz w:val="24"/>
        <w:szCs w:val="24"/>
        <w:rtl/>
      </w:rPr>
      <w:t xml:space="preserve"> </w:t>
    </w:r>
    <w:r w:rsidR="00A24514">
      <w:rPr>
        <w:rFonts w:hint="cs"/>
        <w:sz w:val="24"/>
        <w:szCs w:val="24"/>
        <w:rtl/>
      </w:rPr>
      <w:t>ضرر</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9" w:name="Bokmoqarer"/>
    <w:bookmarkEnd w:id="9"/>
    <w:r w:rsidR="00DC1F9E">
      <w:rPr>
        <w:rFonts w:hint="cs"/>
        <w:sz w:val="24"/>
        <w:szCs w:val="24"/>
        <w:rtl/>
      </w:rPr>
      <w:t>مرکز فقهی امام محمدباقر 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A24514">
      <w:rPr>
        <w:rFonts w:hint="cs"/>
        <w:sz w:val="24"/>
        <w:szCs w:val="24"/>
        <w:rtl/>
      </w:rPr>
      <w:t>قضیه</w:t>
    </w:r>
    <w:r w:rsidR="00A24514">
      <w:rPr>
        <w:sz w:val="24"/>
        <w:szCs w:val="24"/>
        <w:rtl/>
      </w:rPr>
      <w:t xml:space="preserve"> </w:t>
    </w:r>
    <w:r w:rsidR="00A24514">
      <w:rPr>
        <w:rFonts w:hint="cs"/>
        <w:sz w:val="24"/>
        <w:szCs w:val="24"/>
        <w:rtl/>
      </w:rPr>
      <w:t>سمره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B04EE"/>
    <w:multiLevelType w:val="hybridMultilevel"/>
    <w:tmpl w:val="8502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C81"/>
    <w:rsid w:val="00033978"/>
    <w:rsid w:val="000353D7"/>
    <w:rsid w:val="00055496"/>
    <w:rsid w:val="00062998"/>
    <w:rsid w:val="00080A41"/>
    <w:rsid w:val="0008299B"/>
    <w:rsid w:val="000913AA"/>
    <w:rsid w:val="00096C63"/>
    <w:rsid w:val="000B5DB5"/>
    <w:rsid w:val="000C3947"/>
    <w:rsid w:val="000D1CC7"/>
    <w:rsid w:val="000D2A37"/>
    <w:rsid w:val="000D30E9"/>
    <w:rsid w:val="000D6818"/>
    <w:rsid w:val="000E335E"/>
    <w:rsid w:val="000F16CF"/>
    <w:rsid w:val="000F5BAC"/>
    <w:rsid w:val="00114AB7"/>
    <w:rsid w:val="00116B2B"/>
    <w:rsid w:val="00124E3D"/>
    <w:rsid w:val="00127E95"/>
    <w:rsid w:val="00130659"/>
    <w:rsid w:val="001347C7"/>
    <w:rsid w:val="001356B0"/>
    <w:rsid w:val="00151937"/>
    <w:rsid w:val="00181844"/>
    <w:rsid w:val="00182BF6"/>
    <w:rsid w:val="001837E9"/>
    <w:rsid w:val="00187DFA"/>
    <w:rsid w:val="001A1BC1"/>
    <w:rsid w:val="001A1EA5"/>
    <w:rsid w:val="001A2574"/>
    <w:rsid w:val="001A27D7"/>
    <w:rsid w:val="001A294E"/>
    <w:rsid w:val="001A2A59"/>
    <w:rsid w:val="001A4ED8"/>
    <w:rsid w:val="001B2488"/>
    <w:rsid w:val="001B6799"/>
    <w:rsid w:val="001C1362"/>
    <w:rsid w:val="001D2E9A"/>
    <w:rsid w:val="001D3B6B"/>
    <w:rsid w:val="001D597F"/>
    <w:rsid w:val="001E0AFB"/>
    <w:rsid w:val="001E3FD4"/>
    <w:rsid w:val="001F2B93"/>
    <w:rsid w:val="0020241A"/>
    <w:rsid w:val="00203821"/>
    <w:rsid w:val="00211632"/>
    <w:rsid w:val="0021630D"/>
    <w:rsid w:val="0024121B"/>
    <w:rsid w:val="00247D2F"/>
    <w:rsid w:val="00256560"/>
    <w:rsid w:val="00266FB8"/>
    <w:rsid w:val="0027605E"/>
    <w:rsid w:val="00281E00"/>
    <w:rsid w:val="00294A52"/>
    <w:rsid w:val="002A1CB2"/>
    <w:rsid w:val="002B08AD"/>
    <w:rsid w:val="002B575F"/>
    <w:rsid w:val="002B729B"/>
    <w:rsid w:val="002C2E6A"/>
    <w:rsid w:val="002C53A2"/>
    <w:rsid w:val="002D0040"/>
    <w:rsid w:val="002D297B"/>
    <w:rsid w:val="002D2FA8"/>
    <w:rsid w:val="002E220F"/>
    <w:rsid w:val="00307311"/>
    <w:rsid w:val="0032100F"/>
    <w:rsid w:val="0033402C"/>
    <w:rsid w:val="00340521"/>
    <w:rsid w:val="00343209"/>
    <w:rsid w:val="00345C73"/>
    <w:rsid w:val="00354A99"/>
    <w:rsid w:val="00360311"/>
    <w:rsid w:val="00360CA6"/>
    <w:rsid w:val="00361922"/>
    <w:rsid w:val="0037339B"/>
    <w:rsid w:val="00385E42"/>
    <w:rsid w:val="00386C11"/>
    <w:rsid w:val="00387949"/>
    <w:rsid w:val="00397466"/>
    <w:rsid w:val="003A04AE"/>
    <w:rsid w:val="003A6148"/>
    <w:rsid w:val="003C33F6"/>
    <w:rsid w:val="003C3D2E"/>
    <w:rsid w:val="003C43A5"/>
    <w:rsid w:val="003D4FBC"/>
    <w:rsid w:val="003E1C5C"/>
    <w:rsid w:val="003E6650"/>
    <w:rsid w:val="003F5B46"/>
    <w:rsid w:val="00401363"/>
    <w:rsid w:val="00402E47"/>
    <w:rsid w:val="00403DCC"/>
    <w:rsid w:val="004109EA"/>
    <w:rsid w:val="00425015"/>
    <w:rsid w:val="00430994"/>
    <w:rsid w:val="00431E4A"/>
    <w:rsid w:val="00441B6D"/>
    <w:rsid w:val="00441F38"/>
    <w:rsid w:val="004556EF"/>
    <w:rsid w:val="00462B07"/>
    <w:rsid w:val="00465BD2"/>
    <w:rsid w:val="004715C8"/>
    <w:rsid w:val="00481C31"/>
    <w:rsid w:val="00482FC1"/>
    <w:rsid w:val="00483027"/>
    <w:rsid w:val="004871AA"/>
    <w:rsid w:val="004922DD"/>
    <w:rsid w:val="004926E1"/>
    <w:rsid w:val="004A2FEA"/>
    <w:rsid w:val="004A5079"/>
    <w:rsid w:val="004D2DD7"/>
    <w:rsid w:val="004D75C5"/>
    <w:rsid w:val="004E2186"/>
    <w:rsid w:val="004E66FB"/>
    <w:rsid w:val="004F3C75"/>
    <w:rsid w:val="004F470A"/>
    <w:rsid w:val="004F4C59"/>
    <w:rsid w:val="00500C8F"/>
    <w:rsid w:val="00501909"/>
    <w:rsid w:val="00502733"/>
    <w:rsid w:val="00507BBB"/>
    <w:rsid w:val="005128DF"/>
    <w:rsid w:val="005206FE"/>
    <w:rsid w:val="005257ED"/>
    <w:rsid w:val="005306F8"/>
    <w:rsid w:val="0054023D"/>
    <w:rsid w:val="005426BF"/>
    <w:rsid w:val="0056213C"/>
    <w:rsid w:val="005762F3"/>
    <w:rsid w:val="00580C24"/>
    <w:rsid w:val="005968EF"/>
    <w:rsid w:val="00596C1E"/>
    <w:rsid w:val="005A2E26"/>
    <w:rsid w:val="005C0DAE"/>
    <w:rsid w:val="005C188E"/>
    <w:rsid w:val="005D2349"/>
    <w:rsid w:val="005E1B60"/>
    <w:rsid w:val="005E3027"/>
    <w:rsid w:val="005E38B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072"/>
    <w:rsid w:val="00660A29"/>
    <w:rsid w:val="00695519"/>
    <w:rsid w:val="006A4134"/>
    <w:rsid w:val="006A5DDA"/>
    <w:rsid w:val="006A6701"/>
    <w:rsid w:val="006B21F4"/>
    <w:rsid w:val="006B3753"/>
    <w:rsid w:val="006B7AD6"/>
    <w:rsid w:val="006C23BF"/>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195"/>
    <w:rsid w:val="00737208"/>
    <w:rsid w:val="00744DE6"/>
    <w:rsid w:val="00762452"/>
    <w:rsid w:val="007639E0"/>
    <w:rsid w:val="00775507"/>
    <w:rsid w:val="00783473"/>
    <w:rsid w:val="0078594B"/>
    <w:rsid w:val="00795E02"/>
    <w:rsid w:val="007979D0"/>
    <w:rsid w:val="007A4E18"/>
    <w:rsid w:val="007A7B8C"/>
    <w:rsid w:val="007B520A"/>
    <w:rsid w:val="007C3EF4"/>
    <w:rsid w:val="007C6D9E"/>
    <w:rsid w:val="007D1C43"/>
    <w:rsid w:val="007D6C53"/>
    <w:rsid w:val="007E1564"/>
    <w:rsid w:val="007E1E87"/>
    <w:rsid w:val="007E5B3F"/>
    <w:rsid w:val="007F1BA6"/>
    <w:rsid w:val="007F2257"/>
    <w:rsid w:val="0080091D"/>
    <w:rsid w:val="00804108"/>
    <w:rsid w:val="00804FC4"/>
    <w:rsid w:val="00816367"/>
    <w:rsid w:val="00816A0B"/>
    <w:rsid w:val="00824B22"/>
    <w:rsid w:val="00830C53"/>
    <w:rsid w:val="00837FAA"/>
    <w:rsid w:val="00841F77"/>
    <w:rsid w:val="00842B74"/>
    <w:rsid w:val="0085276D"/>
    <w:rsid w:val="0085415E"/>
    <w:rsid w:val="00863390"/>
    <w:rsid w:val="0086385C"/>
    <w:rsid w:val="00867C9E"/>
    <w:rsid w:val="00871916"/>
    <w:rsid w:val="00873FBF"/>
    <w:rsid w:val="008956DD"/>
    <w:rsid w:val="008A510E"/>
    <w:rsid w:val="008A522A"/>
    <w:rsid w:val="008B4464"/>
    <w:rsid w:val="008B750B"/>
    <w:rsid w:val="008C3162"/>
    <w:rsid w:val="008D1F14"/>
    <w:rsid w:val="008D5A2F"/>
    <w:rsid w:val="008E3924"/>
    <w:rsid w:val="008F13F7"/>
    <w:rsid w:val="008F30C3"/>
    <w:rsid w:val="008F5B4D"/>
    <w:rsid w:val="008F71DC"/>
    <w:rsid w:val="00907425"/>
    <w:rsid w:val="009153A7"/>
    <w:rsid w:val="00923C34"/>
    <w:rsid w:val="00924152"/>
    <w:rsid w:val="0092513D"/>
    <w:rsid w:val="00927A9F"/>
    <w:rsid w:val="009335CC"/>
    <w:rsid w:val="00935A55"/>
    <w:rsid w:val="00937B00"/>
    <w:rsid w:val="00941CEB"/>
    <w:rsid w:val="0094720F"/>
    <w:rsid w:val="00952B77"/>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17E1"/>
    <w:rsid w:val="009D266A"/>
    <w:rsid w:val="009F14E1"/>
    <w:rsid w:val="009F7E07"/>
    <w:rsid w:val="00A01522"/>
    <w:rsid w:val="00A10A11"/>
    <w:rsid w:val="00A13C6A"/>
    <w:rsid w:val="00A17B09"/>
    <w:rsid w:val="00A22BEC"/>
    <w:rsid w:val="00A24514"/>
    <w:rsid w:val="00A40EB0"/>
    <w:rsid w:val="00A457C6"/>
    <w:rsid w:val="00A46AD0"/>
    <w:rsid w:val="00A47063"/>
    <w:rsid w:val="00A473A8"/>
    <w:rsid w:val="00A513F0"/>
    <w:rsid w:val="00A52CEC"/>
    <w:rsid w:val="00A61AC8"/>
    <w:rsid w:val="00A6366F"/>
    <w:rsid w:val="00A650FB"/>
    <w:rsid w:val="00A65D4C"/>
    <w:rsid w:val="00A70512"/>
    <w:rsid w:val="00AA1F60"/>
    <w:rsid w:val="00AA40D7"/>
    <w:rsid w:val="00AB5F7D"/>
    <w:rsid w:val="00AC0C50"/>
    <w:rsid w:val="00AC6FE2"/>
    <w:rsid w:val="00AF34D2"/>
    <w:rsid w:val="00AF3925"/>
    <w:rsid w:val="00B1296B"/>
    <w:rsid w:val="00B2292F"/>
    <w:rsid w:val="00B43169"/>
    <w:rsid w:val="00B55AE4"/>
    <w:rsid w:val="00B70B46"/>
    <w:rsid w:val="00B739B0"/>
    <w:rsid w:val="00B814A3"/>
    <w:rsid w:val="00B96F38"/>
    <w:rsid w:val="00BD0E74"/>
    <w:rsid w:val="00BD5F8C"/>
    <w:rsid w:val="00BE29DD"/>
    <w:rsid w:val="00C066AF"/>
    <w:rsid w:val="00C10E06"/>
    <w:rsid w:val="00C11881"/>
    <w:rsid w:val="00C145B8"/>
    <w:rsid w:val="00C22A66"/>
    <w:rsid w:val="00C2438F"/>
    <w:rsid w:val="00C32A7E"/>
    <w:rsid w:val="00C34F28"/>
    <w:rsid w:val="00C368DF"/>
    <w:rsid w:val="00C442C5"/>
    <w:rsid w:val="00C57B5C"/>
    <w:rsid w:val="00C57C7C"/>
    <w:rsid w:val="00C61049"/>
    <w:rsid w:val="00C63FFE"/>
    <w:rsid w:val="00C91EB6"/>
    <w:rsid w:val="00C95FE6"/>
    <w:rsid w:val="00CA10B0"/>
    <w:rsid w:val="00CA2D9D"/>
    <w:rsid w:val="00CA2F8E"/>
    <w:rsid w:val="00CA7FD5"/>
    <w:rsid w:val="00CB3287"/>
    <w:rsid w:val="00CB33E2"/>
    <w:rsid w:val="00CB4E68"/>
    <w:rsid w:val="00CC2733"/>
    <w:rsid w:val="00CD0050"/>
    <w:rsid w:val="00CE53CB"/>
    <w:rsid w:val="00CE7481"/>
    <w:rsid w:val="00CF0A8F"/>
    <w:rsid w:val="00D048CE"/>
    <w:rsid w:val="00D06D96"/>
    <w:rsid w:val="00D10998"/>
    <w:rsid w:val="00D15CBD"/>
    <w:rsid w:val="00D1684A"/>
    <w:rsid w:val="00D221CB"/>
    <w:rsid w:val="00D23391"/>
    <w:rsid w:val="00D31805"/>
    <w:rsid w:val="00D552B9"/>
    <w:rsid w:val="00D5716D"/>
    <w:rsid w:val="00D735B2"/>
    <w:rsid w:val="00D74021"/>
    <w:rsid w:val="00D76D01"/>
    <w:rsid w:val="00D922A9"/>
    <w:rsid w:val="00D92D13"/>
    <w:rsid w:val="00D9394A"/>
    <w:rsid w:val="00DB0CBB"/>
    <w:rsid w:val="00DB5861"/>
    <w:rsid w:val="00DB67CC"/>
    <w:rsid w:val="00DC1F9E"/>
    <w:rsid w:val="00DC3783"/>
    <w:rsid w:val="00DC6FC3"/>
    <w:rsid w:val="00DE1070"/>
    <w:rsid w:val="00DF2BAB"/>
    <w:rsid w:val="00DF73F6"/>
    <w:rsid w:val="00E00219"/>
    <w:rsid w:val="00E0316B"/>
    <w:rsid w:val="00E11C93"/>
    <w:rsid w:val="00E25E10"/>
    <w:rsid w:val="00E50B41"/>
    <w:rsid w:val="00E5219B"/>
    <w:rsid w:val="00E52D07"/>
    <w:rsid w:val="00E5518B"/>
    <w:rsid w:val="00E609FE"/>
    <w:rsid w:val="00E75920"/>
    <w:rsid w:val="00E80D96"/>
    <w:rsid w:val="00E871FA"/>
    <w:rsid w:val="00E936A4"/>
    <w:rsid w:val="00E954BB"/>
    <w:rsid w:val="00EA45E7"/>
    <w:rsid w:val="00EB3816"/>
    <w:rsid w:val="00EB5C84"/>
    <w:rsid w:val="00EB78E3"/>
    <w:rsid w:val="00EB7BE3"/>
    <w:rsid w:val="00EC1C4B"/>
    <w:rsid w:val="00EC71C2"/>
    <w:rsid w:val="00EC735A"/>
    <w:rsid w:val="00ED5F38"/>
    <w:rsid w:val="00EF27FE"/>
    <w:rsid w:val="00F07327"/>
    <w:rsid w:val="00F07FB6"/>
    <w:rsid w:val="00F149D0"/>
    <w:rsid w:val="00F16B53"/>
    <w:rsid w:val="00F25ECD"/>
    <w:rsid w:val="00F318BE"/>
    <w:rsid w:val="00F33297"/>
    <w:rsid w:val="00F343FB"/>
    <w:rsid w:val="00F359FE"/>
    <w:rsid w:val="00F42159"/>
    <w:rsid w:val="00F4256E"/>
    <w:rsid w:val="00F42EE1"/>
    <w:rsid w:val="00F5382D"/>
    <w:rsid w:val="00F60F1F"/>
    <w:rsid w:val="00F64141"/>
    <w:rsid w:val="00F67508"/>
    <w:rsid w:val="00F71FC9"/>
    <w:rsid w:val="00F73B48"/>
    <w:rsid w:val="00F74F51"/>
    <w:rsid w:val="00F83D7F"/>
    <w:rsid w:val="00F842AD"/>
    <w:rsid w:val="00F914EB"/>
    <w:rsid w:val="00F91B85"/>
    <w:rsid w:val="00F938E7"/>
    <w:rsid w:val="00FA3B17"/>
    <w:rsid w:val="00FA5E8D"/>
    <w:rsid w:val="00FA5F3D"/>
    <w:rsid w:val="00FA7C4A"/>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7D6262-5F07-4546-9AC8-03C10D83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342989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6630373">
      <w:bodyDiv w:val="1"/>
      <w:marLeft w:val="0"/>
      <w:marRight w:val="0"/>
      <w:marTop w:val="0"/>
      <w:marBottom w:val="0"/>
      <w:divBdr>
        <w:top w:val="none" w:sz="0" w:space="0" w:color="auto"/>
        <w:left w:val="none" w:sz="0" w:space="0" w:color="auto"/>
        <w:bottom w:val="none" w:sz="0" w:space="0" w:color="auto"/>
        <w:right w:val="none" w:sz="0" w:space="0" w:color="auto"/>
      </w:divBdr>
    </w:div>
    <w:div w:id="8713783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645529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0A75-699E-4DC5-900B-6702F986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102</TotalTime>
  <Pages>5</Pages>
  <Words>1338</Words>
  <Characters>7629</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14</cp:revision>
  <cp:lastPrinted>2019-09-24T12:15:00Z</cp:lastPrinted>
  <dcterms:created xsi:type="dcterms:W3CDTF">2019-09-24T00:14:00Z</dcterms:created>
  <dcterms:modified xsi:type="dcterms:W3CDTF">2019-11-19T13:28:00Z</dcterms:modified>
  <cp:contentStatus>ویرایش 2.5</cp:contentStatus>
  <cp:version>2.3</cp:version>
</cp:coreProperties>
</file>