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9E" w:rsidRPr="00B10F9E" w:rsidRDefault="00B10F9E" w:rsidP="00B10F9E">
      <w:pPr>
        <w:rPr>
          <w:sz w:val="28"/>
          <w:szCs w:val="28"/>
          <w:rtl/>
          <w:lang w:bidi="fa-IR"/>
        </w:rPr>
      </w:pPr>
      <w:r w:rsidRPr="00B10F9E">
        <w:rPr>
          <w:rFonts w:hint="cs"/>
          <w:sz w:val="28"/>
          <w:szCs w:val="28"/>
          <w:rtl/>
          <w:lang w:bidi="fa-IR"/>
        </w:rPr>
        <w:t>1395.02.28</w:t>
      </w:r>
    </w:p>
    <w:p w:rsidR="00E34F88" w:rsidRPr="00B10F9E" w:rsidRDefault="00E34F88" w:rsidP="00B10F9E">
      <w:pPr>
        <w:rPr>
          <w:sz w:val="28"/>
          <w:szCs w:val="28"/>
          <w:rtl/>
          <w:lang w:bidi="fa-IR"/>
        </w:rPr>
      </w:pPr>
      <w:r w:rsidRPr="00B10F9E">
        <w:rPr>
          <w:rFonts w:hint="cs"/>
          <w:sz w:val="28"/>
          <w:szCs w:val="28"/>
          <w:rtl/>
          <w:lang w:bidi="fa-IR"/>
        </w:rPr>
        <w:t xml:space="preserve">بسم الله الرحمن الرحیم </w:t>
      </w:r>
    </w:p>
    <w:p w:rsidR="00B10F9E" w:rsidRPr="001C54E4" w:rsidRDefault="00B10F9E" w:rsidP="001C54E4">
      <w:pPr>
        <w:pStyle w:val="Heading1"/>
        <w:rPr>
          <w:rtl/>
        </w:rPr>
      </w:pPr>
      <w:r w:rsidRPr="001C54E4">
        <w:rPr>
          <w:rFonts w:hint="cs"/>
          <w:rtl/>
        </w:rPr>
        <w:t>خلاصه مباحث</w:t>
      </w:r>
    </w:p>
    <w:p w:rsidR="00E015F5" w:rsidRDefault="00B10F9E" w:rsidP="00B10F9E">
      <w:pPr>
        <w:rPr>
          <w:sz w:val="28"/>
          <w:szCs w:val="28"/>
          <w:rtl/>
          <w:lang w:bidi="fa-IR"/>
        </w:rPr>
      </w:pPr>
      <w:r>
        <w:rPr>
          <w:rFonts w:hint="cs"/>
          <w:sz w:val="28"/>
          <w:szCs w:val="28"/>
          <w:rtl/>
          <w:lang w:bidi="fa-IR"/>
        </w:rPr>
        <w:t xml:space="preserve">سخن در احادیث حل بود. </w:t>
      </w:r>
      <w:r w:rsidR="00EF4AC2">
        <w:rPr>
          <w:rFonts w:hint="cs"/>
          <w:sz w:val="28"/>
          <w:szCs w:val="28"/>
          <w:rtl/>
          <w:lang w:bidi="fa-IR"/>
        </w:rPr>
        <w:t xml:space="preserve">در جلسات گذشته برخی از روایات حل بیان شد و در مورد سند آنها صحبت شد. </w:t>
      </w:r>
      <w:r>
        <w:rPr>
          <w:rFonts w:hint="cs"/>
          <w:sz w:val="28"/>
          <w:szCs w:val="28"/>
          <w:rtl/>
          <w:lang w:bidi="fa-IR"/>
        </w:rPr>
        <w:t xml:space="preserve">بیان شد؛ </w:t>
      </w:r>
      <w:r w:rsidR="00EF4AC2">
        <w:rPr>
          <w:rFonts w:hint="cs"/>
          <w:sz w:val="28"/>
          <w:szCs w:val="28"/>
          <w:rtl/>
          <w:lang w:bidi="fa-IR"/>
        </w:rPr>
        <w:t>منشأ اصلی این پرسش</w:t>
      </w:r>
      <w:r w:rsidR="00EF4AC2">
        <w:rPr>
          <w:rFonts w:hint="cs"/>
          <w:sz w:val="28"/>
          <w:szCs w:val="28"/>
          <w:rtl/>
          <w:lang w:bidi="fa-IR"/>
        </w:rPr>
        <w:softHyphen/>
        <w:t>ها احتیاط های شدید و بعضا بی جایی است که برخی از اصحاب داشته اند. حتی گاه این احتیاطات به مرز وسواس نیز می رسیده است</w:t>
      </w:r>
      <w:r w:rsidR="00D835A7">
        <w:rPr>
          <w:rStyle w:val="FootnoteReference"/>
          <w:sz w:val="28"/>
          <w:szCs w:val="28"/>
          <w:rtl/>
          <w:lang w:bidi="fa-IR"/>
        </w:rPr>
        <w:footnoteReference w:id="1"/>
      </w:r>
      <w:r w:rsidR="00EF4AC2">
        <w:rPr>
          <w:rFonts w:hint="cs"/>
          <w:sz w:val="28"/>
          <w:szCs w:val="28"/>
          <w:rtl/>
          <w:lang w:bidi="fa-IR"/>
        </w:rPr>
        <w:t xml:space="preserve">. مثلا در </w:t>
      </w:r>
      <w:r w:rsidR="00E015F5">
        <w:rPr>
          <w:rFonts w:hint="cs"/>
          <w:sz w:val="28"/>
          <w:szCs w:val="28"/>
          <w:rtl/>
          <w:lang w:bidi="fa-IR"/>
        </w:rPr>
        <w:t xml:space="preserve">روایتی در مستطرفات مذمت وسواس و احتیاط بیش از حد از امام علیه السلام وارد شده است. به نظر می رسد هدف اصلی امام علیه السلام نیز در حدیث حل، رفع احتیاط های زیادی است که منشأ ایجاد وسواس در افراد می گردد. </w:t>
      </w:r>
    </w:p>
    <w:p w:rsidR="000B7EC7" w:rsidRDefault="00E015F5" w:rsidP="00E015F5">
      <w:pPr>
        <w:rPr>
          <w:sz w:val="28"/>
          <w:szCs w:val="28"/>
          <w:rtl/>
          <w:lang w:bidi="fa-IR"/>
        </w:rPr>
      </w:pPr>
      <w:r>
        <w:rPr>
          <w:rFonts w:hint="cs"/>
          <w:sz w:val="28"/>
          <w:szCs w:val="28"/>
          <w:rtl/>
          <w:lang w:bidi="fa-IR"/>
        </w:rPr>
        <w:t xml:space="preserve">روایت مستطرفات: </w:t>
      </w:r>
      <w:r w:rsidRPr="00E015F5">
        <w:rPr>
          <w:rFonts w:cs="B Badr"/>
          <w:sz w:val="28"/>
          <w:szCs w:val="28"/>
          <w:rtl/>
          <w:lang w:bidi="fa-IR"/>
        </w:rPr>
        <w:t>عَلِيُّ بْنُ السِّنْدِيِّ عَنْ حَمَّادِ بْنِ عِيسَى عَنْ حُسَيْنِ بْنِ الْمُخْتَارِ عَنْ أَبِي بَصِيرٍ قَالَ: قُلْتُ لِأَبِي عَبْدِ اللَّهِ ع إِنَّ عِيسَى بْنَ أَعْيَنَ شَكَّ  فِي الصَّلَاةِ فَيُعِيدُهَا فَقَالَ هَلْ شَكَّ فِي الزَّكَاةِ فَيُعْطِيهَا مَرَّتَيْن</w:t>
      </w:r>
      <w:r w:rsidRPr="00E015F5">
        <w:rPr>
          <w:sz w:val="28"/>
          <w:szCs w:val="28"/>
          <w:rtl/>
          <w:lang w:bidi="fa-IR"/>
        </w:rPr>
        <w:t>‏</w:t>
      </w:r>
      <w:r>
        <w:rPr>
          <w:rStyle w:val="FootnoteReference"/>
          <w:sz w:val="28"/>
          <w:szCs w:val="28"/>
          <w:rtl/>
          <w:lang w:bidi="fa-IR"/>
        </w:rPr>
        <w:footnoteReference w:id="2"/>
      </w:r>
    </w:p>
    <w:p w:rsidR="00073FB5" w:rsidRPr="00B10F9E" w:rsidRDefault="00073FB5" w:rsidP="00E015F5">
      <w:pPr>
        <w:rPr>
          <w:sz w:val="28"/>
          <w:szCs w:val="28"/>
          <w:rtl/>
          <w:lang w:bidi="fa-IR"/>
        </w:rPr>
      </w:pPr>
      <w:r>
        <w:rPr>
          <w:rFonts w:hint="cs"/>
          <w:sz w:val="28"/>
          <w:szCs w:val="28"/>
          <w:rtl/>
          <w:lang w:bidi="fa-IR"/>
        </w:rPr>
        <w:t xml:space="preserve">در جلسه گذشته در مورد مدول روایت مسعده سخن گفتیم. در این جلسه مفاد سایر احادیث حل را بررسی می کنیم. </w:t>
      </w:r>
    </w:p>
    <w:p w:rsidR="00BA2979" w:rsidRPr="001C54E4" w:rsidRDefault="00073FB5" w:rsidP="001C54E4">
      <w:pPr>
        <w:pStyle w:val="Heading2"/>
        <w:rPr>
          <w:rtl/>
        </w:rPr>
      </w:pPr>
      <w:r w:rsidRPr="001C54E4">
        <w:rPr>
          <w:rFonts w:hint="cs"/>
          <w:rtl/>
        </w:rPr>
        <w:t>سایر روایات حلّ</w:t>
      </w:r>
    </w:p>
    <w:p w:rsidR="000B7EC7" w:rsidRPr="00073FB5" w:rsidRDefault="00073FB5" w:rsidP="00073FB5">
      <w:pPr>
        <w:rPr>
          <w:sz w:val="28"/>
          <w:szCs w:val="28"/>
          <w:lang w:bidi="fa-IR"/>
        </w:rPr>
      </w:pPr>
      <w:r>
        <w:rPr>
          <w:rFonts w:hint="cs"/>
          <w:sz w:val="28"/>
          <w:szCs w:val="28"/>
          <w:rtl/>
          <w:lang w:bidi="fa-IR"/>
        </w:rPr>
        <w:t xml:space="preserve">در ذیل روایت عبد الله بن سلیمان آمده است: </w:t>
      </w:r>
      <w:r w:rsidR="000B7EC7" w:rsidRPr="00B10F9E">
        <w:rPr>
          <w:rFonts w:ascii="NoorLotus" w:hAnsi="NoorLotus" w:hint="cs"/>
          <w:sz w:val="28"/>
          <w:szCs w:val="28"/>
          <w:rtl/>
          <w:lang w:bidi="fa-IR"/>
        </w:rPr>
        <w:t>سَأُخْبِرُكَ عَنِ الْجُبُنِّ وَ غَيْرِهِ كُلْ مَا يَكُونُ فِيهِ حَلَالٌ وَ حَرَامٌ فَهُوَ لَكَ حَلَالٌ حَتَّى تَعْرِفَ الْحَرَامَ بِعَيْنِهِ فَتَدَعَهُ</w:t>
      </w:r>
      <w:r>
        <w:rPr>
          <w:rStyle w:val="FootnoteReference"/>
          <w:rFonts w:ascii="NoorLotus" w:hAnsi="NoorLotus"/>
          <w:sz w:val="28"/>
          <w:szCs w:val="28"/>
          <w:lang w:bidi="fa-IR"/>
        </w:rPr>
        <w:footnoteReference w:id="3"/>
      </w:r>
    </w:p>
    <w:p w:rsidR="000B7EC7" w:rsidRPr="005B1FE4" w:rsidRDefault="005B1FE4" w:rsidP="005B1FE4">
      <w:pPr>
        <w:rPr>
          <w:sz w:val="28"/>
          <w:szCs w:val="28"/>
          <w:lang w:bidi="fa-IR"/>
        </w:rPr>
      </w:pPr>
      <w:r>
        <w:rPr>
          <w:rFonts w:hint="cs"/>
          <w:sz w:val="28"/>
          <w:szCs w:val="28"/>
          <w:rtl/>
          <w:lang w:bidi="fa-IR"/>
        </w:rPr>
        <w:lastRenderedPageBreak/>
        <w:t xml:space="preserve">ذیل روایت </w:t>
      </w:r>
      <w:r w:rsidR="000B7EC7" w:rsidRPr="00B10F9E">
        <w:rPr>
          <w:rFonts w:hint="cs"/>
          <w:sz w:val="28"/>
          <w:szCs w:val="28"/>
          <w:rtl/>
          <w:lang w:bidi="fa-IR"/>
        </w:rPr>
        <w:t xml:space="preserve">عبد الله بن سنان </w:t>
      </w:r>
      <w:r>
        <w:rPr>
          <w:rFonts w:hint="cs"/>
          <w:sz w:val="28"/>
          <w:szCs w:val="28"/>
          <w:rtl/>
          <w:lang w:bidi="fa-IR"/>
        </w:rPr>
        <w:t xml:space="preserve">این تعبیر وارد شده است: </w:t>
      </w:r>
      <w:r w:rsidR="000B7EC7" w:rsidRPr="00B10F9E">
        <w:rPr>
          <w:rFonts w:ascii="NoorLotus" w:hAnsi="NoorLotus" w:hint="cs"/>
          <w:sz w:val="28"/>
          <w:szCs w:val="28"/>
          <w:rtl/>
          <w:lang w:bidi="fa-IR"/>
        </w:rPr>
        <w:t>«كُلُّ شَيْ‌ءٍ يَكُونُ فِيهِ حَلَالٌ وَحَرَامٌ، فَهُوَ حَلَالٌ لَكَ أَبَداً حَتّى</w:t>
      </w:r>
      <w:r w:rsidR="00073FB5">
        <w:rPr>
          <w:rFonts w:hint="cs"/>
          <w:sz w:val="28"/>
          <w:szCs w:val="28"/>
          <w:rtl/>
          <w:lang w:bidi="fa-IR"/>
        </w:rPr>
        <w:t xml:space="preserve"> </w:t>
      </w:r>
      <w:r w:rsidR="000B7EC7" w:rsidRPr="00B10F9E">
        <w:rPr>
          <w:rFonts w:ascii="NoorLotus" w:hAnsi="NoorLotus" w:hint="cs"/>
          <w:sz w:val="28"/>
          <w:szCs w:val="28"/>
          <w:rtl/>
          <w:lang w:bidi="fa-IR"/>
        </w:rPr>
        <w:t xml:space="preserve">تَعْرِفَ الْحَرَامَ مِنْهُ </w:t>
      </w:r>
      <w:r>
        <w:rPr>
          <w:rFonts w:ascii="NoorLotus" w:hAnsi="NoorLotus" w:hint="cs"/>
          <w:sz w:val="28"/>
          <w:szCs w:val="28"/>
          <w:rtl/>
          <w:lang w:bidi="fa-IR"/>
        </w:rPr>
        <w:t xml:space="preserve"> بِعَيْنِهِ، فَتَدَعَهُ»</w:t>
      </w:r>
      <w:r>
        <w:rPr>
          <w:rStyle w:val="FootnoteReference"/>
          <w:rFonts w:ascii="NoorLotus" w:hAnsi="NoorLotus"/>
          <w:sz w:val="28"/>
          <w:szCs w:val="28"/>
          <w:rtl/>
          <w:lang w:bidi="fa-IR"/>
        </w:rPr>
        <w:footnoteReference w:id="4"/>
      </w:r>
    </w:p>
    <w:p w:rsidR="00910A55" w:rsidRPr="005B1FE4" w:rsidRDefault="00384240" w:rsidP="005B1FE4">
      <w:pPr>
        <w:rPr>
          <w:sz w:val="28"/>
          <w:szCs w:val="28"/>
          <w:lang w:bidi="fa-IR"/>
        </w:rPr>
      </w:pPr>
      <w:r>
        <w:rPr>
          <w:rFonts w:hint="cs"/>
          <w:sz w:val="28"/>
          <w:szCs w:val="28"/>
          <w:rtl/>
          <w:lang w:bidi="fa-IR"/>
        </w:rPr>
        <w:t xml:space="preserve">ذیل روایت </w:t>
      </w:r>
      <w:r w:rsidR="000B7EC7" w:rsidRPr="00B10F9E">
        <w:rPr>
          <w:rFonts w:hint="cs"/>
          <w:sz w:val="28"/>
          <w:szCs w:val="28"/>
          <w:rtl/>
          <w:lang w:bidi="fa-IR"/>
        </w:rPr>
        <w:t xml:space="preserve">معاویه بن عمار </w:t>
      </w:r>
      <w:r>
        <w:rPr>
          <w:rFonts w:hint="cs"/>
          <w:sz w:val="28"/>
          <w:szCs w:val="28"/>
          <w:rtl/>
          <w:lang w:bidi="fa-IR"/>
        </w:rPr>
        <w:t>عن رجل نیز اینگونه است: «</w:t>
      </w:r>
      <w:r w:rsidR="00910A55" w:rsidRPr="00B10F9E">
        <w:rPr>
          <w:rFonts w:ascii="NoorLotus" w:hAnsi="NoorLotus" w:hint="cs"/>
          <w:sz w:val="28"/>
          <w:szCs w:val="28"/>
          <w:rtl/>
          <w:lang w:bidi="fa-IR"/>
        </w:rPr>
        <w:t>كُلُّ شَيْ‌ءٍ فِيهِ الْحَلَالُ وَ الْحَرَامُ فَهُوَ لَكَ حَلَالٌ حَتَّى تَعْرِفَ الْحَرَامَ فَتَدَعَهُ بِعَيْنِه</w:t>
      </w:r>
      <w:r>
        <w:rPr>
          <w:rFonts w:ascii="NoorLotus" w:hAnsi="NoorLotus" w:hint="cs"/>
          <w:sz w:val="28"/>
          <w:szCs w:val="28"/>
          <w:rtl/>
          <w:lang w:bidi="fa-IR"/>
        </w:rPr>
        <w:t>»</w:t>
      </w:r>
      <w:r w:rsidR="00910A55" w:rsidRPr="00B10F9E">
        <w:rPr>
          <w:rFonts w:ascii="NoorLotus" w:hAnsi="NoorLotus" w:hint="cs"/>
          <w:sz w:val="28"/>
          <w:szCs w:val="28"/>
          <w:rtl/>
          <w:lang w:bidi="fa-IR"/>
        </w:rPr>
        <w:t>ِ</w:t>
      </w:r>
      <w:r>
        <w:rPr>
          <w:rStyle w:val="FootnoteReference"/>
          <w:sz w:val="28"/>
          <w:szCs w:val="28"/>
          <w:lang w:bidi="fa-IR"/>
        </w:rPr>
        <w:footnoteReference w:id="5"/>
      </w:r>
      <w:r>
        <w:rPr>
          <w:rFonts w:hint="cs"/>
          <w:sz w:val="28"/>
          <w:szCs w:val="28"/>
          <w:rtl/>
          <w:lang w:bidi="fa-IR"/>
        </w:rPr>
        <w:t xml:space="preserve"> هر چند این روایت مرسل است و غیر قابل اعتماد، اما در اطمینان بخشی به سایر روایات مفید می باشد. </w:t>
      </w:r>
    </w:p>
    <w:p w:rsidR="00C91F7B" w:rsidRDefault="00C91F7B" w:rsidP="00C91F7B">
      <w:pPr>
        <w:rPr>
          <w:sz w:val="28"/>
          <w:szCs w:val="28"/>
          <w:rtl/>
          <w:lang w:bidi="fa-IR"/>
        </w:rPr>
      </w:pPr>
      <w:r>
        <w:rPr>
          <w:rFonts w:hint="cs"/>
          <w:sz w:val="28"/>
          <w:szCs w:val="28"/>
          <w:rtl/>
          <w:lang w:bidi="fa-IR"/>
        </w:rPr>
        <w:t xml:space="preserve">ذیل </w:t>
      </w:r>
      <w:r w:rsidR="00910A55" w:rsidRPr="00B10F9E">
        <w:rPr>
          <w:rFonts w:hint="cs"/>
          <w:sz w:val="28"/>
          <w:szCs w:val="28"/>
          <w:rtl/>
          <w:lang w:bidi="fa-IR"/>
        </w:rPr>
        <w:t xml:space="preserve">روایت حسین بن ابی غندر عن ابی عبدالله یا عن أبیه عن ابی عبدالله، </w:t>
      </w:r>
      <w:r>
        <w:rPr>
          <w:rFonts w:hint="cs"/>
          <w:sz w:val="28"/>
          <w:szCs w:val="28"/>
          <w:rtl/>
          <w:lang w:bidi="fa-IR"/>
        </w:rPr>
        <w:t>نیز این</w:t>
      </w:r>
      <w:r w:rsidR="001928F7">
        <w:rPr>
          <w:rFonts w:hint="cs"/>
          <w:sz w:val="28"/>
          <w:szCs w:val="28"/>
          <w:rtl/>
          <w:lang w:bidi="fa-IR"/>
        </w:rPr>
        <w:t xml:space="preserve"> </w:t>
      </w:r>
      <w:r>
        <w:rPr>
          <w:rFonts w:hint="cs"/>
          <w:sz w:val="28"/>
          <w:szCs w:val="28"/>
          <w:rtl/>
          <w:lang w:bidi="fa-IR"/>
        </w:rPr>
        <w:t>گونه است: «</w:t>
      </w:r>
      <w:r w:rsidRPr="00C91F7B">
        <w:rPr>
          <w:rtl/>
        </w:rPr>
        <w:t xml:space="preserve"> </w:t>
      </w:r>
      <w:r w:rsidRPr="00C91F7B">
        <w:rPr>
          <w:sz w:val="28"/>
          <w:szCs w:val="28"/>
          <w:rtl/>
          <w:lang w:bidi="fa-IR"/>
        </w:rPr>
        <w:t>وَ كُلُّ شَيْ‏ءٍ فِيهِ حَلَالٌ وَ حَرَامٌ فَهُوَ لَكَ حَلَالٌ أَبَداً، مَا لَمْ تَعْرِفِ الْحَرَامَ مِنْهُ فَتَدَعَهُ.</w:t>
      </w:r>
      <w:r>
        <w:rPr>
          <w:rFonts w:hint="cs"/>
          <w:sz w:val="28"/>
          <w:szCs w:val="28"/>
          <w:rtl/>
          <w:lang w:bidi="fa-IR"/>
        </w:rPr>
        <w:t>»</w:t>
      </w:r>
      <w:r>
        <w:rPr>
          <w:rStyle w:val="FootnoteReference"/>
          <w:sz w:val="28"/>
          <w:szCs w:val="28"/>
          <w:rtl/>
          <w:lang w:bidi="fa-IR"/>
        </w:rPr>
        <w:footnoteReference w:id="6"/>
      </w:r>
      <w:r>
        <w:rPr>
          <w:rFonts w:hint="cs"/>
          <w:sz w:val="28"/>
          <w:szCs w:val="28"/>
          <w:rtl/>
          <w:lang w:bidi="fa-IR"/>
        </w:rPr>
        <w:t xml:space="preserve"> </w:t>
      </w:r>
    </w:p>
    <w:p w:rsidR="00C91F7B" w:rsidRDefault="00C91F7B" w:rsidP="001C54E4">
      <w:pPr>
        <w:pStyle w:val="Heading2"/>
        <w:rPr>
          <w:rtl/>
        </w:rPr>
      </w:pPr>
      <w:r>
        <w:rPr>
          <w:rFonts w:hint="cs"/>
          <w:rtl/>
        </w:rPr>
        <w:t>تمسک به حدیث حل در شبهات حکمیه</w:t>
      </w:r>
    </w:p>
    <w:p w:rsidR="00934355" w:rsidRDefault="00934355" w:rsidP="00934355">
      <w:pPr>
        <w:rPr>
          <w:sz w:val="28"/>
          <w:szCs w:val="28"/>
          <w:rtl/>
          <w:lang w:bidi="fa-IR"/>
        </w:rPr>
      </w:pPr>
      <w:r>
        <w:rPr>
          <w:rFonts w:hint="cs"/>
          <w:sz w:val="28"/>
          <w:szCs w:val="28"/>
          <w:rtl/>
          <w:lang w:bidi="fa-IR"/>
        </w:rPr>
        <w:t xml:space="preserve">برای شمول حدیث حل نسبت به شبهات حکمیه استدلال شده است که فیه حلال و حرام  به معنای فیه احتمال الحرمه و الحلیه است و در شبهات حکمیه احتمال حلیت و حرمت وجود دارد. </w:t>
      </w:r>
    </w:p>
    <w:p w:rsidR="009E6E78" w:rsidRPr="001C54E4" w:rsidRDefault="009E6E78" w:rsidP="001C54E4">
      <w:pPr>
        <w:pStyle w:val="Heading3"/>
        <w:rPr>
          <w:rtl/>
        </w:rPr>
      </w:pPr>
      <w:r w:rsidRPr="001C54E4">
        <w:rPr>
          <w:rFonts w:hint="cs"/>
          <w:rtl/>
        </w:rPr>
        <w:t xml:space="preserve">اشکال مرحوم شیخ </w:t>
      </w:r>
    </w:p>
    <w:p w:rsidR="005A0F5A" w:rsidRDefault="00910A55" w:rsidP="005766CA">
      <w:pPr>
        <w:rPr>
          <w:sz w:val="28"/>
          <w:szCs w:val="28"/>
          <w:rtl/>
          <w:lang w:bidi="fa-IR"/>
        </w:rPr>
      </w:pPr>
      <w:r w:rsidRPr="00B10F9E">
        <w:rPr>
          <w:rFonts w:hint="cs"/>
          <w:sz w:val="28"/>
          <w:szCs w:val="28"/>
          <w:rtl/>
          <w:lang w:bidi="fa-IR"/>
        </w:rPr>
        <w:t xml:space="preserve">مرحوم شیخ </w:t>
      </w:r>
      <w:r w:rsidR="00934355">
        <w:rPr>
          <w:rFonts w:hint="cs"/>
          <w:sz w:val="28"/>
          <w:szCs w:val="28"/>
          <w:rtl/>
          <w:lang w:bidi="fa-IR"/>
        </w:rPr>
        <w:t xml:space="preserve">به این استدلال اشکال کرده و می فرمایند: ظاهر فیه حلال و حرام فعلیت تقسیم است به این معنا که هم قسم حلال و هم قسم حرام وجود دارد. </w:t>
      </w:r>
      <w:r w:rsidR="0034196C">
        <w:rPr>
          <w:rFonts w:hint="cs"/>
          <w:sz w:val="28"/>
          <w:szCs w:val="28"/>
          <w:rtl/>
          <w:lang w:bidi="fa-IR"/>
        </w:rPr>
        <w:t>بنابر کلام مرحوم شیخ می توان، حدیث حل را شامل شبهات مقرون به علم اجمالی و شبهات بدویه دانست. در شبهات مقرون به علم اجمالی در یک مجموعه هم قسم حلال وجود داشته و هم قسم حرام موجود است اما؛ تعین آنها مورد تردید است. حدیث حل تمام مجموعه را ما دامی که علم تفصیلی به حرام ایجاد نشود، حلال کرده است.</w:t>
      </w:r>
      <w:r w:rsidR="00A40096">
        <w:rPr>
          <w:rFonts w:hint="cs"/>
          <w:sz w:val="28"/>
          <w:szCs w:val="28"/>
          <w:rtl/>
          <w:lang w:bidi="fa-IR"/>
        </w:rPr>
        <w:t xml:space="preserve"> در شبهات مقرون به علم اجمالی، تقسیم به حلال و حرام تقسیم خارجی است و اقسام در خارج وجود دارند.</w:t>
      </w:r>
      <w:r w:rsidR="0034196C">
        <w:rPr>
          <w:rFonts w:hint="cs"/>
          <w:sz w:val="28"/>
          <w:szCs w:val="28"/>
          <w:rtl/>
          <w:lang w:bidi="fa-IR"/>
        </w:rPr>
        <w:t xml:space="preserve"> در شبهات بدویه، </w:t>
      </w:r>
      <w:r w:rsidR="001928F7">
        <w:rPr>
          <w:rFonts w:hint="cs"/>
          <w:sz w:val="28"/>
          <w:szCs w:val="28"/>
          <w:rtl/>
          <w:lang w:bidi="fa-IR"/>
        </w:rPr>
        <w:t xml:space="preserve">تقسیم ذهنی و اقسام در عالم ذهن است. در شبهات بدویه بعضی افراد جنس واحد حلال بوده و برخی حرام است. </w:t>
      </w:r>
      <w:r w:rsidR="000D3066">
        <w:rPr>
          <w:rFonts w:hint="cs"/>
          <w:sz w:val="28"/>
          <w:szCs w:val="28"/>
          <w:rtl/>
          <w:lang w:bidi="fa-IR"/>
        </w:rPr>
        <w:t>مثلا لحم دو قسم حلال و حرام دارد و ما نمی دانیم که فلان لحم خاص جزو اقسام حلال است یا جزو اقسام حلال. طبق حدیث حلّ تمام اقسام مشکوک مادامی که علم به حرمت ایجاد نشود، حلال است. در نتیجه معنای حدیث حل</w:t>
      </w:r>
      <w:r w:rsidR="00EE61E3">
        <w:rPr>
          <w:rFonts w:hint="cs"/>
          <w:sz w:val="28"/>
          <w:szCs w:val="28"/>
          <w:rtl/>
          <w:lang w:bidi="fa-IR"/>
        </w:rPr>
        <w:t>ّ</w:t>
      </w:r>
      <w:r w:rsidR="000D3066">
        <w:rPr>
          <w:rFonts w:hint="cs"/>
          <w:sz w:val="28"/>
          <w:szCs w:val="28"/>
          <w:rtl/>
          <w:lang w:bidi="fa-IR"/>
        </w:rPr>
        <w:t xml:space="preserve"> این </w:t>
      </w:r>
      <w:r w:rsidR="000D3066">
        <w:rPr>
          <w:rFonts w:hint="cs"/>
          <w:sz w:val="28"/>
          <w:szCs w:val="28"/>
          <w:rtl/>
          <w:lang w:bidi="fa-IR"/>
        </w:rPr>
        <w:lastRenderedPageBreak/>
        <w:t>است که «</w:t>
      </w:r>
      <w:r w:rsidR="002E0D6C" w:rsidRPr="00B10F9E">
        <w:rPr>
          <w:rFonts w:hint="cs"/>
          <w:sz w:val="28"/>
          <w:szCs w:val="28"/>
          <w:rtl/>
          <w:lang w:bidi="fa-IR"/>
        </w:rPr>
        <w:t xml:space="preserve"> کل کلیٍّ تحته قسمان احدهما حلال و ثانیهما حرام</w:t>
      </w:r>
      <w:r w:rsidR="00EE61E3">
        <w:rPr>
          <w:rFonts w:hint="cs"/>
          <w:sz w:val="28"/>
          <w:szCs w:val="28"/>
          <w:rtl/>
          <w:lang w:bidi="fa-IR"/>
        </w:rPr>
        <w:t xml:space="preserve"> فهو حلال حتی تعرف الحرام تفصیلا</w:t>
      </w:r>
      <w:r w:rsidR="000D3066">
        <w:rPr>
          <w:rFonts w:hint="cs"/>
          <w:sz w:val="28"/>
          <w:szCs w:val="28"/>
          <w:rtl/>
          <w:lang w:bidi="fa-IR"/>
        </w:rPr>
        <w:t>»</w:t>
      </w:r>
      <w:r w:rsidR="002E0D6C" w:rsidRPr="00B10F9E">
        <w:rPr>
          <w:rFonts w:hint="cs"/>
          <w:sz w:val="28"/>
          <w:szCs w:val="28"/>
          <w:rtl/>
          <w:lang w:bidi="fa-IR"/>
        </w:rPr>
        <w:t xml:space="preserve"> </w:t>
      </w:r>
      <w:r w:rsidR="00EE61E3">
        <w:rPr>
          <w:rFonts w:hint="cs"/>
          <w:sz w:val="28"/>
          <w:szCs w:val="28"/>
          <w:rtl/>
          <w:lang w:bidi="fa-IR"/>
        </w:rPr>
        <w:t xml:space="preserve">مطابق هر دو تفسیر، روایت مختص به شبهه موضوعیه بوده و </w:t>
      </w:r>
      <w:r w:rsidR="005766CA">
        <w:rPr>
          <w:rFonts w:hint="cs"/>
          <w:sz w:val="28"/>
          <w:szCs w:val="28"/>
          <w:rtl/>
          <w:lang w:bidi="fa-IR"/>
        </w:rPr>
        <w:t xml:space="preserve">شبهات حکمیه را شامل نخواهد بود. </w:t>
      </w:r>
    </w:p>
    <w:p w:rsidR="005766CA" w:rsidRDefault="005766CA" w:rsidP="00A40096">
      <w:pPr>
        <w:rPr>
          <w:sz w:val="28"/>
          <w:szCs w:val="28"/>
          <w:rtl/>
          <w:lang w:bidi="fa-IR"/>
        </w:rPr>
      </w:pPr>
      <w:r>
        <w:rPr>
          <w:rFonts w:hint="cs"/>
          <w:sz w:val="28"/>
          <w:szCs w:val="28"/>
          <w:rtl/>
          <w:lang w:bidi="fa-IR"/>
        </w:rPr>
        <w:t>بله بر فرض شمول حدیث حلّ نسبت به شبهات مقرون به علم اجمالی، باید حدیث حلّ را با توجه به سایر روایات به شبهات غیر محصوره اختصاص داد و در شبهات محصور احتیاط کرد.</w:t>
      </w:r>
    </w:p>
    <w:p w:rsidR="009E6E78" w:rsidRDefault="009E6E78" w:rsidP="001C54E4">
      <w:pPr>
        <w:pStyle w:val="Heading3"/>
        <w:rPr>
          <w:rtl/>
        </w:rPr>
      </w:pPr>
      <w:r>
        <w:rPr>
          <w:rFonts w:hint="cs"/>
          <w:rtl/>
        </w:rPr>
        <w:t>پاسخ به اشکال مرحوم شیخ</w:t>
      </w:r>
    </w:p>
    <w:p w:rsidR="0006116C" w:rsidRDefault="00F02AF5" w:rsidP="001C54E4">
      <w:pPr>
        <w:rPr>
          <w:sz w:val="28"/>
          <w:szCs w:val="28"/>
          <w:rtl/>
          <w:lang w:bidi="fa-IR"/>
        </w:rPr>
      </w:pPr>
      <w:r>
        <w:rPr>
          <w:rFonts w:hint="cs"/>
          <w:sz w:val="28"/>
          <w:szCs w:val="28"/>
          <w:rtl/>
          <w:lang w:bidi="fa-IR"/>
        </w:rPr>
        <w:t>برخی به این اشکال پاسخ داده اند که در شبهات حکمیه نیز می توان قسم حلال و حرام را تصویر کرد.</w:t>
      </w:r>
      <w:r w:rsidR="002E0D6C" w:rsidRPr="00B10F9E">
        <w:rPr>
          <w:rFonts w:hint="cs"/>
          <w:sz w:val="28"/>
          <w:szCs w:val="28"/>
          <w:rtl/>
          <w:lang w:bidi="fa-IR"/>
        </w:rPr>
        <w:t xml:space="preserve"> مثلا </w:t>
      </w:r>
      <w:r>
        <w:rPr>
          <w:rFonts w:hint="cs"/>
          <w:sz w:val="28"/>
          <w:szCs w:val="28"/>
          <w:rtl/>
          <w:lang w:bidi="fa-IR"/>
        </w:rPr>
        <w:t xml:space="preserve">در لحم، </w:t>
      </w:r>
      <w:r w:rsidR="002E0D6C" w:rsidRPr="00B10F9E">
        <w:rPr>
          <w:rFonts w:hint="cs"/>
          <w:sz w:val="28"/>
          <w:szCs w:val="28"/>
          <w:rtl/>
          <w:lang w:bidi="fa-IR"/>
        </w:rPr>
        <w:t xml:space="preserve">لحم الغنم </w:t>
      </w:r>
      <w:r>
        <w:rPr>
          <w:rFonts w:hint="cs"/>
          <w:sz w:val="28"/>
          <w:szCs w:val="28"/>
          <w:rtl/>
          <w:lang w:bidi="fa-IR"/>
        </w:rPr>
        <w:t xml:space="preserve">حلال بوده و لحم الخنزیر حرام می باشد و در لحم الحمیر شک داریم. </w:t>
      </w:r>
      <w:r w:rsidR="0006116C">
        <w:rPr>
          <w:rFonts w:hint="cs"/>
          <w:sz w:val="28"/>
          <w:szCs w:val="28"/>
          <w:rtl/>
          <w:lang w:bidi="fa-IR"/>
        </w:rPr>
        <w:t xml:space="preserve">پس می توان با تمسک به حدیث حل، لحم الحمیر را حلال دانست. </w:t>
      </w:r>
    </w:p>
    <w:p w:rsidR="009E6E78" w:rsidRDefault="009E6E78" w:rsidP="001C54E4">
      <w:pPr>
        <w:pStyle w:val="Heading3"/>
        <w:rPr>
          <w:rtl/>
        </w:rPr>
      </w:pPr>
      <w:r>
        <w:rPr>
          <w:rFonts w:hint="cs"/>
          <w:rtl/>
        </w:rPr>
        <w:t>جواب مرحوم شیخ به پاسخ</w:t>
      </w:r>
    </w:p>
    <w:p w:rsidR="001C54E4" w:rsidRDefault="001C54E4" w:rsidP="001C54E4">
      <w:pPr>
        <w:rPr>
          <w:rtl/>
          <w:lang w:bidi="fa-IR"/>
        </w:rPr>
      </w:pPr>
      <w:r w:rsidRPr="00B10F9E">
        <w:rPr>
          <w:rFonts w:hint="cs"/>
          <w:sz w:val="28"/>
          <w:szCs w:val="28"/>
          <w:rtl/>
          <w:lang w:bidi="fa-IR"/>
        </w:rPr>
        <w:t xml:space="preserve">مرحوم شیخ </w:t>
      </w:r>
      <w:r>
        <w:rPr>
          <w:rFonts w:hint="cs"/>
          <w:sz w:val="28"/>
          <w:szCs w:val="28"/>
          <w:rtl/>
          <w:lang w:bidi="fa-IR"/>
        </w:rPr>
        <w:t>در پاسخ به این بیان دو مطلب را بیان داشته اند.</w:t>
      </w:r>
    </w:p>
    <w:p w:rsidR="001C54E4" w:rsidRPr="001C54E4" w:rsidRDefault="001C54E4" w:rsidP="001C54E4">
      <w:pPr>
        <w:pStyle w:val="Heading4"/>
        <w:rPr>
          <w:rtl/>
        </w:rPr>
      </w:pPr>
      <w:r w:rsidRPr="001C54E4">
        <w:rPr>
          <w:rFonts w:hint="cs"/>
          <w:rtl/>
        </w:rPr>
        <w:t>پاسخ اول: منشأییت وجود قسم حلال و حرام در شک در حکم</w:t>
      </w:r>
    </w:p>
    <w:p w:rsidR="001C54E4" w:rsidRDefault="0006116C" w:rsidP="00FD3402">
      <w:pPr>
        <w:rPr>
          <w:sz w:val="28"/>
          <w:szCs w:val="28"/>
          <w:rtl/>
          <w:lang w:bidi="fa-IR"/>
        </w:rPr>
      </w:pPr>
      <w:r>
        <w:rPr>
          <w:rFonts w:hint="cs"/>
          <w:sz w:val="28"/>
          <w:szCs w:val="28"/>
          <w:rtl/>
          <w:lang w:bidi="fa-IR"/>
        </w:rPr>
        <w:t xml:space="preserve">در پاسخ اول، مطرح می کنند: ظاهر </w:t>
      </w:r>
      <w:r w:rsidR="0025500F">
        <w:rPr>
          <w:rFonts w:hint="cs"/>
          <w:sz w:val="28"/>
          <w:szCs w:val="28"/>
          <w:rtl/>
          <w:lang w:bidi="fa-IR"/>
        </w:rPr>
        <w:t>«</w:t>
      </w:r>
      <w:r w:rsidR="00584A93" w:rsidRPr="00B10F9E">
        <w:rPr>
          <w:rFonts w:hint="cs"/>
          <w:sz w:val="28"/>
          <w:szCs w:val="28"/>
          <w:rtl/>
          <w:lang w:bidi="fa-IR"/>
        </w:rPr>
        <w:t>کل شیء فیه حلال و حرام</w:t>
      </w:r>
      <w:r w:rsidR="0025500F">
        <w:rPr>
          <w:rFonts w:hint="cs"/>
          <w:sz w:val="28"/>
          <w:szCs w:val="28"/>
          <w:rtl/>
          <w:lang w:bidi="fa-IR"/>
        </w:rPr>
        <w:t>»</w:t>
      </w:r>
      <w:r w:rsidR="00584A93" w:rsidRPr="00B10F9E">
        <w:rPr>
          <w:rFonts w:hint="cs"/>
          <w:sz w:val="28"/>
          <w:szCs w:val="28"/>
          <w:rtl/>
          <w:lang w:bidi="fa-IR"/>
        </w:rPr>
        <w:t xml:space="preserve"> این است که منشأ شک در حلیت شیء</w:t>
      </w:r>
      <w:r>
        <w:rPr>
          <w:rFonts w:hint="cs"/>
          <w:sz w:val="28"/>
          <w:szCs w:val="28"/>
          <w:rtl/>
          <w:lang w:bidi="fa-IR"/>
        </w:rPr>
        <w:t xml:space="preserve"> مشکوک،</w:t>
      </w:r>
      <w:r w:rsidR="00584A93" w:rsidRPr="00B10F9E">
        <w:rPr>
          <w:rFonts w:hint="cs"/>
          <w:sz w:val="28"/>
          <w:szCs w:val="28"/>
          <w:rtl/>
          <w:lang w:bidi="fa-IR"/>
        </w:rPr>
        <w:t xml:space="preserve"> وجود دو قسم حلال و حرام است. </w:t>
      </w:r>
      <w:r>
        <w:rPr>
          <w:rFonts w:hint="cs"/>
          <w:sz w:val="28"/>
          <w:szCs w:val="28"/>
          <w:rtl/>
          <w:lang w:bidi="fa-IR"/>
        </w:rPr>
        <w:t xml:space="preserve">در حالی که در لحم الحمیر منشأ شک حلت لحم الغنم و حرمت لحم الخنزیر نیست. </w:t>
      </w:r>
    </w:p>
    <w:p w:rsidR="001C54E4" w:rsidRDefault="001C54E4" w:rsidP="001C54E4">
      <w:pPr>
        <w:pStyle w:val="Heading4"/>
        <w:rPr>
          <w:rtl/>
        </w:rPr>
      </w:pPr>
      <w:r>
        <w:rPr>
          <w:rFonts w:hint="cs"/>
          <w:rtl/>
        </w:rPr>
        <w:t xml:space="preserve">پاسخ دوم: دقت در غایت حلیت </w:t>
      </w:r>
    </w:p>
    <w:p w:rsidR="00FD3402" w:rsidRDefault="0025500F" w:rsidP="00FD3402">
      <w:pPr>
        <w:rPr>
          <w:sz w:val="28"/>
          <w:szCs w:val="28"/>
          <w:rtl/>
          <w:lang w:bidi="fa-IR"/>
        </w:rPr>
      </w:pPr>
      <w:r>
        <w:rPr>
          <w:rFonts w:hint="cs"/>
          <w:sz w:val="28"/>
          <w:szCs w:val="28"/>
          <w:rtl/>
          <w:lang w:bidi="fa-IR"/>
        </w:rPr>
        <w:t xml:space="preserve">ایشان در پاسخ دوم می فرمایند: «حتی تعرف الحرام منه بعینه» غایت حلیت را تعیین همان قسم حرام موجود دانسته است. حال </w:t>
      </w:r>
      <w:r w:rsidR="00FD3402">
        <w:rPr>
          <w:rFonts w:hint="cs"/>
          <w:sz w:val="28"/>
          <w:szCs w:val="28"/>
          <w:rtl/>
          <w:lang w:bidi="fa-IR"/>
        </w:rPr>
        <w:t xml:space="preserve">آیا </w:t>
      </w:r>
      <w:r>
        <w:rPr>
          <w:rFonts w:hint="cs"/>
          <w:sz w:val="28"/>
          <w:szCs w:val="28"/>
          <w:rtl/>
          <w:lang w:bidi="fa-IR"/>
        </w:rPr>
        <w:t xml:space="preserve">در لحم الحمیر - بر فرض حرمت - بعد از علم به حرمت، قسم حرام موجود که لحم الخنزیر باشد، معلوم شده است؟ </w:t>
      </w:r>
      <w:r w:rsidR="00FD3402">
        <w:rPr>
          <w:rFonts w:hint="cs"/>
          <w:sz w:val="28"/>
          <w:szCs w:val="28"/>
          <w:rtl/>
          <w:lang w:bidi="fa-IR"/>
        </w:rPr>
        <w:t>آیا می توان بیان داشت که حلیت لحم الحمیر مغیی به علم به حرمت لحم الخنزیر است؟</w:t>
      </w:r>
      <w:r w:rsidR="00FD3402">
        <w:rPr>
          <w:rStyle w:val="FootnoteReference"/>
          <w:sz w:val="28"/>
          <w:szCs w:val="28"/>
          <w:rtl/>
          <w:lang w:bidi="fa-IR"/>
        </w:rPr>
        <w:footnoteReference w:id="7"/>
      </w:r>
      <w:r w:rsidR="00FD3402">
        <w:rPr>
          <w:rFonts w:hint="cs"/>
          <w:sz w:val="28"/>
          <w:szCs w:val="28"/>
          <w:rtl/>
          <w:lang w:bidi="fa-IR"/>
        </w:rPr>
        <w:t xml:space="preserve"> </w:t>
      </w:r>
      <w:r w:rsidR="00584A93" w:rsidRPr="00B10F9E">
        <w:rPr>
          <w:rFonts w:hint="cs"/>
          <w:sz w:val="28"/>
          <w:szCs w:val="28"/>
          <w:rtl/>
          <w:lang w:bidi="fa-IR"/>
        </w:rPr>
        <w:t xml:space="preserve"> </w:t>
      </w:r>
    </w:p>
    <w:p w:rsidR="001C54E4" w:rsidRDefault="00FD3402" w:rsidP="009E6E78">
      <w:pPr>
        <w:rPr>
          <w:sz w:val="28"/>
          <w:szCs w:val="28"/>
          <w:rtl/>
          <w:lang w:bidi="fa-IR"/>
        </w:rPr>
      </w:pPr>
      <w:r>
        <w:rPr>
          <w:rFonts w:hint="cs"/>
          <w:sz w:val="28"/>
          <w:szCs w:val="28"/>
          <w:rtl/>
          <w:lang w:bidi="fa-IR"/>
        </w:rPr>
        <w:t>حاج شیخ د</w:t>
      </w:r>
      <w:r w:rsidR="00D505D8">
        <w:rPr>
          <w:rFonts w:hint="cs"/>
          <w:sz w:val="28"/>
          <w:szCs w:val="28"/>
          <w:rtl/>
          <w:lang w:bidi="fa-IR"/>
        </w:rPr>
        <w:t>ر درر و آقای اراکی در اصول الفق</w:t>
      </w:r>
      <w:r>
        <w:rPr>
          <w:rFonts w:hint="cs"/>
          <w:sz w:val="28"/>
          <w:szCs w:val="28"/>
          <w:rtl/>
          <w:lang w:bidi="fa-IR"/>
        </w:rPr>
        <w:t xml:space="preserve">ه </w:t>
      </w:r>
      <w:r w:rsidR="00D505D8">
        <w:rPr>
          <w:rFonts w:hint="cs"/>
          <w:sz w:val="28"/>
          <w:szCs w:val="28"/>
          <w:rtl/>
          <w:lang w:bidi="fa-IR"/>
        </w:rPr>
        <w:t xml:space="preserve">مفصل درباره پاسخ </w:t>
      </w:r>
      <w:r w:rsidR="009E6E78">
        <w:rPr>
          <w:rFonts w:hint="cs"/>
          <w:sz w:val="28"/>
          <w:szCs w:val="28"/>
          <w:rtl/>
          <w:lang w:bidi="fa-IR"/>
        </w:rPr>
        <w:t xml:space="preserve">اول و </w:t>
      </w:r>
      <w:r w:rsidR="00D505D8">
        <w:rPr>
          <w:rFonts w:hint="cs"/>
          <w:sz w:val="28"/>
          <w:szCs w:val="28"/>
          <w:rtl/>
          <w:lang w:bidi="fa-IR"/>
        </w:rPr>
        <w:t>دوم مرحوم شیخ بحث کرده اند. در</w:t>
      </w:r>
      <w:r w:rsidR="009E6E78">
        <w:rPr>
          <w:rFonts w:hint="cs"/>
          <w:sz w:val="28"/>
          <w:szCs w:val="28"/>
          <w:rtl/>
          <w:lang w:bidi="fa-IR"/>
        </w:rPr>
        <w:t xml:space="preserve"> این مجال عمدتا کلام حاج شیخ درباره اشکال اول،</w:t>
      </w:r>
      <w:r w:rsidR="00D505D8">
        <w:rPr>
          <w:rFonts w:hint="cs"/>
          <w:sz w:val="28"/>
          <w:szCs w:val="28"/>
          <w:rtl/>
          <w:lang w:bidi="fa-IR"/>
        </w:rPr>
        <w:t xml:space="preserve"> نقل و بررسی می گردد. </w:t>
      </w:r>
    </w:p>
    <w:p w:rsidR="001C54E4" w:rsidRDefault="001C54E4" w:rsidP="00397D7F">
      <w:pPr>
        <w:pStyle w:val="Heading5"/>
        <w:rPr>
          <w:rtl/>
        </w:rPr>
      </w:pPr>
      <w:r>
        <w:rPr>
          <w:rFonts w:hint="cs"/>
          <w:rtl/>
        </w:rPr>
        <w:lastRenderedPageBreak/>
        <w:t xml:space="preserve">پاسخ حاج شیخ به اشکال اول </w:t>
      </w:r>
    </w:p>
    <w:p w:rsidR="00A80CD4" w:rsidRDefault="00DB2421" w:rsidP="00A80CD4">
      <w:pPr>
        <w:rPr>
          <w:sz w:val="28"/>
          <w:szCs w:val="28"/>
          <w:rtl/>
          <w:lang w:bidi="fa-IR"/>
        </w:rPr>
      </w:pPr>
      <w:r w:rsidRPr="00B10F9E">
        <w:rPr>
          <w:rFonts w:hint="cs"/>
          <w:sz w:val="28"/>
          <w:szCs w:val="28"/>
          <w:rtl/>
          <w:lang w:bidi="fa-IR"/>
        </w:rPr>
        <w:t xml:space="preserve">مرحوم شیخ </w:t>
      </w:r>
      <w:r w:rsidR="00654DC1">
        <w:rPr>
          <w:rFonts w:hint="cs"/>
          <w:sz w:val="28"/>
          <w:szCs w:val="28"/>
          <w:rtl/>
          <w:lang w:bidi="fa-IR"/>
        </w:rPr>
        <w:t xml:space="preserve">اشکال کرده بودند که ظاهر دلیل این است که </w:t>
      </w:r>
      <w:r w:rsidRPr="00B10F9E">
        <w:rPr>
          <w:rFonts w:hint="cs"/>
          <w:sz w:val="28"/>
          <w:szCs w:val="28"/>
          <w:rtl/>
          <w:lang w:bidi="fa-IR"/>
        </w:rPr>
        <w:t>منشأ شک ما در حلیت و حرمت</w:t>
      </w:r>
      <w:r w:rsidR="00654DC1">
        <w:rPr>
          <w:rFonts w:hint="cs"/>
          <w:sz w:val="28"/>
          <w:szCs w:val="28"/>
          <w:rtl/>
          <w:lang w:bidi="fa-IR"/>
        </w:rPr>
        <w:t>،</w:t>
      </w:r>
      <w:r w:rsidRPr="00B10F9E">
        <w:rPr>
          <w:rFonts w:hint="cs"/>
          <w:sz w:val="28"/>
          <w:szCs w:val="28"/>
          <w:rtl/>
          <w:lang w:bidi="fa-IR"/>
        </w:rPr>
        <w:t xml:space="preserve"> وجود </w:t>
      </w:r>
      <w:r w:rsidR="00654DC1">
        <w:rPr>
          <w:rFonts w:hint="cs"/>
          <w:sz w:val="28"/>
          <w:szCs w:val="28"/>
          <w:rtl/>
          <w:lang w:bidi="fa-IR"/>
        </w:rPr>
        <w:t xml:space="preserve">دو قسم حلال و حرام است و در شبهات حکمیه منشأ شک در حلیت، </w:t>
      </w:r>
      <w:r w:rsidR="00A80CD4">
        <w:rPr>
          <w:rFonts w:hint="cs"/>
          <w:sz w:val="28"/>
          <w:szCs w:val="28"/>
          <w:rtl/>
          <w:lang w:bidi="fa-IR"/>
        </w:rPr>
        <w:t>فقدان نص</w:t>
      </w:r>
      <w:r w:rsidR="00654DC1">
        <w:rPr>
          <w:rFonts w:hint="cs"/>
          <w:sz w:val="28"/>
          <w:szCs w:val="28"/>
          <w:rtl/>
          <w:lang w:bidi="fa-IR"/>
        </w:rPr>
        <w:t xml:space="preserve"> یا اجمال </w:t>
      </w:r>
      <w:r w:rsidR="00A80CD4">
        <w:rPr>
          <w:rFonts w:hint="cs"/>
          <w:sz w:val="28"/>
          <w:szCs w:val="28"/>
          <w:rtl/>
          <w:lang w:bidi="fa-IR"/>
        </w:rPr>
        <w:t>نص</w:t>
      </w:r>
      <w:r w:rsidR="00654DC1">
        <w:rPr>
          <w:rFonts w:hint="cs"/>
          <w:sz w:val="28"/>
          <w:szCs w:val="28"/>
          <w:rtl/>
          <w:lang w:bidi="fa-IR"/>
        </w:rPr>
        <w:t xml:space="preserve"> یا تعارض نصوص است نه</w:t>
      </w:r>
      <w:r w:rsidRPr="00B10F9E">
        <w:rPr>
          <w:rFonts w:hint="cs"/>
          <w:sz w:val="28"/>
          <w:szCs w:val="28"/>
          <w:rtl/>
          <w:lang w:bidi="fa-IR"/>
        </w:rPr>
        <w:t xml:space="preserve"> وجود قسمین</w:t>
      </w:r>
      <w:r w:rsidR="00654DC1">
        <w:rPr>
          <w:rFonts w:hint="cs"/>
          <w:sz w:val="28"/>
          <w:szCs w:val="28"/>
          <w:rtl/>
          <w:lang w:bidi="fa-IR"/>
        </w:rPr>
        <w:t xml:space="preserve">. </w:t>
      </w:r>
    </w:p>
    <w:p w:rsidR="00E47025" w:rsidRDefault="00DB2421" w:rsidP="00E47025">
      <w:pPr>
        <w:rPr>
          <w:sz w:val="28"/>
          <w:szCs w:val="28"/>
          <w:rtl/>
          <w:lang w:bidi="fa-IR"/>
        </w:rPr>
      </w:pPr>
      <w:r w:rsidRPr="00B10F9E">
        <w:rPr>
          <w:rFonts w:hint="cs"/>
          <w:sz w:val="28"/>
          <w:szCs w:val="28"/>
          <w:rtl/>
          <w:lang w:bidi="fa-IR"/>
        </w:rPr>
        <w:t xml:space="preserve">مرحوم حاج شیخ </w:t>
      </w:r>
      <w:r w:rsidR="00A80CD4">
        <w:rPr>
          <w:rFonts w:hint="cs"/>
          <w:sz w:val="28"/>
          <w:szCs w:val="28"/>
          <w:rtl/>
          <w:lang w:bidi="fa-IR"/>
        </w:rPr>
        <w:t xml:space="preserve">در پاسخ می فرمایند: </w:t>
      </w:r>
      <w:r w:rsidR="00446D8E">
        <w:rPr>
          <w:rFonts w:hint="cs"/>
          <w:sz w:val="28"/>
          <w:szCs w:val="28"/>
          <w:rtl/>
          <w:lang w:bidi="fa-IR"/>
        </w:rPr>
        <w:t>همانگونه که</w:t>
      </w:r>
      <w:r w:rsidR="00A80CD4">
        <w:rPr>
          <w:rFonts w:hint="cs"/>
          <w:sz w:val="28"/>
          <w:szCs w:val="28"/>
          <w:rtl/>
          <w:lang w:bidi="fa-IR"/>
        </w:rPr>
        <w:t xml:space="preserve"> </w:t>
      </w:r>
      <w:r w:rsidR="00446D8E">
        <w:rPr>
          <w:rFonts w:hint="cs"/>
          <w:sz w:val="28"/>
          <w:szCs w:val="28"/>
          <w:rtl/>
          <w:lang w:bidi="fa-IR"/>
        </w:rPr>
        <w:t xml:space="preserve">فقدان نص یا اجمال نص یا تعارض نصوص می تواند </w:t>
      </w:r>
      <w:r w:rsidR="00A80CD4">
        <w:rPr>
          <w:rFonts w:hint="cs"/>
          <w:sz w:val="28"/>
          <w:szCs w:val="28"/>
          <w:rtl/>
          <w:lang w:bidi="fa-IR"/>
        </w:rPr>
        <w:t>منشأ شک در شبهات حکمیه</w:t>
      </w:r>
      <w:r w:rsidR="00A80CD4" w:rsidRPr="00B10F9E">
        <w:rPr>
          <w:rFonts w:hint="cs"/>
          <w:sz w:val="28"/>
          <w:szCs w:val="28"/>
          <w:rtl/>
          <w:lang w:bidi="fa-IR"/>
        </w:rPr>
        <w:t xml:space="preserve"> </w:t>
      </w:r>
      <w:r w:rsidR="00446D8E">
        <w:rPr>
          <w:rFonts w:hint="cs"/>
          <w:sz w:val="28"/>
          <w:szCs w:val="28"/>
          <w:rtl/>
          <w:lang w:bidi="fa-IR"/>
        </w:rPr>
        <w:t xml:space="preserve">باشد، </w:t>
      </w:r>
      <w:r w:rsidR="00A80CD4">
        <w:rPr>
          <w:rFonts w:hint="cs"/>
          <w:sz w:val="28"/>
          <w:szCs w:val="28"/>
          <w:rtl/>
          <w:lang w:bidi="fa-IR"/>
        </w:rPr>
        <w:t xml:space="preserve">وجود دو قسم حلال و حرام </w:t>
      </w:r>
      <w:r w:rsidR="00446D8E">
        <w:rPr>
          <w:rFonts w:hint="cs"/>
          <w:sz w:val="28"/>
          <w:szCs w:val="28"/>
          <w:rtl/>
          <w:lang w:bidi="fa-IR"/>
        </w:rPr>
        <w:t xml:space="preserve">نیز می تواند </w:t>
      </w:r>
      <w:r w:rsidR="00A80CD4">
        <w:rPr>
          <w:rFonts w:hint="cs"/>
          <w:sz w:val="28"/>
          <w:szCs w:val="28"/>
          <w:rtl/>
          <w:lang w:bidi="fa-IR"/>
        </w:rPr>
        <w:t xml:space="preserve">منشأ شک </w:t>
      </w:r>
      <w:r w:rsidR="00446D8E">
        <w:rPr>
          <w:rFonts w:hint="cs"/>
          <w:sz w:val="28"/>
          <w:szCs w:val="28"/>
          <w:rtl/>
          <w:lang w:bidi="fa-IR"/>
        </w:rPr>
        <w:t>باشد</w:t>
      </w:r>
      <w:r w:rsidR="00A80CD4">
        <w:rPr>
          <w:rFonts w:hint="cs"/>
          <w:sz w:val="28"/>
          <w:szCs w:val="28"/>
          <w:rtl/>
          <w:lang w:bidi="fa-IR"/>
        </w:rPr>
        <w:t>. ایشان بر این مدعا تنظیری داشته و می فرمایند: مثلا اگر جنس انس</w:t>
      </w:r>
      <w:r w:rsidR="00CA34C1">
        <w:rPr>
          <w:rFonts w:hint="cs"/>
          <w:sz w:val="28"/>
          <w:szCs w:val="28"/>
          <w:rtl/>
          <w:lang w:bidi="fa-IR"/>
        </w:rPr>
        <w:t>ان قابل اعتماد باشد، در مورد یک فرد خاص نیز علم به معتمد بودن حاصل می شد و در آن شکی نداشتیم. اما چون جنس انسان نه اقتضای اعتماد دارد و نه اقتضای عدم الاعتماد و در خارج نیز برخی از انسان ها مورد اعتماد بوده و به برخی نمی توان اعتماد کرد</w:t>
      </w:r>
      <w:r w:rsidR="00F547AD">
        <w:rPr>
          <w:rFonts w:hint="cs"/>
          <w:sz w:val="28"/>
          <w:szCs w:val="28"/>
          <w:rtl/>
          <w:lang w:bidi="fa-IR"/>
        </w:rPr>
        <w:t>، در این فرد خاص وجود فرد معتمد و فرد غیر قابل اعتماد منشأ تردید شده است.</w:t>
      </w:r>
      <w:r w:rsidR="00446D8E">
        <w:rPr>
          <w:rStyle w:val="FootnoteReference"/>
          <w:sz w:val="28"/>
          <w:szCs w:val="28"/>
          <w:rtl/>
          <w:lang w:bidi="fa-IR"/>
        </w:rPr>
        <w:footnoteReference w:id="8"/>
      </w:r>
      <w:r w:rsidR="00F547AD">
        <w:rPr>
          <w:rFonts w:hint="cs"/>
          <w:sz w:val="28"/>
          <w:szCs w:val="28"/>
          <w:rtl/>
          <w:lang w:bidi="fa-IR"/>
        </w:rPr>
        <w:t xml:space="preserve"> در شک در حلیت یا حرمت لحم نیز همین نکته جاری است. علت این که در حلیت یا حرمت لحمی خاص شک داریم این است که برخی از لحم ها حلال و برخی حرام است. اگر لحم حرام وجود نداشت، </w:t>
      </w:r>
      <w:r w:rsidR="00446D8E">
        <w:rPr>
          <w:rFonts w:hint="cs"/>
          <w:sz w:val="28"/>
          <w:szCs w:val="28"/>
          <w:rtl/>
          <w:lang w:bidi="fa-IR"/>
        </w:rPr>
        <w:t xml:space="preserve">یا دلیل عامی بر حلیت تمام لحوم یا دلیلی عام بر حرمت تمام لحوم داشتیم، </w:t>
      </w:r>
      <w:r w:rsidR="00F547AD">
        <w:rPr>
          <w:rFonts w:hint="cs"/>
          <w:sz w:val="28"/>
          <w:szCs w:val="28"/>
          <w:rtl/>
          <w:lang w:bidi="fa-IR"/>
        </w:rPr>
        <w:t>در حلیت لحمی خاص تردید حاصل نمی شد.</w:t>
      </w:r>
      <w:r w:rsidR="00446D8E">
        <w:rPr>
          <w:rStyle w:val="FootnoteReference"/>
          <w:sz w:val="28"/>
          <w:szCs w:val="28"/>
          <w:rtl/>
          <w:lang w:bidi="fa-IR"/>
        </w:rPr>
        <w:footnoteReference w:id="9"/>
      </w:r>
      <w:r w:rsidR="00F547AD">
        <w:rPr>
          <w:rFonts w:hint="cs"/>
          <w:sz w:val="28"/>
          <w:szCs w:val="28"/>
          <w:rtl/>
          <w:lang w:bidi="fa-IR"/>
        </w:rPr>
        <w:t xml:space="preserve"> </w:t>
      </w:r>
      <w:r w:rsidRPr="00B10F9E">
        <w:rPr>
          <w:rFonts w:hint="cs"/>
          <w:sz w:val="28"/>
          <w:szCs w:val="28"/>
          <w:rtl/>
          <w:lang w:bidi="fa-IR"/>
        </w:rPr>
        <w:t xml:space="preserve">آقای داماد این پاسخ را </w:t>
      </w:r>
      <w:r w:rsidR="00E47025">
        <w:rPr>
          <w:rFonts w:hint="cs"/>
          <w:sz w:val="28"/>
          <w:szCs w:val="28"/>
          <w:rtl/>
          <w:lang w:bidi="fa-IR"/>
        </w:rPr>
        <w:t>نپسندیده</w:t>
      </w:r>
      <w:r w:rsidRPr="00B10F9E">
        <w:rPr>
          <w:rFonts w:hint="cs"/>
          <w:sz w:val="28"/>
          <w:szCs w:val="28"/>
          <w:rtl/>
          <w:lang w:bidi="fa-IR"/>
        </w:rPr>
        <w:t xml:space="preserve"> و در مقام جواب آن بر می آیند </w:t>
      </w:r>
      <w:r w:rsidR="00E47025">
        <w:rPr>
          <w:rFonts w:hint="cs"/>
          <w:sz w:val="28"/>
          <w:szCs w:val="28"/>
          <w:rtl/>
          <w:lang w:bidi="fa-IR"/>
        </w:rPr>
        <w:t>که به آن مراجعه کنید.</w:t>
      </w:r>
      <w:r w:rsidR="00E47025">
        <w:rPr>
          <w:rStyle w:val="FootnoteReference"/>
          <w:sz w:val="28"/>
          <w:szCs w:val="28"/>
          <w:rtl/>
          <w:lang w:bidi="fa-IR"/>
        </w:rPr>
        <w:footnoteReference w:id="10"/>
      </w:r>
    </w:p>
    <w:p w:rsidR="00422784" w:rsidRDefault="00422784" w:rsidP="00C94B25">
      <w:pPr>
        <w:rPr>
          <w:sz w:val="28"/>
          <w:szCs w:val="28"/>
          <w:rtl/>
          <w:lang w:bidi="fa-IR"/>
        </w:rPr>
      </w:pPr>
      <w:r>
        <w:rPr>
          <w:rFonts w:hint="cs"/>
          <w:sz w:val="28"/>
          <w:szCs w:val="28"/>
          <w:rtl/>
          <w:lang w:bidi="fa-IR"/>
        </w:rPr>
        <w:lastRenderedPageBreak/>
        <w:t xml:space="preserve">توضیح کلام حاج شیخ </w:t>
      </w:r>
    </w:p>
    <w:p w:rsidR="00A74C2C" w:rsidRDefault="00A74C2C" w:rsidP="00A74C2C">
      <w:pPr>
        <w:rPr>
          <w:sz w:val="28"/>
          <w:szCs w:val="28"/>
          <w:rtl/>
          <w:lang w:bidi="fa-IR"/>
        </w:rPr>
      </w:pPr>
      <w:r>
        <w:rPr>
          <w:rFonts w:hint="cs"/>
          <w:sz w:val="28"/>
          <w:szCs w:val="28"/>
          <w:rtl/>
          <w:lang w:bidi="fa-IR"/>
        </w:rPr>
        <w:t>کلام مرحوم اراکی در اصول الفقه که ظاهرا تقریر کلام حاج شیخ می باشد، این است:</w:t>
      </w:r>
    </w:p>
    <w:p w:rsidR="00A74C2C" w:rsidRPr="00A74C2C" w:rsidRDefault="000F3B66" w:rsidP="00A74C2C">
      <w:pPr>
        <w:rPr>
          <w:sz w:val="28"/>
          <w:szCs w:val="28"/>
          <w:rtl/>
          <w:lang w:bidi="fa-IR"/>
        </w:rPr>
      </w:pPr>
      <w:r>
        <w:rPr>
          <w:rFonts w:hint="cs"/>
          <w:sz w:val="28"/>
          <w:szCs w:val="28"/>
          <w:rtl/>
          <w:lang w:bidi="fa-IR"/>
        </w:rPr>
        <w:t>«</w:t>
      </w:r>
      <w:r w:rsidR="00A74C2C" w:rsidRPr="00A74C2C">
        <w:rPr>
          <w:sz w:val="28"/>
          <w:szCs w:val="28"/>
          <w:rtl/>
          <w:lang w:bidi="fa-IR"/>
        </w:rPr>
        <w:t>و الحقّ اندفاع كلا الإشكالين، أمّا الأوّل فلأنّ التقييد المذكور لا يكون لغوا، لكونه دخيلا في الموضوع، و ذلك لأنّ الشبهة في لحم الحمار مثلا و إن كانت كما ذكر ناشئة عن عدم النصّ، لكن لا ينافي هذا أن يكون منشأها وجود القسمين الحلال و الحرام، فإنّه لو كان النصّ على حليّة كلّ لحم موجودا لما يكن شكّ في حليّة لحم الحمار، و لو كان النصّ على حرمة كلّ لحم موجودا لم يكن شكّ في حرمة لحم، و لكن لمّا لم يكن شى‏ء من هذين النّصين و إنّما صار بعض اللحوم حراما و بعضها حلالا فهذا أوجب الشكّ في حكم لحم الحمار.</w:t>
      </w:r>
    </w:p>
    <w:p w:rsidR="00A74C2C" w:rsidRPr="00A74C2C" w:rsidRDefault="00A74C2C" w:rsidP="00A74C2C">
      <w:pPr>
        <w:rPr>
          <w:sz w:val="28"/>
          <w:szCs w:val="28"/>
          <w:rtl/>
          <w:lang w:bidi="fa-IR"/>
        </w:rPr>
      </w:pPr>
      <w:r w:rsidRPr="00A74C2C">
        <w:rPr>
          <w:sz w:val="28"/>
          <w:szCs w:val="28"/>
          <w:rtl/>
          <w:lang w:bidi="fa-IR"/>
        </w:rPr>
        <w:t>فهذا نظير ما يقال في العرف: لو كان كلّ أفراد الإنسان أمينا لما شككت في أمانة هذا الشخص، و لو كان كلّ أفراده خائنا ما شككت في خيانة هذا الشخص، و لكن لمّا كان أفراده مختلفة فبعضها أمين و بعضها خائن فلا جرم شككت في أمانة هذا الشخص و خيانته و هذا مطلب صحيح عرفي.</w:t>
      </w:r>
      <w:r w:rsidR="000F3B66">
        <w:rPr>
          <w:rFonts w:hint="cs"/>
          <w:sz w:val="28"/>
          <w:szCs w:val="28"/>
          <w:rtl/>
          <w:lang w:bidi="fa-IR"/>
        </w:rPr>
        <w:t>»</w:t>
      </w:r>
      <w:r>
        <w:rPr>
          <w:rStyle w:val="FootnoteReference"/>
          <w:sz w:val="28"/>
          <w:szCs w:val="28"/>
          <w:rtl/>
          <w:lang w:bidi="fa-IR"/>
        </w:rPr>
        <w:footnoteReference w:id="11"/>
      </w:r>
    </w:p>
    <w:p w:rsidR="003718EB" w:rsidRDefault="00806FBA" w:rsidP="003718EB">
      <w:pPr>
        <w:rPr>
          <w:sz w:val="28"/>
          <w:szCs w:val="28"/>
          <w:rtl/>
          <w:lang w:bidi="fa-IR"/>
        </w:rPr>
      </w:pPr>
      <w:r w:rsidRPr="00B10F9E">
        <w:rPr>
          <w:rFonts w:hint="cs"/>
          <w:sz w:val="28"/>
          <w:szCs w:val="28"/>
          <w:rtl/>
          <w:lang w:bidi="fa-IR"/>
        </w:rPr>
        <w:t xml:space="preserve">ظاهر این دلیل این است که وجود قسمین بما هو هو منشأ شک شده است. </w:t>
      </w:r>
      <w:r w:rsidR="002B10EC">
        <w:rPr>
          <w:rFonts w:hint="cs"/>
          <w:sz w:val="28"/>
          <w:szCs w:val="28"/>
          <w:rtl/>
          <w:lang w:bidi="fa-IR"/>
        </w:rPr>
        <w:t xml:space="preserve">نه این که وجود دو قسم با عدم نص عام ملازمه داشته و فقدان نص منشأ شک می باشد. ممکن است گفته شود: از وجود دو قسم کشف می شود که دلیلی عام بر حلیت یا حرمت وجود نداشته </w:t>
      </w:r>
      <w:r w:rsidR="00D24AEF">
        <w:rPr>
          <w:rFonts w:hint="cs"/>
          <w:sz w:val="28"/>
          <w:szCs w:val="28"/>
          <w:rtl/>
          <w:lang w:bidi="fa-IR"/>
        </w:rPr>
        <w:t>یا ذات جنس اقتضای حلیت یا حرمت نداشته است</w:t>
      </w:r>
      <w:r w:rsidR="00D24AEF">
        <w:rPr>
          <w:rStyle w:val="FootnoteReference"/>
          <w:sz w:val="28"/>
          <w:szCs w:val="28"/>
          <w:rtl/>
          <w:lang w:bidi="fa-IR"/>
        </w:rPr>
        <w:footnoteReference w:id="12"/>
      </w:r>
      <w:r w:rsidR="002B10EC">
        <w:rPr>
          <w:rFonts w:hint="cs"/>
          <w:sz w:val="28"/>
          <w:szCs w:val="28"/>
          <w:rtl/>
          <w:lang w:bidi="fa-IR"/>
        </w:rPr>
        <w:t>و منشأ اصلی شک</w:t>
      </w:r>
      <w:r w:rsidR="00D24AEF">
        <w:rPr>
          <w:rFonts w:hint="cs"/>
          <w:sz w:val="28"/>
          <w:szCs w:val="28"/>
          <w:rtl/>
          <w:lang w:bidi="fa-IR"/>
        </w:rPr>
        <w:t xml:space="preserve"> عدم وجود نص عام </w:t>
      </w:r>
      <w:r w:rsidR="004B536B">
        <w:rPr>
          <w:rFonts w:hint="cs"/>
          <w:sz w:val="28"/>
          <w:szCs w:val="28"/>
          <w:rtl/>
          <w:lang w:bidi="fa-IR"/>
        </w:rPr>
        <w:t xml:space="preserve">یا عدم اقتضای ذاتی </w:t>
      </w:r>
      <w:r w:rsidR="00D24AEF">
        <w:rPr>
          <w:rFonts w:hint="cs"/>
          <w:sz w:val="28"/>
          <w:szCs w:val="28"/>
          <w:rtl/>
          <w:lang w:bidi="fa-IR"/>
        </w:rPr>
        <w:t>است. اما به این خاطر که وجود دو قسم حلال و حرام ملازمه غالبیه</w:t>
      </w:r>
      <w:r w:rsidR="003718EB">
        <w:rPr>
          <w:rStyle w:val="FootnoteReference"/>
          <w:sz w:val="28"/>
          <w:szCs w:val="28"/>
          <w:rtl/>
          <w:lang w:bidi="fa-IR"/>
        </w:rPr>
        <w:footnoteReference w:id="13"/>
      </w:r>
      <w:r w:rsidR="00D24AEF">
        <w:rPr>
          <w:rFonts w:hint="cs"/>
          <w:sz w:val="28"/>
          <w:szCs w:val="28"/>
          <w:rtl/>
          <w:lang w:bidi="fa-IR"/>
        </w:rPr>
        <w:t xml:space="preserve"> با نبود نص عام </w:t>
      </w:r>
      <w:r w:rsidR="00144FC9">
        <w:rPr>
          <w:rFonts w:hint="cs"/>
          <w:sz w:val="28"/>
          <w:szCs w:val="28"/>
          <w:rtl/>
          <w:lang w:bidi="fa-IR"/>
        </w:rPr>
        <w:t xml:space="preserve">و ملازمه دائمیه با عدم اقتضای ذات </w:t>
      </w:r>
      <w:r w:rsidR="00D24AEF">
        <w:rPr>
          <w:rFonts w:hint="cs"/>
          <w:sz w:val="28"/>
          <w:szCs w:val="28"/>
          <w:rtl/>
          <w:lang w:bidi="fa-IR"/>
        </w:rPr>
        <w:t>دارد، وجود دو قسم منشأ شک لحاظ شده است.</w:t>
      </w:r>
      <w:r w:rsidR="001B3C31">
        <w:rPr>
          <w:rFonts w:hint="cs"/>
          <w:sz w:val="28"/>
          <w:szCs w:val="28"/>
          <w:rtl/>
          <w:lang w:bidi="fa-IR"/>
        </w:rPr>
        <w:t xml:space="preserve"> اما این تحلیل بسیار خلاف ظاهر است و به نظر مرحوم حاج شیخ در مقام بیان این است که وجود قسمین بما هو هو منشأ حکم است. </w:t>
      </w:r>
    </w:p>
    <w:p w:rsidR="00B33AE3" w:rsidRDefault="00F253E2" w:rsidP="00993576">
      <w:pPr>
        <w:rPr>
          <w:sz w:val="28"/>
          <w:szCs w:val="28"/>
          <w:rtl/>
          <w:lang w:bidi="fa-IR"/>
        </w:rPr>
      </w:pPr>
      <w:r w:rsidRPr="00B10F9E">
        <w:rPr>
          <w:rFonts w:hint="cs"/>
          <w:sz w:val="28"/>
          <w:szCs w:val="28"/>
          <w:rtl/>
          <w:lang w:bidi="fa-IR"/>
        </w:rPr>
        <w:t xml:space="preserve">مرحوم آقای اراکی </w:t>
      </w:r>
      <w:r w:rsidR="00187565">
        <w:rPr>
          <w:rFonts w:hint="cs"/>
          <w:sz w:val="28"/>
          <w:szCs w:val="28"/>
          <w:rtl/>
          <w:lang w:bidi="fa-IR"/>
        </w:rPr>
        <w:t>و مرحوم</w:t>
      </w:r>
      <w:r w:rsidRPr="00B10F9E">
        <w:rPr>
          <w:rFonts w:hint="cs"/>
          <w:sz w:val="28"/>
          <w:szCs w:val="28"/>
          <w:rtl/>
          <w:lang w:bidi="fa-IR"/>
        </w:rPr>
        <w:t xml:space="preserve"> آقای داماد </w:t>
      </w:r>
      <w:r w:rsidR="00187565">
        <w:rPr>
          <w:rFonts w:hint="cs"/>
          <w:sz w:val="28"/>
          <w:szCs w:val="28"/>
          <w:rtl/>
          <w:lang w:bidi="fa-IR"/>
        </w:rPr>
        <w:t xml:space="preserve">بعد از اشکال و جواب در نهایت، </w:t>
      </w:r>
      <w:r w:rsidRPr="00B10F9E">
        <w:rPr>
          <w:rFonts w:hint="cs"/>
          <w:sz w:val="28"/>
          <w:szCs w:val="28"/>
          <w:rtl/>
          <w:lang w:bidi="fa-IR"/>
        </w:rPr>
        <w:t xml:space="preserve">روایت </w:t>
      </w:r>
      <w:r w:rsidR="00187565">
        <w:rPr>
          <w:rFonts w:hint="cs"/>
          <w:sz w:val="28"/>
          <w:szCs w:val="28"/>
          <w:rtl/>
          <w:lang w:bidi="fa-IR"/>
        </w:rPr>
        <w:t xml:space="preserve">را </w:t>
      </w:r>
      <w:r w:rsidRPr="00B10F9E">
        <w:rPr>
          <w:rFonts w:hint="cs"/>
          <w:sz w:val="28"/>
          <w:szCs w:val="28"/>
          <w:rtl/>
          <w:lang w:bidi="fa-IR"/>
        </w:rPr>
        <w:t xml:space="preserve">ناظر به تقسیم خارجی و ناظر به موارد علم اجمالی </w:t>
      </w:r>
      <w:r w:rsidR="001B55DC">
        <w:rPr>
          <w:rFonts w:hint="cs"/>
          <w:sz w:val="28"/>
          <w:szCs w:val="28"/>
          <w:rtl/>
          <w:lang w:bidi="fa-IR"/>
        </w:rPr>
        <w:t xml:space="preserve">دانسته و عمومیت این حدیث نسبت به تمام شبهات را نپذیرفته اند. </w:t>
      </w:r>
      <w:r w:rsidR="00993576">
        <w:rPr>
          <w:rFonts w:hint="cs"/>
          <w:sz w:val="28"/>
          <w:szCs w:val="28"/>
          <w:rtl/>
          <w:lang w:bidi="fa-IR"/>
        </w:rPr>
        <w:t xml:space="preserve">در نتیجه در دیدگاه ایشان، حدیث حل در برخی از شبهات حکمیه جریان داشته اما به علت عدم قول به فصل نمی توان آن را در تمام شبهات حکمیه سرایت داد.  </w:t>
      </w:r>
      <w:r w:rsidRPr="00B10F9E">
        <w:rPr>
          <w:rFonts w:hint="cs"/>
          <w:sz w:val="28"/>
          <w:szCs w:val="28"/>
          <w:rtl/>
          <w:lang w:bidi="fa-IR"/>
        </w:rPr>
        <w:t xml:space="preserve"> </w:t>
      </w:r>
    </w:p>
    <w:p w:rsidR="00397D7F" w:rsidRDefault="00397D7F" w:rsidP="00397D7F">
      <w:pPr>
        <w:pStyle w:val="Heading3"/>
        <w:rPr>
          <w:rtl/>
        </w:rPr>
      </w:pPr>
      <w:r>
        <w:rPr>
          <w:rFonts w:hint="cs"/>
          <w:rtl/>
        </w:rPr>
        <w:lastRenderedPageBreak/>
        <w:t xml:space="preserve">بررسی پاسخ اول مرحوم شیخ </w:t>
      </w:r>
      <w:r w:rsidR="00F253E2" w:rsidRPr="00B10F9E">
        <w:rPr>
          <w:rFonts w:hint="cs"/>
          <w:rtl/>
        </w:rPr>
        <w:t xml:space="preserve"> </w:t>
      </w:r>
    </w:p>
    <w:p w:rsidR="00562AAB" w:rsidRDefault="003D72C8" w:rsidP="00562AAB">
      <w:pPr>
        <w:rPr>
          <w:rFonts w:hint="cs"/>
          <w:sz w:val="28"/>
          <w:szCs w:val="28"/>
          <w:rtl/>
          <w:lang w:bidi="fa-IR"/>
        </w:rPr>
      </w:pPr>
      <w:r>
        <w:rPr>
          <w:rFonts w:hint="cs"/>
          <w:sz w:val="28"/>
          <w:szCs w:val="28"/>
          <w:rtl/>
          <w:lang w:bidi="fa-IR"/>
        </w:rPr>
        <w:t>با مرور کلام بزرگان در این اشکال روشن می شود که همگی</w:t>
      </w:r>
      <w:r w:rsidR="00F253E2" w:rsidRPr="00B10F9E">
        <w:rPr>
          <w:rFonts w:hint="cs"/>
          <w:sz w:val="28"/>
          <w:szCs w:val="28"/>
          <w:rtl/>
          <w:lang w:bidi="fa-IR"/>
        </w:rPr>
        <w:t xml:space="preserve"> پیش فرضی </w:t>
      </w:r>
      <w:r>
        <w:rPr>
          <w:rFonts w:hint="cs"/>
          <w:sz w:val="28"/>
          <w:szCs w:val="28"/>
          <w:rtl/>
          <w:lang w:bidi="fa-IR"/>
        </w:rPr>
        <w:t>را که مرحوم شیخ در پاسخ به اشکال داشته</w:t>
      </w:r>
      <w:r w:rsidR="00BC47E9">
        <w:rPr>
          <w:rFonts w:hint="cs"/>
          <w:sz w:val="28"/>
          <w:szCs w:val="28"/>
          <w:rtl/>
          <w:lang w:bidi="fa-IR"/>
        </w:rPr>
        <w:t>،</w:t>
      </w:r>
      <w:r>
        <w:rPr>
          <w:rFonts w:hint="cs"/>
          <w:sz w:val="28"/>
          <w:szCs w:val="28"/>
          <w:rtl/>
          <w:lang w:bidi="fa-IR"/>
        </w:rPr>
        <w:t xml:space="preserve"> پذیرف</w:t>
      </w:r>
      <w:r w:rsidR="004A4BB7">
        <w:rPr>
          <w:rFonts w:hint="cs"/>
          <w:sz w:val="28"/>
          <w:szCs w:val="28"/>
          <w:rtl/>
          <w:lang w:bidi="fa-IR"/>
        </w:rPr>
        <w:t xml:space="preserve">ته یا حداقل آن را رد نکرده اند. پیش فرض مرحوم شیخ این است که فیه حلال و حرام برای بیان منشأ شک </w:t>
      </w:r>
      <w:r w:rsidR="00BC47E9">
        <w:rPr>
          <w:rFonts w:hint="cs"/>
          <w:sz w:val="28"/>
          <w:szCs w:val="28"/>
          <w:rtl/>
          <w:lang w:bidi="fa-IR"/>
        </w:rPr>
        <w:t>در حلیت و حرمت است</w:t>
      </w:r>
      <w:r w:rsidR="004A4BB7">
        <w:rPr>
          <w:rFonts w:hint="cs"/>
          <w:sz w:val="28"/>
          <w:szCs w:val="28"/>
          <w:rtl/>
          <w:lang w:bidi="fa-IR"/>
        </w:rPr>
        <w:t xml:space="preserve">. </w:t>
      </w:r>
      <w:r w:rsidR="004A4BB7" w:rsidRPr="00562AAB">
        <w:rPr>
          <w:rFonts w:hint="cs"/>
          <w:sz w:val="28"/>
          <w:szCs w:val="28"/>
          <w:rtl/>
          <w:lang w:bidi="fa-IR"/>
        </w:rPr>
        <w:t>به نظر می رسد؛ فیه حلال و حرام به هیچ وجه برای بیان منشأ شک نیست. زیرا؛ بیان منشأ شک باید حاوی نکته ای بوده و لغو نباشد در حالی که در برائت وجود دو قسم حلال یا حرام و عدم آن به هیچ وجه دخالتی در نتیجه ندارد.</w:t>
      </w:r>
      <w:r w:rsidR="00BC47E9" w:rsidRPr="00562AAB">
        <w:rPr>
          <w:rFonts w:hint="cs"/>
          <w:sz w:val="28"/>
          <w:szCs w:val="28"/>
          <w:rtl/>
          <w:lang w:bidi="fa-IR"/>
        </w:rPr>
        <w:t xml:space="preserve"> اگر موضوعی وجود داشته باشد که دو قسم حلال و حرام ندارد، بازهم شک در حلیت و حرمت آن موضوع وجود داشته و وجود دو قسم حلال و حرام همیشه منشأ شک در حلیت و حرمت نیست.</w:t>
      </w:r>
      <w:r w:rsidR="00BC47E9">
        <w:rPr>
          <w:rFonts w:hint="cs"/>
          <w:sz w:val="28"/>
          <w:szCs w:val="28"/>
          <w:rtl/>
          <w:lang w:bidi="fa-IR"/>
        </w:rPr>
        <w:t xml:space="preserve"> </w:t>
      </w:r>
      <w:r w:rsidR="00227FB7" w:rsidRPr="00B10F9E">
        <w:rPr>
          <w:rFonts w:hint="cs"/>
          <w:sz w:val="28"/>
          <w:szCs w:val="28"/>
          <w:rtl/>
          <w:lang w:bidi="fa-IR"/>
        </w:rPr>
        <w:t>بنابراین ذکر خصوصیتی که هیچ دخالت</w:t>
      </w:r>
      <w:r w:rsidR="00562AAB">
        <w:rPr>
          <w:rFonts w:hint="cs"/>
          <w:sz w:val="28"/>
          <w:szCs w:val="28"/>
          <w:rtl/>
          <w:lang w:bidi="fa-IR"/>
        </w:rPr>
        <w:t>ی</w:t>
      </w:r>
      <w:r w:rsidR="00227FB7" w:rsidRPr="00B10F9E">
        <w:rPr>
          <w:rFonts w:hint="cs"/>
          <w:sz w:val="28"/>
          <w:szCs w:val="28"/>
          <w:rtl/>
          <w:lang w:bidi="fa-IR"/>
        </w:rPr>
        <w:t xml:space="preserve"> در حکم </w:t>
      </w:r>
      <w:r w:rsidR="00562AAB">
        <w:rPr>
          <w:rFonts w:hint="cs"/>
          <w:sz w:val="28"/>
          <w:szCs w:val="28"/>
          <w:rtl/>
          <w:lang w:bidi="fa-IR"/>
        </w:rPr>
        <w:t xml:space="preserve">برائت </w:t>
      </w:r>
      <w:r w:rsidR="00227FB7" w:rsidRPr="00B10F9E">
        <w:rPr>
          <w:rFonts w:hint="cs"/>
          <w:sz w:val="28"/>
          <w:szCs w:val="28"/>
          <w:rtl/>
          <w:lang w:bidi="fa-IR"/>
        </w:rPr>
        <w:t>ندارد</w:t>
      </w:r>
      <w:r w:rsidR="00562AAB">
        <w:rPr>
          <w:rFonts w:hint="cs"/>
          <w:sz w:val="28"/>
          <w:szCs w:val="28"/>
          <w:rtl/>
          <w:lang w:bidi="fa-IR"/>
        </w:rPr>
        <w:t xml:space="preserve">، در موضوع برائت صحیح به نظر نمی آید. </w:t>
      </w:r>
    </w:p>
    <w:p w:rsidR="00562AAB" w:rsidRDefault="00562AAB" w:rsidP="00562AAB">
      <w:pPr>
        <w:pStyle w:val="Heading2"/>
        <w:rPr>
          <w:rFonts w:hint="cs"/>
          <w:rtl/>
        </w:rPr>
      </w:pPr>
      <w:r>
        <w:rPr>
          <w:rFonts w:hint="cs"/>
          <w:rtl/>
        </w:rPr>
        <w:t>مفاد روایت عدم مانعیت علم اجمالی است</w:t>
      </w:r>
    </w:p>
    <w:p w:rsidR="00562AAB" w:rsidRDefault="00227FB7" w:rsidP="00562AAB">
      <w:pPr>
        <w:rPr>
          <w:rFonts w:hint="cs"/>
          <w:sz w:val="28"/>
          <w:szCs w:val="28"/>
          <w:rtl/>
          <w:lang w:bidi="fa-IR"/>
        </w:rPr>
      </w:pPr>
      <w:r w:rsidRPr="00B10F9E">
        <w:rPr>
          <w:rFonts w:hint="cs"/>
          <w:sz w:val="28"/>
          <w:szCs w:val="28"/>
          <w:rtl/>
          <w:lang w:bidi="fa-IR"/>
        </w:rPr>
        <w:t xml:space="preserve"> به نظر می رسد</w:t>
      </w:r>
      <w:r w:rsidR="00562AAB">
        <w:rPr>
          <w:rFonts w:hint="cs"/>
          <w:sz w:val="28"/>
          <w:szCs w:val="28"/>
          <w:rtl/>
          <w:lang w:bidi="fa-IR"/>
        </w:rPr>
        <w:t>؛ با توجه به صدر و ذیل روایت، این روایت در مقام بیان عدم مانعیت علم اجمالی در تمسک به برائت و عدم لزوم احتیاط می باشد. مرحوم حاج شیخ و مرحوم داماد نیز نهایتا این تفسیر را از روایت ارائه داده اند اما ظاهرا بیان آنها با بیانی که ذکر می شود، متفاوت است.</w:t>
      </w:r>
    </w:p>
    <w:p w:rsidR="00562AAB" w:rsidRDefault="00562AAB" w:rsidP="00562AAB">
      <w:pPr>
        <w:rPr>
          <w:rFonts w:hint="cs"/>
          <w:sz w:val="28"/>
          <w:szCs w:val="28"/>
          <w:rtl/>
          <w:lang w:bidi="fa-IR"/>
        </w:rPr>
      </w:pPr>
      <w:r>
        <w:rPr>
          <w:rFonts w:hint="cs"/>
          <w:sz w:val="28"/>
          <w:szCs w:val="28"/>
          <w:rtl/>
          <w:lang w:bidi="fa-IR"/>
        </w:rPr>
        <w:t>توضیح؛ برای تبیین بحث چند نکته را متذکر می شویم.</w:t>
      </w:r>
    </w:p>
    <w:p w:rsidR="00E24C81" w:rsidRDefault="00562AAB" w:rsidP="00562AAB">
      <w:pPr>
        <w:pStyle w:val="ListParagraph"/>
        <w:numPr>
          <w:ilvl w:val="0"/>
          <w:numId w:val="1"/>
        </w:numPr>
        <w:rPr>
          <w:rFonts w:hint="cs"/>
          <w:sz w:val="28"/>
          <w:szCs w:val="28"/>
          <w:lang w:bidi="fa-IR"/>
        </w:rPr>
      </w:pPr>
      <w:r w:rsidRPr="00562AAB">
        <w:rPr>
          <w:rFonts w:hint="cs"/>
          <w:sz w:val="28"/>
          <w:szCs w:val="28"/>
          <w:rtl/>
          <w:lang w:bidi="fa-IR"/>
        </w:rPr>
        <w:t xml:space="preserve">این روایت و چند روایت دیگر به همین مضمون، درباره جبن وارد شده است. در جبن شبهه ای وجود داشته است که برخی از پنیرهای از میبته تهیه می شده اند. </w:t>
      </w:r>
      <w:r w:rsidR="00227FB7" w:rsidRPr="00562AAB">
        <w:rPr>
          <w:rFonts w:hint="cs"/>
          <w:sz w:val="28"/>
          <w:szCs w:val="28"/>
          <w:rtl/>
          <w:lang w:bidi="fa-IR"/>
        </w:rPr>
        <w:t xml:space="preserve">امام علیه السلام </w:t>
      </w:r>
      <w:r w:rsidRPr="00562AAB">
        <w:rPr>
          <w:rFonts w:hint="cs"/>
          <w:sz w:val="28"/>
          <w:szCs w:val="28"/>
          <w:rtl/>
          <w:lang w:bidi="fa-IR"/>
        </w:rPr>
        <w:t xml:space="preserve">در </w:t>
      </w:r>
      <w:r w:rsidR="00227FB7" w:rsidRPr="00562AAB">
        <w:rPr>
          <w:rFonts w:hint="cs"/>
          <w:sz w:val="28"/>
          <w:szCs w:val="28"/>
          <w:rtl/>
          <w:lang w:bidi="fa-IR"/>
        </w:rPr>
        <w:t xml:space="preserve">پاسخ </w:t>
      </w:r>
      <w:r w:rsidRPr="00562AAB">
        <w:rPr>
          <w:rFonts w:hint="cs"/>
          <w:sz w:val="28"/>
          <w:szCs w:val="28"/>
          <w:rtl/>
          <w:lang w:bidi="fa-IR"/>
        </w:rPr>
        <w:t xml:space="preserve">می فرمایند: </w:t>
      </w:r>
      <w:r w:rsidR="00227FB7" w:rsidRPr="00562AAB">
        <w:rPr>
          <w:rFonts w:hint="cs"/>
          <w:sz w:val="28"/>
          <w:szCs w:val="28"/>
          <w:rtl/>
          <w:lang w:bidi="fa-IR"/>
        </w:rPr>
        <w:t xml:space="preserve"> </w:t>
      </w:r>
      <w:r w:rsidRPr="00562AAB">
        <w:rPr>
          <w:rFonts w:hint="cs"/>
          <w:sz w:val="28"/>
          <w:szCs w:val="28"/>
          <w:rtl/>
          <w:lang w:bidi="fa-IR"/>
        </w:rPr>
        <w:t>«</w:t>
      </w:r>
      <w:r w:rsidRPr="00562AAB">
        <w:rPr>
          <w:rFonts w:ascii="NoorLotus" w:hAnsi="NoorLotus" w:hint="cs"/>
          <w:sz w:val="28"/>
          <w:szCs w:val="28"/>
          <w:rtl/>
          <w:lang w:bidi="fa-IR"/>
        </w:rPr>
        <w:t>أَ</w:t>
      </w:r>
      <w:r w:rsidR="00E24C81" w:rsidRPr="00562AAB">
        <w:rPr>
          <w:rFonts w:ascii="NoorLotus" w:hAnsi="NoorLotus" w:hint="cs"/>
          <w:sz w:val="28"/>
          <w:szCs w:val="28"/>
          <w:rtl/>
          <w:lang w:bidi="fa-IR"/>
        </w:rPr>
        <w:t>مِنْ أَجْلِ مَكَانٍ وَاحِدٍ يُجْعَلُ فِيهِ الْمَيْتَةُ حُرِّمَ فِي جَمِيعِ الْأَرَضِينَ</w:t>
      </w:r>
      <w:r w:rsidRPr="00562AAB">
        <w:rPr>
          <w:rFonts w:hint="cs"/>
          <w:sz w:val="28"/>
          <w:szCs w:val="28"/>
          <w:rtl/>
          <w:lang w:bidi="fa-IR"/>
        </w:rPr>
        <w:t>»</w:t>
      </w:r>
      <w:r>
        <w:rPr>
          <w:rStyle w:val="FootnoteReference"/>
          <w:sz w:val="28"/>
          <w:szCs w:val="28"/>
          <w:lang w:bidi="fa-IR"/>
        </w:rPr>
        <w:footnoteReference w:id="14"/>
      </w:r>
    </w:p>
    <w:p w:rsidR="00562AAB" w:rsidRDefault="00562AAB" w:rsidP="00562AAB">
      <w:pPr>
        <w:pStyle w:val="ListParagraph"/>
        <w:numPr>
          <w:ilvl w:val="0"/>
          <w:numId w:val="1"/>
        </w:numPr>
        <w:rPr>
          <w:rFonts w:hint="cs"/>
          <w:sz w:val="28"/>
          <w:szCs w:val="28"/>
          <w:lang w:bidi="fa-IR"/>
        </w:rPr>
      </w:pPr>
      <w:r>
        <w:rPr>
          <w:rFonts w:hint="cs"/>
          <w:sz w:val="28"/>
          <w:szCs w:val="28"/>
          <w:rtl/>
          <w:lang w:bidi="fa-IR"/>
        </w:rPr>
        <w:t>در «تعرف الحرام منه بعینه» غایت حلیت علم تفصیلی به حرام قرار داده شده است.</w:t>
      </w:r>
    </w:p>
    <w:p w:rsidR="00CB1062" w:rsidRDefault="00562AAB" w:rsidP="00CB1062">
      <w:pPr>
        <w:pStyle w:val="ListParagraph"/>
        <w:numPr>
          <w:ilvl w:val="0"/>
          <w:numId w:val="1"/>
        </w:numPr>
        <w:rPr>
          <w:rFonts w:hint="cs"/>
          <w:sz w:val="28"/>
          <w:szCs w:val="28"/>
          <w:lang w:bidi="fa-IR"/>
        </w:rPr>
      </w:pPr>
      <w:r>
        <w:rPr>
          <w:rFonts w:hint="cs"/>
          <w:sz w:val="28"/>
          <w:szCs w:val="28"/>
          <w:rtl/>
          <w:lang w:bidi="fa-IR"/>
        </w:rPr>
        <w:t xml:space="preserve">«فیه حلال و حرام» نمی تواند برای بیان منشأ شک در حلیت و حرمت بوده و ظاهرا برای بیان منشأ توهم لزوم احتیاط می باشد. </w:t>
      </w:r>
      <w:r w:rsidR="00CB1062">
        <w:rPr>
          <w:rFonts w:hint="cs"/>
          <w:sz w:val="28"/>
          <w:szCs w:val="28"/>
          <w:rtl/>
          <w:lang w:bidi="fa-IR"/>
        </w:rPr>
        <w:t xml:space="preserve">ظاهر فیه حلال و حرام صرف وجود حلال و حرام و لو علم به آن وجود نداشته باشد، نیست. فرد روشن فیه حلال و حرام </w:t>
      </w:r>
      <w:r w:rsidR="00CB1062">
        <w:rPr>
          <w:rFonts w:ascii="Times New Roman" w:hAnsi="Times New Roman" w:cs="Times New Roman" w:hint="cs"/>
          <w:sz w:val="28"/>
          <w:szCs w:val="28"/>
          <w:rtl/>
          <w:lang w:bidi="fa-IR"/>
        </w:rPr>
        <w:t>–</w:t>
      </w:r>
      <w:r w:rsidR="00CB1062">
        <w:rPr>
          <w:rFonts w:hint="cs"/>
          <w:sz w:val="28"/>
          <w:szCs w:val="28"/>
          <w:rtl/>
          <w:lang w:bidi="fa-IR"/>
        </w:rPr>
        <w:t xml:space="preserve"> بدین سبب که قید در موضوع بیان شده است -</w:t>
      </w:r>
      <w:r w:rsidR="00CB1062">
        <w:rPr>
          <w:rFonts w:hint="cs"/>
          <w:sz w:val="28"/>
          <w:szCs w:val="28"/>
          <w:rtl/>
          <w:lang w:bidi="fa-IR"/>
        </w:rPr>
        <w:lastRenderedPageBreak/>
        <w:t xml:space="preserve">این است که در آن شیء خارجی که شک برای شما وجود دارد، حلال و حرام معلوم وجود دارد و شما به آنها علم دارید. تعبیر این روایت با روایت مسعده متفاوت است زیرا؛ در آن روایت بیان شده است: </w:t>
      </w:r>
      <w:r w:rsidR="00383B01" w:rsidRPr="00B10F9E">
        <w:rPr>
          <w:rFonts w:hint="cs"/>
          <w:sz w:val="28"/>
          <w:szCs w:val="28"/>
          <w:rtl/>
          <w:lang w:bidi="fa-IR"/>
        </w:rPr>
        <w:t xml:space="preserve">کل شیء هو لک حلال حتی تعلم انه حرام بعینه. </w:t>
      </w:r>
      <w:r w:rsidR="00CB1062">
        <w:rPr>
          <w:rFonts w:hint="cs"/>
          <w:sz w:val="28"/>
          <w:szCs w:val="28"/>
          <w:rtl/>
          <w:lang w:bidi="fa-IR"/>
        </w:rPr>
        <w:t>و هیچ اشاره ای به فیه حلال و حرام نشده است.</w:t>
      </w:r>
    </w:p>
    <w:p w:rsidR="00CB1062" w:rsidRPr="00CB1062" w:rsidRDefault="00CB1062" w:rsidP="00CB1062">
      <w:pPr>
        <w:rPr>
          <w:rFonts w:hint="cs"/>
          <w:sz w:val="28"/>
          <w:szCs w:val="28"/>
          <w:lang w:bidi="fa-IR"/>
        </w:rPr>
      </w:pPr>
      <w:r>
        <w:rPr>
          <w:rFonts w:hint="cs"/>
          <w:sz w:val="28"/>
          <w:szCs w:val="28"/>
          <w:rtl/>
          <w:lang w:bidi="fa-IR"/>
        </w:rPr>
        <w:t xml:space="preserve">جمع بین این سه نکته مثبت این مطلب است که روایت درباره شبهات مقرون به علم اجمالی است و فیه حلال و حرام بدین معناست که حلال وحرامی که شما علم به آن دارید وجود داشته و غایت حلیت نیز تعیین تفصیلی، حرام موجود در این بین است. </w:t>
      </w:r>
    </w:p>
    <w:p w:rsidR="00825161" w:rsidRDefault="00CB1062" w:rsidP="00825161">
      <w:pPr>
        <w:rPr>
          <w:rFonts w:hint="cs"/>
          <w:sz w:val="28"/>
          <w:szCs w:val="28"/>
          <w:rtl/>
          <w:lang w:bidi="fa-IR"/>
        </w:rPr>
      </w:pPr>
      <w:r>
        <w:rPr>
          <w:rFonts w:hint="cs"/>
          <w:sz w:val="28"/>
          <w:szCs w:val="28"/>
          <w:rtl/>
          <w:lang w:bidi="fa-IR"/>
        </w:rPr>
        <w:t xml:space="preserve">بر همین اساس، «فیه حلال و حرام» در این روایت برای بیان فرد خفی برائت است و لازم نیست در آن خصوصیتی وجود داشته باشد. </w:t>
      </w:r>
      <w:r w:rsidR="00825161">
        <w:rPr>
          <w:rFonts w:hint="cs"/>
          <w:sz w:val="28"/>
          <w:szCs w:val="28"/>
          <w:rtl/>
          <w:lang w:bidi="fa-IR"/>
        </w:rPr>
        <w:t xml:space="preserve">ورود این قید در موضوع حکم بدین معناست که علم اجمالی به حرام مانعی برای تمسک به برائت تلقی نمی شود. برای بیان فرد خفی بودن، ورود قید را از لغویت خارج می کند و دیگر لازم نیست این قید خصوصیت داشته و مفهوم بالجمله و به نحو سالبه کلیه داشته باشد. مثلا اگر در دلیلی وارد شود: «اکرم السید الفاسق» نمی توان این دلیل را معارض با امر به اکرام مطلق سید دانست زیرا؛ این دلیل تنها برای بیان فرد خفی و از بین بردن توهم مانعیت فسق در اکرام سید است. </w:t>
      </w:r>
    </w:p>
    <w:p w:rsidR="00825161" w:rsidRDefault="00825161" w:rsidP="00825161">
      <w:pPr>
        <w:rPr>
          <w:rFonts w:hint="cs"/>
          <w:sz w:val="28"/>
          <w:szCs w:val="28"/>
          <w:rtl/>
          <w:lang w:bidi="fa-IR"/>
        </w:rPr>
      </w:pPr>
      <w:r>
        <w:rPr>
          <w:rFonts w:hint="cs"/>
          <w:sz w:val="28"/>
          <w:szCs w:val="28"/>
          <w:rtl/>
          <w:lang w:bidi="fa-IR"/>
        </w:rPr>
        <w:t xml:space="preserve">نتیجه؛ فیه حلال و حرام برای بیان فرد خفی بوده و نمی خواهد منشأ شک در حرمت را بیان کند. به همین علت لازم نیست در آن خصوصیتی وجود داشته باشد و حتی اگر دخالتی در حکم نیز نداشته باشد، ذکر آن لغو نخواهد بود. </w:t>
      </w:r>
    </w:p>
    <w:p w:rsidR="00825161" w:rsidRDefault="00825161" w:rsidP="00825161">
      <w:pPr>
        <w:rPr>
          <w:rFonts w:hint="cs"/>
          <w:sz w:val="28"/>
          <w:szCs w:val="28"/>
          <w:rtl/>
          <w:lang w:bidi="fa-IR"/>
        </w:rPr>
      </w:pPr>
      <w:r>
        <w:rPr>
          <w:rFonts w:hint="cs"/>
          <w:sz w:val="28"/>
          <w:szCs w:val="28"/>
          <w:rtl/>
          <w:lang w:bidi="fa-IR"/>
        </w:rPr>
        <w:t>مرحوم آقای داماد نیز این روایت را برای بیان شبهات مقرون به علم اجمالی معنا کرده است اما؛ چون به وجه ذکر فیه حلال و حرام اشاره نکرده است، نتیجه ای را گرفته است که با نتیجه ای که می خواهیم از این روایت داشته باشیم، متفاوت است. ان شاء الله در جلسه آینده نتیجه گیری از این روایت را بیان خواهیم کرد.</w:t>
      </w:r>
    </w:p>
    <w:p w:rsidR="00DA7C9F" w:rsidRPr="00B10F9E" w:rsidRDefault="00825161" w:rsidP="009D2AB9">
      <w:pPr>
        <w:rPr>
          <w:sz w:val="28"/>
          <w:szCs w:val="28"/>
          <w:rtl/>
          <w:lang w:bidi="fa-IR"/>
        </w:rPr>
      </w:pPr>
      <w:r>
        <w:rPr>
          <w:rFonts w:hint="cs"/>
          <w:sz w:val="28"/>
          <w:szCs w:val="28"/>
          <w:rtl/>
          <w:lang w:bidi="fa-IR"/>
        </w:rPr>
        <w:t xml:space="preserve">برای جلسه آینده کلام مرحوم آقای داماد و مرحوم آقای اراکی در اصول الفقه را مطالعه بفرمایید. ظاهرا اصول الفقه آقای اراکی تقریرات درس حاج شیخ است و حاوی نکات مفید فراوانی است و بیانی شیوا و واضح دارد. </w:t>
      </w:r>
    </w:p>
    <w:p w:rsidR="00A71BA8" w:rsidRPr="00B10F9E" w:rsidRDefault="00A71BA8" w:rsidP="006F1AA5">
      <w:pPr>
        <w:rPr>
          <w:sz w:val="28"/>
          <w:szCs w:val="28"/>
          <w:lang w:bidi="fa-IR"/>
        </w:rPr>
      </w:pPr>
      <w:r w:rsidRPr="00B10F9E">
        <w:rPr>
          <w:rFonts w:hint="cs"/>
          <w:sz w:val="28"/>
          <w:szCs w:val="28"/>
          <w:rtl/>
          <w:lang w:bidi="fa-IR"/>
        </w:rPr>
        <w:t>و صلی الله علی سیدنا و نبینا محمد و آل محمد</w:t>
      </w:r>
      <w:bookmarkStart w:id="0" w:name="_GoBack"/>
      <w:bookmarkEnd w:id="0"/>
    </w:p>
    <w:sectPr w:rsidR="00A71BA8" w:rsidRPr="00B10F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DA" w:rsidRDefault="00DD4DDA" w:rsidP="00E015F5">
      <w:pPr>
        <w:spacing w:after="0" w:line="240" w:lineRule="auto"/>
      </w:pPr>
      <w:r>
        <w:separator/>
      </w:r>
    </w:p>
  </w:endnote>
  <w:endnote w:type="continuationSeparator" w:id="0">
    <w:p w:rsidR="00DD4DDA" w:rsidRDefault="00DD4DDA" w:rsidP="00E0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NoorLotus">
    <w:altName w:val="Times New Roman"/>
    <w:panose1 w:val="00000000000000000000"/>
    <w:charset w:val="00"/>
    <w:family w:val="auto"/>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DA" w:rsidRDefault="00DD4DDA" w:rsidP="00E015F5">
      <w:pPr>
        <w:spacing w:after="0" w:line="240" w:lineRule="auto"/>
      </w:pPr>
      <w:r>
        <w:separator/>
      </w:r>
    </w:p>
  </w:footnote>
  <w:footnote w:type="continuationSeparator" w:id="0">
    <w:p w:rsidR="00DD4DDA" w:rsidRDefault="00DD4DDA" w:rsidP="00E015F5">
      <w:pPr>
        <w:spacing w:after="0" w:line="240" w:lineRule="auto"/>
      </w:pPr>
      <w:r>
        <w:continuationSeparator/>
      </w:r>
    </w:p>
  </w:footnote>
  <w:footnote w:id="1">
    <w:p w:rsidR="00D835A7" w:rsidRPr="00073FB5" w:rsidRDefault="00D835A7" w:rsidP="00073FB5">
      <w:pPr>
        <w:pStyle w:val="FootnoteText"/>
        <w:rPr>
          <w:rFonts w:cs="B Badr"/>
          <w:rtl/>
          <w:lang w:bidi="fa-IR"/>
        </w:rPr>
      </w:pPr>
      <w:r w:rsidRPr="00073FB5">
        <w:rPr>
          <w:rStyle w:val="FootnoteReference"/>
          <w:rFonts w:cs="B Badr"/>
        </w:rPr>
        <w:footnoteRef/>
      </w:r>
      <w:r w:rsidRPr="00073FB5">
        <w:rPr>
          <w:rFonts w:cs="B Badr" w:hint="cs"/>
          <w:rtl/>
        </w:rPr>
        <w:t xml:space="preserve"> افراد وسواسی در همه جا وجود دار</w:t>
      </w:r>
      <w:r w:rsidR="0047308A" w:rsidRPr="00073FB5">
        <w:rPr>
          <w:rFonts w:cs="B Badr" w:hint="cs"/>
          <w:rtl/>
        </w:rPr>
        <w:t>ن</w:t>
      </w:r>
      <w:r w:rsidRPr="00073FB5">
        <w:rPr>
          <w:rFonts w:cs="B Badr" w:hint="cs"/>
          <w:rtl/>
        </w:rPr>
        <w:t xml:space="preserve">د به عنوان نمونه شخصی است که </w:t>
      </w:r>
      <w:r w:rsidR="009210F8" w:rsidRPr="00073FB5">
        <w:rPr>
          <w:rFonts w:cs="B Badr" w:hint="cs"/>
          <w:rtl/>
        </w:rPr>
        <w:t xml:space="preserve">حدود پنج سال است </w:t>
      </w:r>
      <w:r w:rsidRPr="00073FB5">
        <w:rPr>
          <w:rFonts w:cs="B Badr" w:hint="cs"/>
          <w:rtl/>
        </w:rPr>
        <w:t>هر گاه با بنده مواجه می شود، یک سوال خاص را درباره زکات می پرسد</w:t>
      </w:r>
      <w:r w:rsidR="009210F8" w:rsidRPr="00073FB5">
        <w:rPr>
          <w:rFonts w:cs="B Badr" w:hint="cs"/>
          <w:rtl/>
        </w:rPr>
        <w:t xml:space="preserve">. وسواس یک بیماری شدید روحی است که باید درمان شود و نباید انسان به انگیزه احتیاط، در دامن وسواس گرفتار شود. </w:t>
      </w:r>
    </w:p>
  </w:footnote>
  <w:footnote w:id="2">
    <w:p w:rsidR="00E015F5" w:rsidRPr="00073FB5" w:rsidRDefault="00E015F5" w:rsidP="00073FB5">
      <w:pPr>
        <w:pStyle w:val="FootnoteText"/>
        <w:rPr>
          <w:rFonts w:cs="B Badr"/>
          <w:rtl/>
          <w:lang w:bidi="fa-IR"/>
        </w:rPr>
      </w:pPr>
      <w:r w:rsidRPr="00073FB5">
        <w:rPr>
          <w:rStyle w:val="FootnoteReference"/>
          <w:rFonts w:cs="B Badr"/>
        </w:rPr>
        <w:footnoteRef/>
      </w:r>
      <w:r w:rsidRPr="00073FB5">
        <w:rPr>
          <w:rFonts w:cs="B Badr"/>
          <w:rtl/>
        </w:rPr>
        <w:t xml:space="preserve"> </w:t>
      </w:r>
      <w:r w:rsidR="00D835A7" w:rsidRPr="00073FB5">
        <w:rPr>
          <w:rFonts w:cs="B Badr"/>
          <w:rtl/>
          <w:lang w:bidi="fa-IR"/>
        </w:rPr>
        <w:t>السرائر الحاوي لتحرير الفتاوي (و المستطرفات)، ج‏3، ص: 613</w:t>
      </w:r>
    </w:p>
  </w:footnote>
  <w:footnote w:id="3">
    <w:p w:rsidR="00073FB5" w:rsidRPr="00073FB5" w:rsidRDefault="00073FB5" w:rsidP="00073FB5">
      <w:pPr>
        <w:pStyle w:val="NormalWeb"/>
        <w:bidi/>
        <w:jc w:val="both"/>
        <w:rPr>
          <w:rFonts w:ascii="Traditional Arabic" w:hAnsi="Traditional Arabic" w:cs="B Badr"/>
          <w:color w:val="000000"/>
          <w:sz w:val="20"/>
          <w:szCs w:val="20"/>
          <w:lang w:bidi="fa-IR"/>
        </w:rPr>
      </w:pPr>
      <w:r w:rsidRPr="00073FB5">
        <w:rPr>
          <w:rStyle w:val="FootnoteReference"/>
          <w:rFonts w:cs="B Badr"/>
          <w:sz w:val="20"/>
          <w:szCs w:val="20"/>
        </w:rPr>
        <w:footnoteRef/>
      </w:r>
      <w:r w:rsidRPr="00073FB5">
        <w:rPr>
          <w:rFonts w:cs="B Badr"/>
          <w:sz w:val="20"/>
          <w:szCs w:val="20"/>
          <w:rtl/>
        </w:rPr>
        <w:t xml:space="preserve"> </w:t>
      </w:r>
      <w:r w:rsidRPr="00073FB5">
        <w:rPr>
          <w:rFonts w:ascii="Traditional Arabic" w:hAnsi="Traditional Arabic" w:cs="B Badr" w:hint="cs"/>
          <w:color w:val="2A415C"/>
          <w:sz w:val="20"/>
          <w:szCs w:val="20"/>
          <w:rtl/>
          <w:lang w:bidi="fa-IR"/>
        </w:rPr>
        <w:t xml:space="preserve">المحاسن، </w:t>
      </w:r>
      <w:r w:rsidRPr="00073FB5">
        <w:rPr>
          <w:rFonts w:ascii="Traditional Arabic" w:hAnsi="Traditional Arabic" w:cs="B Badr" w:hint="cs"/>
          <w:color w:val="2A415C"/>
          <w:sz w:val="20"/>
          <w:szCs w:val="20"/>
          <w:rtl/>
          <w:lang w:bidi="fa-IR"/>
        </w:rPr>
        <w:t>ج‏2، ص: 495</w:t>
      </w:r>
    </w:p>
    <w:p w:rsidR="00073FB5" w:rsidRPr="00073FB5" w:rsidRDefault="00073FB5" w:rsidP="00073FB5">
      <w:pPr>
        <w:spacing w:after="0" w:line="240" w:lineRule="auto"/>
        <w:rPr>
          <w:rFonts w:ascii="Times New Roman" w:eastAsia="Times New Roman" w:hAnsi="Times New Roman" w:cs="B Badr"/>
          <w:sz w:val="20"/>
          <w:szCs w:val="20"/>
          <w:rtl/>
          <w:lang w:bidi="fa-IR"/>
        </w:rPr>
      </w:pPr>
    </w:p>
    <w:p w:rsidR="00073FB5" w:rsidRPr="00073FB5" w:rsidRDefault="00073FB5" w:rsidP="00073FB5">
      <w:pPr>
        <w:pStyle w:val="FootnoteText"/>
        <w:rPr>
          <w:rFonts w:cs="B Badr"/>
          <w:b/>
          <w:bCs/>
          <w:rtl/>
          <w:lang w:bidi="fa-IR"/>
        </w:rPr>
      </w:pPr>
    </w:p>
  </w:footnote>
  <w:footnote w:id="4">
    <w:p w:rsidR="005B1FE4" w:rsidRDefault="005B1FE4">
      <w:pPr>
        <w:pStyle w:val="FootnoteText"/>
        <w:rPr>
          <w:lang w:bidi="fa-IR"/>
        </w:rPr>
      </w:pPr>
      <w:r>
        <w:rPr>
          <w:rStyle w:val="FootnoteReference"/>
        </w:rPr>
        <w:footnoteRef/>
      </w:r>
      <w:r w:rsidRPr="005B1FE4">
        <w:rPr>
          <w:rtl/>
          <w:lang w:bidi="fa-IR"/>
        </w:rPr>
        <w:t xml:space="preserve"> الكافي </w:t>
      </w:r>
      <w:r w:rsidRPr="005B1FE4">
        <w:rPr>
          <w:rtl/>
          <w:lang w:bidi="fa-IR"/>
        </w:rPr>
        <w:t>(ط - الإسلامية)، ج‏5، ص: 313</w:t>
      </w:r>
    </w:p>
  </w:footnote>
  <w:footnote w:id="5">
    <w:p w:rsidR="00384240" w:rsidRDefault="00384240">
      <w:pPr>
        <w:pStyle w:val="FootnoteText"/>
        <w:rPr>
          <w:rtl/>
          <w:lang w:bidi="fa-IR"/>
        </w:rPr>
      </w:pPr>
      <w:r>
        <w:rPr>
          <w:rStyle w:val="FootnoteReference"/>
        </w:rPr>
        <w:footnoteRef/>
      </w:r>
      <w:r>
        <w:rPr>
          <w:rtl/>
          <w:lang w:bidi="fa-IR"/>
        </w:rPr>
        <w:t xml:space="preserve"> </w:t>
      </w:r>
      <w:r w:rsidRPr="00384240">
        <w:rPr>
          <w:rtl/>
          <w:lang w:bidi="fa-IR"/>
        </w:rPr>
        <w:t xml:space="preserve">المحاسن، </w:t>
      </w:r>
      <w:r w:rsidRPr="00384240">
        <w:rPr>
          <w:rtl/>
          <w:lang w:bidi="fa-IR"/>
        </w:rPr>
        <w:t>ج‏2، ص: 496</w:t>
      </w:r>
    </w:p>
  </w:footnote>
  <w:footnote w:id="6">
    <w:p w:rsidR="00C91F7B" w:rsidRDefault="00C91F7B">
      <w:pPr>
        <w:pStyle w:val="FootnoteText"/>
        <w:rPr>
          <w:lang w:bidi="fa-IR"/>
        </w:rPr>
      </w:pPr>
      <w:r>
        <w:rPr>
          <w:rStyle w:val="FootnoteReference"/>
        </w:rPr>
        <w:footnoteRef/>
      </w:r>
      <w:r>
        <w:rPr>
          <w:rtl/>
        </w:rPr>
        <w:t xml:space="preserve"> </w:t>
      </w:r>
      <w:r w:rsidRPr="00C91F7B">
        <w:rPr>
          <w:rtl/>
        </w:rPr>
        <w:t>الأمالي (للطوسي)، النص، ص: 669</w:t>
      </w:r>
    </w:p>
  </w:footnote>
  <w:footnote w:id="7">
    <w:p w:rsidR="00FD3402" w:rsidRDefault="00FD3402">
      <w:pPr>
        <w:pStyle w:val="FootnoteText"/>
        <w:rPr>
          <w:lang w:bidi="fa-IR"/>
        </w:rPr>
      </w:pPr>
      <w:r>
        <w:rPr>
          <w:rStyle w:val="FootnoteReference"/>
        </w:rPr>
        <w:footnoteRef/>
      </w:r>
      <w:r w:rsidR="004B6EAE">
        <w:rPr>
          <w:rtl/>
        </w:rPr>
        <w:t xml:space="preserve"> </w:t>
      </w:r>
      <w:r w:rsidR="004B6EAE">
        <w:rPr>
          <w:rFonts w:hint="cs"/>
          <w:rtl/>
        </w:rPr>
        <w:t xml:space="preserve"> </w:t>
      </w:r>
      <w:r w:rsidRPr="00FD3402">
        <w:rPr>
          <w:rtl/>
        </w:rPr>
        <w:t xml:space="preserve">فرائد </w:t>
      </w:r>
      <w:r w:rsidRPr="00FD3402">
        <w:rPr>
          <w:rtl/>
        </w:rPr>
        <w:t>الأصول، ج‏2، ص: 49</w:t>
      </w:r>
    </w:p>
  </w:footnote>
  <w:footnote w:id="8">
    <w:p w:rsidR="00446D8E" w:rsidRDefault="00446D8E" w:rsidP="00446D8E">
      <w:pPr>
        <w:pStyle w:val="FootnoteText"/>
        <w:rPr>
          <w:lang w:bidi="fa-IR"/>
        </w:rPr>
      </w:pPr>
      <w:r>
        <w:rPr>
          <w:rStyle w:val="FootnoteReference"/>
        </w:rPr>
        <w:footnoteRef/>
      </w:r>
      <w:r>
        <w:rPr>
          <w:rtl/>
        </w:rPr>
        <w:t xml:space="preserve"> </w:t>
      </w:r>
      <w:r>
        <w:rPr>
          <w:rtl/>
          <w:lang w:bidi="fa-IR"/>
        </w:rPr>
        <w:t>أصول الفقه ؛ ج‏2 ؛ ص75</w:t>
      </w:r>
      <w:r>
        <w:rPr>
          <w:rFonts w:hint="cs"/>
          <w:rtl/>
          <w:lang w:bidi="fa-IR"/>
        </w:rPr>
        <w:t xml:space="preserve"> </w:t>
      </w:r>
      <w:r>
        <w:rPr>
          <w:rtl/>
          <w:lang w:bidi="fa-IR"/>
        </w:rPr>
        <w:t>فهذا نظير ما يقال في العرف: لو كان كلّ أفراد الإنسان أمينا لما شككت في أمانة هذا الشخص، و لو كان كلّ أفراده خائنا ما شككت في خيانة هذا الشخص، و لكن لمّا كان أفراده مختلفة فبعضها أمين و بعضها خائن فلا جرم شككت في أمانة هذا الشخص و خيانته و هذا مطلب صحيح عرفي.</w:t>
      </w:r>
    </w:p>
  </w:footnote>
  <w:footnote w:id="9">
    <w:p w:rsidR="00446D8E" w:rsidRDefault="00446D8E" w:rsidP="00446D8E">
      <w:pPr>
        <w:pStyle w:val="FootnoteText"/>
        <w:rPr>
          <w:rtl/>
          <w:lang w:bidi="fa-IR"/>
        </w:rPr>
      </w:pPr>
      <w:r>
        <w:rPr>
          <w:rStyle w:val="FootnoteReference"/>
        </w:rPr>
        <w:footnoteRef/>
      </w:r>
      <w:r>
        <w:rPr>
          <w:rtl/>
        </w:rPr>
        <w:t xml:space="preserve"> </w:t>
      </w:r>
      <w:r>
        <w:rPr>
          <w:rtl/>
          <w:lang w:bidi="fa-IR"/>
        </w:rPr>
        <w:t xml:space="preserve">دررالفوائد </w:t>
      </w:r>
      <w:r>
        <w:rPr>
          <w:rtl/>
          <w:lang w:bidi="fa-IR"/>
        </w:rPr>
        <w:t>( طبع جديد ) ؛ ص450</w:t>
      </w:r>
      <w:r>
        <w:rPr>
          <w:rFonts w:hint="cs"/>
          <w:rtl/>
          <w:lang w:bidi="fa-IR"/>
        </w:rPr>
        <w:t xml:space="preserve"> </w:t>
      </w:r>
      <w:r>
        <w:rPr>
          <w:rtl/>
          <w:lang w:bidi="fa-IR"/>
        </w:rPr>
        <w:t>اقول يمكن دفع هذين الاشكالين عن القائل: أما الاول فبأنه يكفى في عدم لغوية القيد انه لو علم كون مطلق اللحم حراما او حلالا لم يبق شك في لحم الحمير، فوجود القسمين في اللحم صار منشأ للشك في لحم الحمير.</w:t>
      </w:r>
    </w:p>
  </w:footnote>
  <w:footnote w:id="10">
    <w:p w:rsidR="00E47025" w:rsidRDefault="00E47025" w:rsidP="00641B20">
      <w:pPr>
        <w:pStyle w:val="FootnoteText"/>
      </w:pPr>
      <w:r>
        <w:rPr>
          <w:rStyle w:val="FootnoteReference"/>
        </w:rPr>
        <w:footnoteRef/>
      </w:r>
      <w:r>
        <w:rPr>
          <w:rtl/>
        </w:rPr>
        <w:t xml:space="preserve"> </w:t>
      </w:r>
      <w:r>
        <w:rPr>
          <w:rtl/>
        </w:rPr>
        <w:t>المحاضرات ( مباحث اصول الفقه ) ؛ ج‏2 ؛ ص221</w:t>
      </w:r>
      <w:r w:rsidR="00641B20">
        <w:rPr>
          <w:rFonts w:hint="cs"/>
          <w:rtl/>
        </w:rPr>
        <w:t xml:space="preserve"> </w:t>
      </w:r>
      <w:r>
        <w:rPr>
          <w:rtl/>
        </w:rPr>
        <w:t>فانه يقال: ليس المراد مجرد سببية وجود القسمين للشك كى يقال: كما ان سبب الشك فى كون اللحم حلالا فى الشبهة الموضوعية وجود المذكى و غيره فيه، فكذلك سببه فيه فى الشبهة الحكمية وجود القسمين فى اللحم قسم حلال و قسم حرام، بل المراد ان الظاهر من القيد كون احتمال الحلية فى المشكوك ناشئا عن الموجود الحلال فى الشى، و احتمال حرمته ناشيا عن الحرام الموجود فيه، و هذا المعنى لا ينطبق الاعلى الشبهات الموضوعية لان احتمال الحلية فى اللحم المشكوك كونه مذكى او غيره انما تطرق من قبل الحلال الموجود بحيث لولاه لما كان يحتمل، و احتمال الحرمة فيه انما جاء من قبل الحرام الموجود بحيث لولاه لما كان يحتمل ايضا، و ذلك بخلاف الشبهات الحكمية، فان احتمال الحلية و كذا الحرمة فى لحم الحمير لم يكن الا للجهل بحكمه و عدم تبين الجعل الواقع عليه.</w:t>
      </w:r>
      <w:r w:rsidR="00641B20">
        <w:rPr>
          <w:rFonts w:hint="cs"/>
          <w:rtl/>
        </w:rPr>
        <w:t xml:space="preserve"> </w:t>
      </w:r>
      <w:r>
        <w:rPr>
          <w:rtl/>
        </w:rPr>
        <w:t xml:space="preserve">هذا كله مضافا الى بقاء الاشكال بحاله و لو قلنا بانه يكفى فى عدم لغوية القيد انه لو علم كون مطلق اللحم حراما او حلالا لم يبق شك فى لحم الحمير، و ذلك لان ذكر ما لا دخل له فى الحكم و لا فى موضوعية الموضوع بحيث لو لم يؤت به لما ورد فى المقصود خلل بل ذكره قد يخلّ بالمقصود كما عرفت بعيد عن مقام الامام المتصدي لبيان الحلال و الحرام لا لما لا دخل له بالاحكام بخلاف ما اذا اختص الحديث بالشبهات الموضوعية فان التخصيص و التقييد حينئذ لبيان الحكم فيها بحيث لولاه لما كان مختصا بها، فافهم و اغتنم. </w:t>
      </w:r>
    </w:p>
  </w:footnote>
  <w:footnote w:id="11">
    <w:p w:rsidR="00A74C2C" w:rsidRDefault="00A74C2C">
      <w:pPr>
        <w:pStyle w:val="FootnoteText"/>
        <w:rPr>
          <w:rtl/>
          <w:lang w:bidi="fa-IR"/>
        </w:rPr>
      </w:pPr>
      <w:r>
        <w:rPr>
          <w:rStyle w:val="FootnoteReference"/>
        </w:rPr>
        <w:footnoteRef/>
      </w:r>
      <w:r>
        <w:rPr>
          <w:rtl/>
        </w:rPr>
        <w:t xml:space="preserve"> </w:t>
      </w:r>
      <w:r w:rsidRPr="00A74C2C">
        <w:rPr>
          <w:rtl/>
          <w:lang w:bidi="fa-IR"/>
        </w:rPr>
        <w:t>أصول الفقه ؛ ج‏2 ؛ ص75</w:t>
      </w:r>
    </w:p>
  </w:footnote>
  <w:footnote w:id="12">
    <w:p w:rsidR="00D24AEF" w:rsidRDefault="00D24AEF">
      <w:pPr>
        <w:pStyle w:val="FootnoteText"/>
        <w:rPr>
          <w:lang w:bidi="fa-IR"/>
        </w:rPr>
      </w:pPr>
      <w:r>
        <w:rPr>
          <w:rStyle w:val="FootnoteReference"/>
        </w:rPr>
        <w:footnoteRef/>
      </w:r>
      <w:r>
        <w:rPr>
          <w:rtl/>
        </w:rPr>
        <w:t xml:space="preserve"> </w:t>
      </w:r>
      <w:r w:rsidR="00BD43A3">
        <w:rPr>
          <w:rFonts w:hint="cs"/>
          <w:rtl/>
          <w:lang w:bidi="fa-IR"/>
        </w:rPr>
        <w:t xml:space="preserve">این </w:t>
      </w:r>
      <w:r w:rsidR="00BD43A3">
        <w:rPr>
          <w:rFonts w:hint="cs"/>
          <w:rtl/>
          <w:lang w:bidi="fa-IR"/>
        </w:rPr>
        <w:t xml:space="preserve">اختلاف تعبیر به واسطه اختلاف در درر و اصول الفقه است. در درر دلیل عام تعبیر شده و در اصول الفقه به اقتضا و عدم اقتضا تعبیر شده است. </w:t>
      </w:r>
    </w:p>
  </w:footnote>
  <w:footnote w:id="13">
    <w:p w:rsidR="003718EB" w:rsidRDefault="003718EB">
      <w:pPr>
        <w:pStyle w:val="FootnoteText"/>
        <w:rPr>
          <w:lang w:bidi="fa-IR"/>
        </w:rPr>
      </w:pPr>
      <w:r>
        <w:rPr>
          <w:rStyle w:val="FootnoteReference"/>
        </w:rPr>
        <w:footnoteRef/>
      </w:r>
      <w:r>
        <w:rPr>
          <w:rtl/>
        </w:rPr>
        <w:t xml:space="preserve"> </w:t>
      </w:r>
      <w:r w:rsidRPr="003718EB">
        <w:rPr>
          <w:rtl/>
        </w:rPr>
        <w:t>تعب</w:t>
      </w:r>
      <w:r w:rsidRPr="003718EB">
        <w:rPr>
          <w:rFonts w:hint="cs"/>
          <w:rtl/>
        </w:rPr>
        <w:t>ی</w:t>
      </w:r>
      <w:r w:rsidRPr="003718EB">
        <w:rPr>
          <w:rFonts w:hint="eastAsia"/>
          <w:rtl/>
        </w:rPr>
        <w:t>ر</w:t>
      </w:r>
      <w:r w:rsidRPr="003718EB">
        <w:rPr>
          <w:rtl/>
        </w:rPr>
        <w:t xml:space="preserve"> به ملازمه غالب</w:t>
      </w:r>
      <w:r w:rsidRPr="003718EB">
        <w:rPr>
          <w:rFonts w:hint="cs"/>
          <w:rtl/>
        </w:rPr>
        <w:t>ی</w:t>
      </w:r>
      <w:r w:rsidRPr="003718EB">
        <w:rPr>
          <w:rFonts w:hint="eastAsia"/>
          <w:rtl/>
        </w:rPr>
        <w:t>ه</w:t>
      </w:r>
      <w:r w:rsidRPr="003718EB">
        <w:rPr>
          <w:rtl/>
        </w:rPr>
        <w:t xml:space="preserve"> از ا</w:t>
      </w:r>
      <w:r w:rsidRPr="003718EB">
        <w:rPr>
          <w:rFonts w:hint="cs"/>
          <w:rtl/>
        </w:rPr>
        <w:t>ی</w:t>
      </w:r>
      <w:r w:rsidRPr="003718EB">
        <w:rPr>
          <w:rFonts w:hint="eastAsia"/>
          <w:rtl/>
        </w:rPr>
        <w:t>ن</w:t>
      </w:r>
      <w:r w:rsidRPr="003718EB">
        <w:rPr>
          <w:rtl/>
        </w:rPr>
        <w:t xml:space="preserve"> باب است که امکان دارد نص عام</w:t>
      </w:r>
      <w:r w:rsidRPr="003718EB">
        <w:rPr>
          <w:rFonts w:hint="cs"/>
          <w:rtl/>
        </w:rPr>
        <w:t>ی</w:t>
      </w:r>
      <w:r w:rsidRPr="003718EB">
        <w:rPr>
          <w:rtl/>
        </w:rPr>
        <w:t xml:space="preserve"> بر حرمت </w:t>
      </w:r>
      <w:r w:rsidRPr="003718EB">
        <w:rPr>
          <w:rFonts w:hint="cs"/>
          <w:rtl/>
        </w:rPr>
        <w:t>ی</w:t>
      </w:r>
      <w:r w:rsidRPr="003718EB">
        <w:rPr>
          <w:rFonts w:hint="eastAsia"/>
          <w:rtl/>
        </w:rPr>
        <w:t>ا</w:t>
      </w:r>
      <w:r w:rsidRPr="003718EB">
        <w:rPr>
          <w:rtl/>
        </w:rPr>
        <w:t xml:space="preserve"> حل</w:t>
      </w:r>
      <w:r w:rsidRPr="003718EB">
        <w:rPr>
          <w:rFonts w:hint="cs"/>
          <w:rtl/>
        </w:rPr>
        <w:t>ی</w:t>
      </w:r>
      <w:r w:rsidRPr="003718EB">
        <w:rPr>
          <w:rFonts w:hint="eastAsia"/>
          <w:rtl/>
        </w:rPr>
        <w:t>ت</w:t>
      </w:r>
      <w:r w:rsidRPr="003718EB">
        <w:rPr>
          <w:rtl/>
        </w:rPr>
        <w:t xml:space="preserve"> وجود داشته باشد اما؛ ا</w:t>
      </w:r>
      <w:r w:rsidRPr="003718EB">
        <w:rPr>
          <w:rFonts w:hint="cs"/>
          <w:rtl/>
        </w:rPr>
        <w:t>ی</w:t>
      </w:r>
      <w:r w:rsidRPr="003718EB">
        <w:rPr>
          <w:rFonts w:hint="eastAsia"/>
          <w:rtl/>
        </w:rPr>
        <w:t>ن</w:t>
      </w:r>
      <w:r w:rsidRPr="003718EB">
        <w:rPr>
          <w:rtl/>
        </w:rPr>
        <w:t xml:space="preserve"> نص تخص</w:t>
      </w:r>
      <w:r w:rsidRPr="003718EB">
        <w:rPr>
          <w:rFonts w:hint="cs"/>
          <w:rtl/>
        </w:rPr>
        <w:t>ی</w:t>
      </w:r>
      <w:r w:rsidRPr="003718EB">
        <w:rPr>
          <w:rFonts w:hint="eastAsia"/>
          <w:rtl/>
        </w:rPr>
        <w:t>ص</w:t>
      </w:r>
      <w:r w:rsidRPr="003718EB">
        <w:rPr>
          <w:rtl/>
        </w:rPr>
        <w:t xml:space="preserve"> خورده باشد.</w:t>
      </w:r>
    </w:p>
  </w:footnote>
  <w:footnote w:id="14">
    <w:p w:rsidR="00562AAB" w:rsidRDefault="00562AAB" w:rsidP="00562AAB">
      <w:pPr>
        <w:pStyle w:val="FootnoteText"/>
        <w:rPr>
          <w:rFonts w:hint="cs"/>
          <w:rtl/>
          <w:lang w:bidi="fa-IR"/>
        </w:rPr>
      </w:pPr>
      <w:r>
        <w:rPr>
          <w:rStyle w:val="FootnoteReference"/>
        </w:rPr>
        <w:footnoteRef/>
      </w:r>
      <w:r>
        <w:rPr>
          <w:rtl/>
        </w:rPr>
        <w:t xml:space="preserve"> </w:t>
      </w:r>
      <w:r>
        <w:rPr>
          <w:rtl/>
          <w:lang w:bidi="fa-IR"/>
        </w:rPr>
        <w:t>المحاسن ؛ ج‏2 ؛ ص495</w:t>
      </w:r>
      <w:r>
        <w:rPr>
          <w:rFonts w:hint="cs"/>
          <w:rtl/>
          <w:lang w:bidi="fa-IR"/>
        </w:rPr>
        <w:t xml:space="preserve">  </w:t>
      </w:r>
      <w:r>
        <w:rPr>
          <w:rtl/>
          <w:lang w:bidi="fa-IR"/>
        </w:rPr>
        <w:t>عَنْهُ عَنْ أَبِيهِ عَنْ مُحَمَّدِ بْنِ سِنَانٍ عَنْ أَبِي الْجَارُودِ قَالَ: سَأَلْتُ أَبَا جَعْفَرٍ ع عَنِ الْجُبُنِّ وَ قُلْتُ لَهُ أَخْبِرْنِي مَنْ رَأَى أَنَّهُ يُجْعَلُ‏ فِيهِ‏ الْمَيْتَةُ فَقَالَ أَ مِنْ أَجْلِ مَكَانٍ وَاحِدٍ يُجْعَلُ‏ فِيهِ‏ الْمَيْتَةُ حُرِّمَ فِي جَمِيعِ الْأَرَضِينَ إِذَا عَلِمْتَ أَنَّهُ مَيْتَةٌ فَلَا تَأْكُلْ وَ إِنْ لَمْ تَعْلَمْ فَاشْتَرِ وَ بِعْ وَ كُلْ وَ اللَّهِ إِنِّي لَأَعْتَرِضُ السُّوقَ فَأَشْتَرِي بِهَا اللَّحْمَ وَ السَّمْنَ وَ الْجُبُنَّ وَ اللَّهِ مَا أَظُنُّ كُلَّهُمْ يُسَمُّونَ هَذِهِ الْبَرْبَرُ وَ هَذِهِ السُّودَان‏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46083"/>
    <w:multiLevelType w:val="hybridMultilevel"/>
    <w:tmpl w:val="D1FA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7B"/>
    <w:rsid w:val="00005821"/>
    <w:rsid w:val="0006116C"/>
    <w:rsid w:val="00073FB5"/>
    <w:rsid w:val="000B1A8D"/>
    <w:rsid w:val="000B7EC7"/>
    <w:rsid w:val="000C0DD5"/>
    <w:rsid w:val="000C794B"/>
    <w:rsid w:val="000D3066"/>
    <w:rsid w:val="000F3B66"/>
    <w:rsid w:val="00116FD5"/>
    <w:rsid w:val="00144FC9"/>
    <w:rsid w:val="00181A46"/>
    <w:rsid w:val="00187565"/>
    <w:rsid w:val="001928F7"/>
    <w:rsid w:val="001B09DD"/>
    <w:rsid w:val="001B3C31"/>
    <w:rsid w:val="001B55DC"/>
    <w:rsid w:val="001C54E4"/>
    <w:rsid w:val="002167A0"/>
    <w:rsid w:val="00227FB7"/>
    <w:rsid w:val="0025500F"/>
    <w:rsid w:val="002608EB"/>
    <w:rsid w:val="002B10EC"/>
    <w:rsid w:val="002E0D6C"/>
    <w:rsid w:val="003232DC"/>
    <w:rsid w:val="0034196C"/>
    <w:rsid w:val="003718EB"/>
    <w:rsid w:val="00383B01"/>
    <w:rsid w:val="00384240"/>
    <w:rsid w:val="00397D7F"/>
    <w:rsid w:val="003A2E2C"/>
    <w:rsid w:val="003D72C8"/>
    <w:rsid w:val="00422784"/>
    <w:rsid w:val="00427AA8"/>
    <w:rsid w:val="004423B9"/>
    <w:rsid w:val="00446D8E"/>
    <w:rsid w:val="0047308A"/>
    <w:rsid w:val="004A4BB7"/>
    <w:rsid w:val="004B25F9"/>
    <w:rsid w:val="004B536B"/>
    <w:rsid w:val="004B6EAE"/>
    <w:rsid w:val="00562AAB"/>
    <w:rsid w:val="005766CA"/>
    <w:rsid w:val="00584A93"/>
    <w:rsid w:val="005A0F5A"/>
    <w:rsid w:val="005B1FE4"/>
    <w:rsid w:val="005D47AD"/>
    <w:rsid w:val="00641B20"/>
    <w:rsid w:val="00654DC1"/>
    <w:rsid w:val="00677B52"/>
    <w:rsid w:val="006F1AA5"/>
    <w:rsid w:val="007069CB"/>
    <w:rsid w:val="007E324A"/>
    <w:rsid w:val="00806FBA"/>
    <w:rsid w:val="00821A2E"/>
    <w:rsid w:val="00825161"/>
    <w:rsid w:val="00863707"/>
    <w:rsid w:val="00865CFD"/>
    <w:rsid w:val="008842FB"/>
    <w:rsid w:val="008E5C9F"/>
    <w:rsid w:val="009061F4"/>
    <w:rsid w:val="00910A55"/>
    <w:rsid w:val="0091341E"/>
    <w:rsid w:val="009210F8"/>
    <w:rsid w:val="00934355"/>
    <w:rsid w:val="009422C7"/>
    <w:rsid w:val="00993576"/>
    <w:rsid w:val="009B1B20"/>
    <w:rsid w:val="009D2AB9"/>
    <w:rsid w:val="009E6E78"/>
    <w:rsid w:val="009F627B"/>
    <w:rsid w:val="00A40096"/>
    <w:rsid w:val="00A703C8"/>
    <w:rsid w:val="00A71BA8"/>
    <w:rsid w:val="00A74C2C"/>
    <w:rsid w:val="00A80CD4"/>
    <w:rsid w:val="00AF1DB2"/>
    <w:rsid w:val="00B10F9E"/>
    <w:rsid w:val="00B33AE3"/>
    <w:rsid w:val="00B80C19"/>
    <w:rsid w:val="00BA2979"/>
    <w:rsid w:val="00BA36B9"/>
    <w:rsid w:val="00BC47E9"/>
    <w:rsid w:val="00BD43A3"/>
    <w:rsid w:val="00C91F7B"/>
    <w:rsid w:val="00C94B25"/>
    <w:rsid w:val="00CA34C1"/>
    <w:rsid w:val="00CB1062"/>
    <w:rsid w:val="00CD248E"/>
    <w:rsid w:val="00D24AEF"/>
    <w:rsid w:val="00D505D8"/>
    <w:rsid w:val="00D835A7"/>
    <w:rsid w:val="00DA7C9F"/>
    <w:rsid w:val="00DB2421"/>
    <w:rsid w:val="00DB499B"/>
    <w:rsid w:val="00DD4DDA"/>
    <w:rsid w:val="00E015F5"/>
    <w:rsid w:val="00E24C81"/>
    <w:rsid w:val="00E34F88"/>
    <w:rsid w:val="00E47025"/>
    <w:rsid w:val="00EE61E3"/>
    <w:rsid w:val="00EF4AC2"/>
    <w:rsid w:val="00F02AF5"/>
    <w:rsid w:val="00F253E2"/>
    <w:rsid w:val="00F471CE"/>
    <w:rsid w:val="00F547AD"/>
    <w:rsid w:val="00FD3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CB"/>
    <w:pPr>
      <w:bidi/>
      <w:jc w:val="both"/>
    </w:pPr>
    <w:rPr>
      <w:rFonts w:ascii="B Lotus" w:hAnsi="B Lotus" w:cs="B Lotus"/>
      <w:sz w:val="30"/>
      <w:szCs w:val="30"/>
    </w:rPr>
  </w:style>
  <w:style w:type="paragraph" w:styleId="Heading1">
    <w:name w:val="heading 1"/>
    <w:basedOn w:val="Normal"/>
    <w:next w:val="Normal"/>
    <w:link w:val="Heading1Char"/>
    <w:uiPriority w:val="9"/>
    <w:qFormat/>
    <w:rsid w:val="001C54E4"/>
    <w:pPr>
      <w:keepNext/>
      <w:keepLines/>
      <w:spacing w:before="480" w:after="0"/>
      <w:outlineLvl w:val="0"/>
    </w:pPr>
    <w:rPr>
      <w:rFonts w:asciiTheme="majorHAnsi" w:eastAsiaTheme="majorEastAsia" w:hAnsiTheme="majorHAnsi" w:cs="B Titr"/>
      <w:sz w:val="28"/>
      <w:szCs w:val="28"/>
      <w:lang w:bidi="fa-IR"/>
    </w:rPr>
  </w:style>
  <w:style w:type="paragraph" w:styleId="Heading2">
    <w:name w:val="heading 2"/>
    <w:basedOn w:val="Normal"/>
    <w:next w:val="Normal"/>
    <w:link w:val="Heading2Char"/>
    <w:uiPriority w:val="9"/>
    <w:unhideWhenUsed/>
    <w:qFormat/>
    <w:rsid w:val="001C54E4"/>
    <w:pPr>
      <w:keepNext/>
      <w:keepLines/>
      <w:spacing w:before="200" w:after="0"/>
      <w:outlineLvl w:val="1"/>
    </w:pPr>
    <w:rPr>
      <w:rFonts w:asciiTheme="majorHAnsi" w:eastAsiaTheme="majorEastAsia" w:hAnsiTheme="majorHAnsi" w:cs="B Traffic"/>
      <w:sz w:val="28"/>
      <w:szCs w:val="28"/>
      <w:lang w:bidi="fa-IR"/>
    </w:rPr>
  </w:style>
  <w:style w:type="paragraph" w:styleId="Heading3">
    <w:name w:val="heading 3"/>
    <w:basedOn w:val="Normal"/>
    <w:next w:val="Normal"/>
    <w:link w:val="Heading3Char"/>
    <w:uiPriority w:val="9"/>
    <w:unhideWhenUsed/>
    <w:qFormat/>
    <w:rsid w:val="001C54E4"/>
    <w:pPr>
      <w:keepNext/>
      <w:keepLines/>
      <w:spacing w:before="200" w:after="0"/>
      <w:outlineLvl w:val="2"/>
    </w:pPr>
    <w:rPr>
      <w:rFonts w:asciiTheme="majorHAnsi" w:eastAsiaTheme="majorEastAsia" w:hAnsiTheme="majorHAnsi"/>
      <w:sz w:val="28"/>
      <w:szCs w:val="28"/>
      <w:lang w:bidi="fa-IR"/>
    </w:rPr>
  </w:style>
  <w:style w:type="paragraph" w:styleId="Heading4">
    <w:name w:val="heading 4"/>
    <w:basedOn w:val="Normal"/>
    <w:next w:val="Normal"/>
    <w:link w:val="Heading4Char"/>
    <w:uiPriority w:val="9"/>
    <w:unhideWhenUsed/>
    <w:qFormat/>
    <w:rsid w:val="001C54E4"/>
    <w:pPr>
      <w:keepNext/>
      <w:keepLines/>
      <w:spacing w:before="200" w:after="0"/>
      <w:outlineLvl w:val="3"/>
    </w:pPr>
    <w:rPr>
      <w:rFonts w:asciiTheme="majorHAnsi" w:eastAsiaTheme="majorEastAsia" w:hAnsiTheme="majorHAnsi"/>
      <w:b/>
      <w:bCs/>
      <w:sz w:val="24"/>
      <w:szCs w:val="24"/>
      <w:lang w:bidi="fa-IR"/>
    </w:rPr>
  </w:style>
  <w:style w:type="paragraph" w:styleId="Heading5">
    <w:name w:val="heading 5"/>
    <w:basedOn w:val="Normal"/>
    <w:next w:val="Normal"/>
    <w:link w:val="Heading5Char"/>
    <w:uiPriority w:val="9"/>
    <w:unhideWhenUsed/>
    <w:qFormat/>
    <w:rsid w:val="00446D8E"/>
    <w:pPr>
      <w:keepNext/>
      <w:keepLines/>
      <w:spacing w:before="200" w:after="0"/>
      <w:outlineLvl w:val="4"/>
    </w:pPr>
    <w:rPr>
      <w:rFonts w:asciiTheme="majorHAnsi" w:eastAsiaTheme="majorEastAsia" w:hAnsiTheme="majorHAns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EC7"/>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54E4"/>
    <w:rPr>
      <w:rFonts w:asciiTheme="majorHAnsi" w:eastAsiaTheme="majorEastAsia" w:hAnsiTheme="majorHAnsi" w:cs="B Titr"/>
      <w:sz w:val="28"/>
      <w:szCs w:val="28"/>
      <w:lang w:bidi="fa-IR"/>
    </w:rPr>
  </w:style>
  <w:style w:type="paragraph" w:styleId="FootnoteText">
    <w:name w:val="footnote text"/>
    <w:basedOn w:val="Normal"/>
    <w:link w:val="FootnoteTextChar"/>
    <w:uiPriority w:val="99"/>
    <w:semiHidden/>
    <w:unhideWhenUsed/>
    <w:rsid w:val="00E01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5F5"/>
    <w:rPr>
      <w:rFonts w:ascii="B Lotus" w:hAnsi="B Lotus" w:cs="B Lotus"/>
      <w:sz w:val="20"/>
      <w:szCs w:val="20"/>
    </w:rPr>
  </w:style>
  <w:style w:type="character" w:styleId="FootnoteReference">
    <w:name w:val="footnote reference"/>
    <w:basedOn w:val="DefaultParagraphFont"/>
    <w:uiPriority w:val="99"/>
    <w:semiHidden/>
    <w:unhideWhenUsed/>
    <w:rsid w:val="00E015F5"/>
    <w:rPr>
      <w:vertAlign w:val="superscript"/>
    </w:rPr>
  </w:style>
  <w:style w:type="character" w:customStyle="1" w:styleId="Heading2Char">
    <w:name w:val="Heading 2 Char"/>
    <w:basedOn w:val="DefaultParagraphFont"/>
    <w:link w:val="Heading2"/>
    <w:uiPriority w:val="9"/>
    <w:rsid w:val="001C54E4"/>
    <w:rPr>
      <w:rFonts w:asciiTheme="majorHAnsi" w:eastAsiaTheme="majorEastAsia" w:hAnsiTheme="majorHAnsi" w:cs="B Traffic"/>
      <w:sz w:val="28"/>
      <w:szCs w:val="28"/>
      <w:lang w:bidi="fa-IR"/>
    </w:rPr>
  </w:style>
  <w:style w:type="character" w:customStyle="1" w:styleId="Heading3Char">
    <w:name w:val="Heading 3 Char"/>
    <w:basedOn w:val="DefaultParagraphFont"/>
    <w:link w:val="Heading3"/>
    <w:uiPriority w:val="9"/>
    <w:rsid w:val="001C54E4"/>
    <w:rPr>
      <w:rFonts w:asciiTheme="majorHAnsi" w:eastAsiaTheme="majorEastAsia" w:hAnsiTheme="majorHAnsi" w:cs="B Lotus"/>
      <w:sz w:val="28"/>
      <w:szCs w:val="28"/>
      <w:lang w:bidi="fa-IR"/>
    </w:rPr>
  </w:style>
  <w:style w:type="character" w:customStyle="1" w:styleId="Heading4Char">
    <w:name w:val="Heading 4 Char"/>
    <w:basedOn w:val="DefaultParagraphFont"/>
    <w:link w:val="Heading4"/>
    <w:uiPriority w:val="9"/>
    <w:rsid w:val="001C54E4"/>
    <w:rPr>
      <w:rFonts w:asciiTheme="majorHAnsi" w:eastAsiaTheme="majorEastAsia" w:hAnsiTheme="majorHAnsi" w:cs="B Lotus"/>
      <w:b/>
      <w:bCs/>
      <w:sz w:val="24"/>
      <w:szCs w:val="24"/>
      <w:lang w:bidi="fa-IR"/>
    </w:rPr>
  </w:style>
  <w:style w:type="character" w:customStyle="1" w:styleId="Heading5Char">
    <w:name w:val="Heading 5 Char"/>
    <w:basedOn w:val="DefaultParagraphFont"/>
    <w:link w:val="Heading5"/>
    <w:uiPriority w:val="9"/>
    <w:rsid w:val="00446D8E"/>
    <w:rPr>
      <w:rFonts w:asciiTheme="majorHAnsi" w:eastAsiaTheme="majorEastAsia" w:hAnsiTheme="majorHAnsi" w:cs="B Lotus"/>
      <w:i/>
      <w:iCs/>
      <w:sz w:val="24"/>
      <w:szCs w:val="24"/>
    </w:rPr>
  </w:style>
  <w:style w:type="paragraph" w:styleId="ListParagraph">
    <w:name w:val="List Paragraph"/>
    <w:basedOn w:val="Normal"/>
    <w:uiPriority w:val="34"/>
    <w:qFormat/>
    <w:rsid w:val="00562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CB"/>
    <w:pPr>
      <w:bidi/>
      <w:jc w:val="both"/>
    </w:pPr>
    <w:rPr>
      <w:rFonts w:ascii="B Lotus" w:hAnsi="B Lotus" w:cs="B Lotus"/>
      <w:sz w:val="30"/>
      <w:szCs w:val="30"/>
    </w:rPr>
  </w:style>
  <w:style w:type="paragraph" w:styleId="Heading1">
    <w:name w:val="heading 1"/>
    <w:basedOn w:val="Normal"/>
    <w:next w:val="Normal"/>
    <w:link w:val="Heading1Char"/>
    <w:uiPriority w:val="9"/>
    <w:qFormat/>
    <w:rsid w:val="001C54E4"/>
    <w:pPr>
      <w:keepNext/>
      <w:keepLines/>
      <w:spacing w:before="480" w:after="0"/>
      <w:outlineLvl w:val="0"/>
    </w:pPr>
    <w:rPr>
      <w:rFonts w:asciiTheme="majorHAnsi" w:eastAsiaTheme="majorEastAsia" w:hAnsiTheme="majorHAnsi" w:cs="B Titr"/>
      <w:sz w:val="28"/>
      <w:szCs w:val="28"/>
      <w:lang w:bidi="fa-IR"/>
    </w:rPr>
  </w:style>
  <w:style w:type="paragraph" w:styleId="Heading2">
    <w:name w:val="heading 2"/>
    <w:basedOn w:val="Normal"/>
    <w:next w:val="Normal"/>
    <w:link w:val="Heading2Char"/>
    <w:uiPriority w:val="9"/>
    <w:unhideWhenUsed/>
    <w:qFormat/>
    <w:rsid w:val="001C54E4"/>
    <w:pPr>
      <w:keepNext/>
      <w:keepLines/>
      <w:spacing w:before="200" w:after="0"/>
      <w:outlineLvl w:val="1"/>
    </w:pPr>
    <w:rPr>
      <w:rFonts w:asciiTheme="majorHAnsi" w:eastAsiaTheme="majorEastAsia" w:hAnsiTheme="majorHAnsi" w:cs="B Traffic"/>
      <w:sz w:val="28"/>
      <w:szCs w:val="28"/>
      <w:lang w:bidi="fa-IR"/>
    </w:rPr>
  </w:style>
  <w:style w:type="paragraph" w:styleId="Heading3">
    <w:name w:val="heading 3"/>
    <w:basedOn w:val="Normal"/>
    <w:next w:val="Normal"/>
    <w:link w:val="Heading3Char"/>
    <w:uiPriority w:val="9"/>
    <w:unhideWhenUsed/>
    <w:qFormat/>
    <w:rsid w:val="001C54E4"/>
    <w:pPr>
      <w:keepNext/>
      <w:keepLines/>
      <w:spacing w:before="200" w:after="0"/>
      <w:outlineLvl w:val="2"/>
    </w:pPr>
    <w:rPr>
      <w:rFonts w:asciiTheme="majorHAnsi" w:eastAsiaTheme="majorEastAsia" w:hAnsiTheme="majorHAnsi"/>
      <w:sz w:val="28"/>
      <w:szCs w:val="28"/>
      <w:lang w:bidi="fa-IR"/>
    </w:rPr>
  </w:style>
  <w:style w:type="paragraph" w:styleId="Heading4">
    <w:name w:val="heading 4"/>
    <w:basedOn w:val="Normal"/>
    <w:next w:val="Normal"/>
    <w:link w:val="Heading4Char"/>
    <w:uiPriority w:val="9"/>
    <w:unhideWhenUsed/>
    <w:qFormat/>
    <w:rsid w:val="001C54E4"/>
    <w:pPr>
      <w:keepNext/>
      <w:keepLines/>
      <w:spacing w:before="200" w:after="0"/>
      <w:outlineLvl w:val="3"/>
    </w:pPr>
    <w:rPr>
      <w:rFonts w:asciiTheme="majorHAnsi" w:eastAsiaTheme="majorEastAsia" w:hAnsiTheme="majorHAnsi"/>
      <w:b/>
      <w:bCs/>
      <w:sz w:val="24"/>
      <w:szCs w:val="24"/>
      <w:lang w:bidi="fa-IR"/>
    </w:rPr>
  </w:style>
  <w:style w:type="paragraph" w:styleId="Heading5">
    <w:name w:val="heading 5"/>
    <w:basedOn w:val="Normal"/>
    <w:next w:val="Normal"/>
    <w:link w:val="Heading5Char"/>
    <w:uiPriority w:val="9"/>
    <w:unhideWhenUsed/>
    <w:qFormat/>
    <w:rsid w:val="00446D8E"/>
    <w:pPr>
      <w:keepNext/>
      <w:keepLines/>
      <w:spacing w:before="200" w:after="0"/>
      <w:outlineLvl w:val="4"/>
    </w:pPr>
    <w:rPr>
      <w:rFonts w:asciiTheme="majorHAnsi" w:eastAsiaTheme="majorEastAsia" w:hAnsiTheme="majorHAns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EC7"/>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54E4"/>
    <w:rPr>
      <w:rFonts w:asciiTheme="majorHAnsi" w:eastAsiaTheme="majorEastAsia" w:hAnsiTheme="majorHAnsi" w:cs="B Titr"/>
      <w:sz w:val="28"/>
      <w:szCs w:val="28"/>
      <w:lang w:bidi="fa-IR"/>
    </w:rPr>
  </w:style>
  <w:style w:type="paragraph" w:styleId="FootnoteText">
    <w:name w:val="footnote text"/>
    <w:basedOn w:val="Normal"/>
    <w:link w:val="FootnoteTextChar"/>
    <w:uiPriority w:val="99"/>
    <w:semiHidden/>
    <w:unhideWhenUsed/>
    <w:rsid w:val="00E01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5F5"/>
    <w:rPr>
      <w:rFonts w:ascii="B Lotus" w:hAnsi="B Lotus" w:cs="B Lotus"/>
      <w:sz w:val="20"/>
      <w:szCs w:val="20"/>
    </w:rPr>
  </w:style>
  <w:style w:type="character" w:styleId="FootnoteReference">
    <w:name w:val="footnote reference"/>
    <w:basedOn w:val="DefaultParagraphFont"/>
    <w:uiPriority w:val="99"/>
    <w:semiHidden/>
    <w:unhideWhenUsed/>
    <w:rsid w:val="00E015F5"/>
    <w:rPr>
      <w:vertAlign w:val="superscript"/>
    </w:rPr>
  </w:style>
  <w:style w:type="character" w:customStyle="1" w:styleId="Heading2Char">
    <w:name w:val="Heading 2 Char"/>
    <w:basedOn w:val="DefaultParagraphFont"/>
    <w:link w:val="Heading2"/>
    <w:uiPriority w:val="9"/>
    <w:rsid w:val="001C54E4"/>
    <w:rPr>
      <w:rFonts w:asciiTheme="majorHAnsi" w:eastAsiaTheme="majorEastAsia" w:hAnsiTheme="majorHAnsi" w:cs="B Traffic"/>
      <w:sz w:val="28"/>
      <w:szCs w:val="28"/>
      <w:lang w:bidi="fa-IR"/>
    </w:rPr>
  </w:style>
  <w:style w:type="character" w:customStyle="1" w:styleId="Heading3Char">
    <w:name w:val="Heading 3 Char"/>
    <w:basedOn w:val="DefaultParagraphFont"/>
    <w:link w:val="Heading3"/>
    <w:uiPriority w:val="9"/>
    <w:rsid w:val="001C54E4"/>
    <w:rPr>
      <w:rFonts w:asciiTheme="majorHAnsi" w:eastAsiaTheme="majorEastAsia" w:hAnsiTheme="majorHAnsi" w:cs="B Lotus"/>
      <w:sz w:val="28"/>
      <w:szCs w:val="28"/>
      <w:lang w:bidi="fa-IR"/>
    </w:rPr>
  </w:style>
  <w:style w:type="character" w:customStyle="1" w:styleId="Heading4Char">
    <w:name w:val="Heading 4 Char"/>
    <w:basedOn w:val="DefaultParagraphFont"/>
    <w:link w:val="Heading4"/>
    <w:uiPriority w:val="9"/>
    <w:rsid w:val="001C54E4"/>
    <w:rPr>
      <w:rFonts w:asciiTheme="majorHAnsi" w:eastAsiaTheme="majorEastAsia" w:hAnsiTheme="majorHAnsi" w:cs="B Lotus"/>
      <w:b/>
      <w:bCs/>
      <w:sz w:val="24"/>
      <w:szCs w:val="24"/>
      <w:lang w:bidi="fa-IR"/>
    </w:rPr>
  </w:style>
  <w:style w:type="character" w:customStyle="1" w:styleId="Heading5Char">
    <w:name w:val="Heading 5 Char"/>
    <w:basedOn w:val="DefaultParagraphFont"/>
    <w:link w:val="Heading5"/>
    <w:uiPriority w:val="9"/>
    <w:rsid w:val="00446D8E"/>
    <w:rPr>
      <w:rFonts w:asciiTheme="majorHAnsi" w:eastAsiaTheme="majorEastAsia" w:hAnsiTheme="majorHAnsi" w:cs="B Lotus"/>
      <w:i/>
      <w:iCs/>
      <w:sz w:val="24"/>
      <w:szCs w:val="24"/>
    </w:rPr>
  </w:style>
  <w:style w:type="paragraph" w:styleId="ListParagraph">
    <w:name w:val="List Paragraph"/>
    <w:basedOn w:val="Normal"/>
    <w:uiPriority w:val="34"/>
    <w:qFormat/>
    <w:rsid w:val="00562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31856">
      <w:bodyDiv w:val="1"/>
      <w:marLeft w:val="0"/>
      <w:marRight w:val="0"/>
      <w:marTop w:val="0"/>
      <w:marBottom w:val="0"/>
      <w:divBdr>
        <w:top w:val="none" w:sz="0" w:space="0" w:color="auto"/>
        <w:left w:val="none" w:sz="0" w:space="0" w:color="auto"/>
        <w:bottom w:val="none" w:sz="0" w:space="0" w:color="auto"/>
        <w:right w:val="none" w:sz="0" w:space="0" w:color="auto"/>
      </w:divBdr>
    </w:div>
    <w:div w:id="310404929">
      <w:bodyDiv w:val="1"/>
      <w:marLeft w:val="0"/>
      <w:marRight w:val="0"/>
      <w:marTop w:val="0"/>
      <w:marBottom w:val="0"/>
      <w:divBdr>
        <w:top w:val="none" w:sz="0" w:space="0" w:color="auto"/>
        <w:left w:val="none" w:sz="0" w:space="0" w:color="auto"/>
        <w:bottom w:val="none" w:sz="0" w:space="0" w:color="auto"/>
        <w:right w:val="none" w:sz="0" w:space="0" w:color="auto"/>
      </w:divBdr>
    </w:div>
    <w:div w:id="687678531">
      <w:bodyDiv w:val="1"/>
      <w:marLeft w:val="0"/>
      <w:marRight w:val="0"/>
      <w:marTop w:val="0"/>
      <w:marBottom w:val="0"/>
      <w:divBdr>
        <w:top w:val="none" w:sz="0" w:space="0" w:color="auto"/>
        <w:left w:val="none" w:sz="0" w:space="0" w:color="auto"/>
        <w:bottom w:val="none" w:sz="0" w:space="0" w:color="auto"/>
        <w:right w:val="none" w:sz="0" w:space="0" w:color="auto"/>
      </w:divBdr>
    </w:div>
    <w:div w:id="854877490">
      <w:bodyDiv w:val="1"/>
      <w:marLeft w:val="0"/>
      <w:marRight w:val="0"/>
      <w:marTop w:val="0"/>
      <w:marBottom w:val="0"/>
      <w:divBdr>
        <w:top w:val="none" w:sz="0" w:space="0" w:color="auto"/>
        <w:left w:val="none" w:sz="0" w:space="0" w:color="auto"/>
        <w:bottom w:val="none" w:sz="0" w:space="0" w:color="auto"/>
        <w:right w:val="none" w:sz="0" w:space="0" w:color="auto"/>
      </w:divBdr>
    </w:div>
    <w:div w:id="903492050">
      <w:bodyDiv w:val="1"/>
      <w:marLeft w:val="0"/>
      <w:marRight w:val="0"/>
      <w:marTop w:val="0"/>
      <w:marBottom w:val="0"/>
      <w:divBdr>
        <w:top w:val="none" w:sz="0" w:space="0" w:color="auto"/>
        <w:left w:val="none" w:sz="0" w:space="0" w:color="auto"/>
        <w:bottom w:val="none" w:sz="0" w:space="0" w:color="auto"/>
        <w:right w:val="none" w:sz="0" w:space="0" w:color="auto"/>
      </w:divBdr>
    </w:div>
    <w:div w:id="1010835424">
      <w:bodyDiv w:val="1"/>
      <w:marLeft w:val="0"/>
      <w:marRight w:val="0"/>
      <w:marTop w:val="0"/>
      <w:marBottom w:val="0"/>
      <w:divBdr>
        <w:top w:val="none" w:sz="0" w:space="0" w:color="auto"/>
        <w:left w:val="none" w:sz="0" w:space="0" w:color="auto"/>
        <w:bottom w:val="none" w:sz="0" w:space="0" w:color="auto"/>
        <w:right w:val="none" w:sz="0" w:space="0" w:color="auto"/>
      </w:divBdr>
    </w:div>
    <w:div w:id="1040007341">
      <w:bodyDiv w:val="1"/>
      <w:marLeft w:val="0"/>
      <w:marRight w:val="0"/>
      <w:marTop w:val="0"/>
      <w:marBottom w:val="0"/>
      <w:divBdr>
        <w:top w:val="none" w:sz="0" w:space="0" w:color="auto"/>
        <w:left w:val="none" w:sz="0" w:space="0" w:color="auto"/>
        <w:bottom w:val="none" w:sz="0" w:space="0" w:color="auto"/>
        <w:right w:val="none" w:sz="0" w:space="0" w:color="auto"/>
      </w:divBdr>
    </w:div>
    <w:div w:id="1248149741">
      <w:bodyDiv w:val="1"/>
      <w:marLeft w:val="0"/>
      <w:marRight w:val="0"/>
      <w:marTop w:val="0"/>
      <w:marBottom w:val="0"/>
      <w:divBdr>
        <w:top w:val="none" w:sz="0" w:space="0" w:color="auto"/>
        <w:left w:val="none" w:sz="0" w:space="0" w:color="auto"/>
        <w:bottom w:val="none" w:sz="0" w:space="0" w:color="auto"/>
        <w:right w:val="none" w:sz="0" w:space="0" w:color="auto"/>
      </w:divBdr>
    </w:div>
    <w:div w:id="1292445445">
      <w:bodyDiv w:val="1"/>
      <w:marLeft w:val="0"/>
      <w:marRight w:val="0"/>
      <w:marTop w:val="0"/>
      <w:marBottom w:val="0"/>
      <w:divBdr>
        <w:top w:val="none" w:sz="0" w:space="0" w:color="auto"/>
        <w:left w:val="none" w:sz="0" w:space="0" w:color="auto"/>
        <w:bottom w:val="none" w:sz="0" w:space="0" w:color="auto"/>
        <w:right w:val="none" w:sz="0" w:space="0" w:color="auto"/>
      </w:divBdr>
    </w:div>
    <w:div w:id="1359621034">
      <w:bodyDiv w:val="1"/>
      <w:marLeft w:val="0"/>
      <w:marRight w:val="0"/>
      <w:marTop w:val="0"/>
      <w:marBottom w:val="0"/>
      <w:divBdr>
        <w:top w:val="none" w:sz="0" w:space="0" w:color="auto"/>
        <w:left w:val="none" w:sz="0" w:space="0" w:color="auto"/>
        <w:bottom w:val="none" w:sz="0" w:space="0" w:color="auto"/>
        <w:right w:val="none" w:sz="0" w:space="0" w:color="auto"/>
      </w:divBdr>
    </w:div>
    <w:div w:id="1416514165">
      <w:bodyDiv w:val="1"/>
      <w:marLeft w:val="0"/>
      <w:marRight w:val="0"/>
      <w:marTop w:val="0"/>
      <w:marBottom w:val="0"/>
      <w:divBdr>
        <w:top w:val="none" w:sz="0" w:space="0" w:color="auto"/>
        <w:left w:val="none" w:sz="0" w:space="0" w:color="auto"/>
        <w:bottom w:val="none" w:sz="0" w:space="0" w:color="auto"/>
        <w:right w:val="none" w:sz="0" w:space="0" w:color="auto"/>
      </w:divBdr>
    </w:div>
    <w:div w:id="1569536481">
      <w:bodyDiv w:val="1"/>
      <w:marLeft w:val="0"/>
      <w:marRight w:val="0"/>
      <w:marTop w:val="0"/>
      <w:marBottom w:val="0"/>
      <w:divBdr>
        <w:top w:val="none" w:sz="0" w:space="0" w:color="auto"/>
        <w:left w:val="none" w:sz="0" w:space="0" w:color="auto"/>
        <w:bottom w:val="none" w:sz="0" w:space="0" w:color="auto"/>
        <w:right w:val="none" w:sz="0" w:space="0" w:color="auto"/>
      </w:divBdr>
    </w:div>
    <w:div w:id="185063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Pages>
  <Words>1576</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Ahsani</cp:lastModifiedBy>
  <cp:revision>61</cp:revision>
  <dcterms:created xsi:type="dcterms:W3CDTF">2016-06-03T07:55:00Z</dcterms:created>
  <dcterms:modified xsi:type="dcterms:W3CDTF">2016-09-07T02:19:00Z</dcterms:modified>
</cp:coreProperties>
</file>