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CB" w:rsidRPr="00C55DCB" w:rsidRDefault="000B74AB" w:rsidP="00E117A4">
      <w:pPr>
        <w:pStyle w:val="a9"/>
        <w:jc w:val="both"/>
        <w:rPr>
          <w:rtl/>
        </w:rPr>
      </w:pPr>
      <w:r w:rsidRPr="00C55DCB">
        <w:rPr>
          <w:rFonts w:hint="cs"/>
          <w:rtl/>
        </w:rPr>
        <w:t>1394.11.24</w:t>
      </w:r>
    </w:p>
    <w:p w:rsidR="004B2917" w:rsidRDefault="004B2917" w:rsidP="00E117A4">
      <w:pPr>
        <w:pStyle w:val="1"/>
        <w:spacing w:before="0"/>
        <w:jc w:val="both"/>
        <w:rPr>
          <w:rtl/>
        </w:rPr>
      </w:pPr>
      <w:r>
        <w:rPr>
          <w:rFonts w:hint="cs"/>
          <w:rtl/>
        </w:rPr>
        <w:t xml:space="preserve">اختصاص ما لا </w:t>
      </w:r>
      <w:proofErr w:type="spellStart"/>
      <w:r>
        <w:rPr>
          <w:rFonts w:hint="cs"/>
          <w:rtl/>
        </w:rPr>
        <w:t>یعلمون</w:t>
      </w:r>
      <w:proofErr w:type="spellEnd"/>
      <w:r>
        <w:rPr>
          <w:rFonts w:hint="cs"/>
          <w:rtl/>
        </w:rPr>
        <w:t xml:space="preserve"> به فعل </w:t>
      </w:r>
    </w:p>
    <w:p w:rsidR="004B2917" w:rsidRDefault="004B2917" w:rsidP="00E117A4">
      <w:pPr>
        <w:spacing w:after="0"/>
        <w:jc w:val="both"/>
        <w:rPr>
          <w:rtl/>
        </w:rPr>
      </w:pPr>
      <w:r>
        <w:rPr>
          <w:rFonts w:hint="cs"/>
          <w:rtl/>
        </w:rPr>
        <w:t xml:space="preserve">در رابطه با حدیث رفع بیان شد؛ حدیث رفع با تعابیر متفاوت خود ( رفع، وضع، عفو و تجاوز) در هیچ یک از استعمالات قرآنی و روایی در مورد نفی </w:t>
      </w:r>
      <w:proofErr w:type="spellStart"/>
      <w:r>
        <w:rPr>
          <w:rFonts w:hint="cs"/>
          <w:rtl/>
        </w:rPr>
        <w:t>الالزام</w:t>
      </w:r>
      <w:proofErr w:type="spellEnd"/>
      <w:r>
        <w:rPr>
          <w:rFonts w:hint="cs"/>
          <w:rtl/>
        </w:rPr>
        <w:t xml:space="preserve"> یا نفی </w:t>
      </w:r>
      <w:proofErr w:type="spellStart"/>
      <w:r>
        <w:rPr>
          <w:rFonts w:hint="cs"/>
          <w:rtl/>
        </w:rPr>
        <w:t>الحرمه</w:t>
      </w:r>
      <w:proofErr w:type="spellEnd"/>
      <w:r>
        <w:rPr>
          <w:rFonts w:hint="cs"/>
          <w:rtl/>
        </w:rPr>
        <w:t xml:space="preserve">، استعمال نشده و در تمام استعمالات یا به معنای رفع </w:t>
      </w:r>
      <w:proofErr w:type="spellStart"/>
      <w:r>
        <w:rPr>
          <w:rFonts w:hint="cs"/>
          <w:rtl/>
        </w:rPr>
        <w:t>الفعل</w:t>
      </w:r>
      <w:proofErr w:type="spellEnd"/>
      <w:r>
        <w:rPr>
          <w:rFonts w:hint="cs"/>
          <w:rtl/>
        </w:rPr>
        <w:t xml:space="preserve"> است یا به معنای رفع تبعه </w:t>
      </w:r>
      <w:proofErr w:type="spellStart"/>
      <w:r>
        <w:rPr>
          <w:rFonts w:hint="cs"/>
          <w:rtl/>
        </w:rPr>
        <w:t>الفعل</w:t>
      </w:r>
      <w:proofErr w:type="spellEnd"/>
      <w:r>
        <w:rPr>
          <w:rFonts w:hint="cs"/>
          <w:rtl/>
        </w:rPr>
        <w:t xml:space="preserve"> ( مؤاخذه، </w:t>
      </w:r>
      <w:proofErr w:type="spellStart"/>
      <w:r>
        <w:rPr>
          <w:rFonts w:hint="cs"/>
          <w:rtl/>
        </w:rPr>
        <w:t>اثم</w:t>
      </w:r>
      <w:proofErr w:type="spellEnd"/>
      <w:r>
        <w:rPr>
          <w:rFonts w:hint="cs"/>
          <w:rtl/>
        </w:rPr>
        <w:t xml:space="preserve"> و کفاره)</w:t>
      </w:r>
      <w:r w:rsidR="00A430C5">
        <w:rPr>
          <w:rFonts w:hint="cs"/>
          <w:rtl/>
        </w:rPr>
        <w:t xml:space="preserve"> می باشد.</w:t>
      </w:r>
      <w:r>
        <w:rPr>
          <w:rFonts w:hint="cs"/>
          <w:rtl/>
        </w:rPr>
        <w:t xml:space="preserve"> </w:t>
      </w:r>
    </w:p>
    <w:p w:rsidR="00A22DD2" w:rsidRDefault="00A22DD2" w:rsidP="00E117A4">
      <w:pPr>
        <w:pStyle w:val="2"/>
        <w:spacing w:before="0"/>
        <w:jc w:val="both"/>
        <w:rPr>
          <w:rtl/>
        </w:rPr>
      </w:pPr>
      <w:r>
        <w:rPr>
          <w:rFonts w:hint="cs"/>
          <w:rtl/>
        </w:rPr>
        <w:t xml:space="preserve">اختصاص ما لا </w:t>
      </w:r>
      <w:proofErr w:type="spellStart"/>
      <w:r>
        <w:rPr>
          <w:rFonts w:hint="cs"/>
          <w:rtl/>
        </w:rPr>
        <w:t>یعلمون</w:t>
      </w:r>
      <w:proofErr w:type="spellEnd"/>
      <w:r>
        <w:rPr>
          <w:rFonts w:hint="cs"/>
          <w:rtl/>
        </w:rPr>
        <w:t xml:space="preserve"> به </w:t>
      </w:r>
      <w:proofErr w:type="spellStart"/>
      <w:r>
        <w:rPr>
          <w:rFonts w:hint="cs"/>
          <w:rtl/>
        </w:rPr>
        <w:t>شبهات</w:t>
      </w:r>
      <w:proofErr w:type="spellEnd"/>
      <w:r>
        <w:rPr>
          <w:rFonts w:hint="cs"/>
          <w:rtl/>
        </w:rPr>
        <w:t xml:space="preserve"> </w:t>
      </w:r>
      <w:proofErr w:type="spellStart"/>
      <w:r>
        <w:rPr>
          <w:rFonts w:hint="cs"/>
          <w:rtl/>
        </w:rPr>
        <w:t>موضوعیه</w:t>
      </w:r>
      <w:proofErr w:type="spellEnd"/>
    </w:p>
    <w:p w:rsidR="004B2917" w:rsidRDefault="004B2917" w:rsidP="00E117A4">
      <w:pPr>
        <w:spacing w:after="0"/>
        <w:jc w:val="both"/>
        <w:rPr>
          <w:rtl/>
        </w:rPr>
      </w:pPr>
      <w:r>
        <w:rPr>
          <w:rFonts w:hint="cs"/>
          <w:rtl/>
        </w:rPr>
        <w:t xml:space="preserve">با این بیان برخی از مباحث مطرح در رابطه با حدیث رفع، بدون موضوع </w:t>
      </w:r>
      <w:r w:rsidR="00A22DD2">
        <w:rPr>
          <w:rFonts w:hint="cs"/>
          <w:rtl/>
        </w:rPr>
        <w:t xml:space="preserve">می </w:t>
      </w:r>
      <w:r>
        <w:rPr>
          <w:rFonts w:hint="cs"/>
          <w:rtl/>
        </w:rPr>
        <w:t xml:space="preserve">باشد. مثلا مرحوم شیخ </w:t>
      </w:r>
      <w:r w:rsidRPr="009F18C5">
        <w:sym w:font="S Abo-thar" w:char="F075"/>
      </w:r>
      <w:r w:rsidR="00870F40">
        <w:rPr>
          <w:rStyle w:val="af7"/>
        </w:rPr>
        <w:footnoteReference w:id="1"/>
      </w:r>
      <w:r>
        <w:rPr>
          <w:rFonts w:hint="cs"/>
          <w:rtl/>
        </w:rPr>
        <w:t xml:space="preserve"> در مبحث شمول حدیث رفع نسبت به </w:t>
      </w:r>
      <w:proofErr w:type="spellStart"/>
      <w:r>
        <w:rPr>
          <w:rFonts w:hint="cs"/>
          <w:rtl/>
        </w:rPr>
        <w:t>شبهات</w:t>
      </w:r>
      <w:proofErr w:type="spellEnd"/>
      <w:r>
        <w:rPr>
          <w:rFonts w:hint="cs"/>
          <w:rtl/>
        </w:rPr>
        <w:t xml:space="preserve"> </w:t>
      </w:r>
      <w:proofErr w:type="spellStart"/>
      <w:r>
        <w:rPr>
          <w:rFonts w:hint="cs"/>
          <w:rtl/>
        </w:rPr>
        <w:t>موضوعیه</w:t>
      </w:r>
      <w:proofErr w:type="spellEnd"/>
      <w:r>
        <w:rPr>
          <w:rFonts w:hint="cs"/>
          <w:rtl/>
        </w:rPr>
        <w:t xml:space="preserve">، می گویند: هر چند ما لا </w:t>
      </w:r>
      <w:proofErr w:type="spellStart"/>
      <w:r>
        <w:rPr>
          <w:rFonts w:hint="cs"/>
          <w:rtl/>
        </w:rPr>
        <w:t>یعلمون</w:t>
      </w:r>
      <w:proofErr w:type="spellEnd"/>
      <w:r>
        <w:rPr>
          <w:rFonts w:hint="cs"/>
          <w:rtl/>
        </w:rPr>
        <w:t xml:space="preserve"> عام بوده و </w:t>
      </w:r>
      <w:proofErr w:type="spellStart"/>
      <w:r>
        <w:rPr>
          <w:rFonts w:hint="cs"/>
          <w:rtl/>
        </w:rPr>
        <w:t>شبهات</w:t>
      </w:r>
      <w:proofErr w:type="spellEnd"/>
      <w:r>
        <w:rPr>
          <w:rFonts w:hint="cs"/>
          <w:rtl/>
        </w:rPr>
        <w:t xml:space="preserve"> </w:t>
      </w:r>
      <w:proofErr w:type="spellStart"/>
      <w:r>
        <w:rPr>
          <w:rFonts w:hint="cs"/>
          <w:rtl/>
        </w:rPr>
        <w:t>حکمیه</w:t>
      </w:r>
      <w:proofErr w:type="spellEnd"/>
      <w:r>
        <w:rPr>
          <w:rFonts w:hint="cs"/>
          <w:rtl/>
        </w:rPr>
        <w:t xml:space="preserve"> را نیز شامل است اما؛ به قرینه سایر فقرات حدیث رفع که اختصاص به رفع </w:t>
      </w:r>
      <w:proofErr w:type="spellStart"/>
      <w:r>
        <w:rPr>
          <w:rFonts w:hint="cs"/>
          <w:rtl/>
        </w:rPr>
        <w:t>الفعل</w:t>
      </w:r>
      <w:proofErr w:type="spellEnd"/>
      <w:r>
        <w:rPr>
          <w:rFonts w:hint="cs"/>
          <w:rtl/>
        </w:rPr>
        <w:t xml:space="preserve"> دارد</w:t>
      </w:r>
      <w:r w:rsidR="00A430C5">
        <w:rPr>
          <w:rFonts w:hint="cs"/>
          <w:rtl/>
        </w:rPr>
        <w:t>،</w:t>
      </w:r>
      <w:r>
        <w:rPr>
          <w:rFonts w:hint="cs"/>
          <w:rtl/>
        </w:rPr>
        <w:t xml:space="preserve"> این فقره نیز رفع </w:t>
      </w:r>
      <w:proofErr w:type="spellStart"/>
      <w:r>
        <w:rPr>
          <w:rFonts w:hint="cs"/>
          <w:rtl/>
        </w:rPr>
        <w:t>الفعل</w:t>
      </w:r>
      <w:proofErr w:type="spellEnd"/>
      <w:r>
        <w:rPr>
          <w:rFonts w:hint="cs"/>
          <w:rtl/>
        </w:rPr>
        <w:t xml:space="preserve"> است و با این قرینه رفع ما لا </w:t>
      </w:r>
      <w:proofErr w:type="spellStart"/>
      <w:r>
        <w:rPr>
          <w:rFonts w:hint="cs"/>
          <w:rtl/>
        </w:rPr>
        <w:t>یعلمون</w:t>
      </w:r>
      <w:proofErr w:type="spellEnd"/>
      <w:r>
        <w:rPr>
          <w:rFonts w:hint="cs"/>
          <w:rtl/>
        </w:rPr>
        <w:t xml:space="preserve"> مختص به </w:t>
      </w:r>
      <w:proofErr w:type="spellStart"/>
      <w:r>
        <w:rPr>
          <w:rFonts w:hint="cs"/>
          <w:rtl/>
        </w:rPr>
        <w:t>شبهات</w:t>
      </w:r>
      <w:proofErr w:type="spellEnd"/>
      <w:r>
        <w:rPr>
          <w:rFonts w:hint="cs"/>
          <w:rtl/>
        </w:rPr>
        <w:t xml:space="preserve"> </w:t>
      </w:r>
      <w:proofErr w:type="spellStart"/>
      <w:r>
        <w:rPr>
          <w:rFonts w:hint="cs"/>
          <w:rtl/>
        </w:rPr>
        <w:t>موضوعیه</w:t>
      </w:r>
      <w:proofErr w:type="spellEnd"/>
      <w:r>
        <w:rPr>
          <w:rFonts w:hint="cs"/>
          <w:rtl/>
        </w:rPr>
        <w:t xml:space="preserve"> می باشد. </w:t>
      </w:r>
      <w:r w:rsidR="00A22DD2">
        <w:rPr>
          <w:rFonts w:hint="cs"/>
          <w:rtl/>
        </w:rPr>
        <w:t xml:space="preserve">بحث در مورد قرینه سیاق در کلمات بسیاری از علما مانند شهید صدر </w:t>
      </w:r>
      <w:r w:rsidR="00A22DD2" w:rsidRPr="009F18C5">
        <w:sym w:font="S Abo-thar" w:char="F075"/>
      </w:r>
      <w:r w:rsidR="00870F40">
        <w:rPr>
          <w:rStyle w:val="af7"/>
        </w:rPr>
        <w:footnoteReference w:id="2"/>
      </w:r>
      <w:r w:rsidR="00A22DD2">
        <w:rPr>
          <w:rFonts w:hint="cs"/>
          <w:rtl/>
        </w:rPr>
        <w:t xml:space="preserve"> طرح و بررسی شده است. </w:t>
      </w:r>
    </w:p>
    <w:p w:rsidR="00A22DD2" w:rsidRDefault="004B2917" w:rsidP="00E117A4">
      <w:pPr>
        <w:spacing w:after="0"/>
        <w:jc w:val="both"/>
        <w:rPr>
          <w:rtl/>
        </w:rPr>
      </w:pPr>
      <w:r>
        <w:rPr>
          <w:rFonts w:hint="cs"/>
          <w:rtl/>
        </w:rPr>
        <w:t xml:space="preserve">به نظر می رسد؛ برای اثبات اختصاص رفع ما لا </w:t>
      </w:r>
      <w:proofErr w:type="spellStart"/>
      <w:r>
        <w:rPr>
          <w:rFonts w:hint="cs"/>
          <w:rtl/>
        </w:rPr>
        <w:t>یعلمون</w:t>
      </w:r>
      <w:proofErr w:type="spellEnd"/>
      <w:r>
        <w:rPr>
          <w:rFonts w:hint="cs"/>
          <w:rtl/>
        </w:rPr>
        <w:t xml:space="preserve"> به فعل نیازی به استدلال به قرینه سیاق نیست زیرا همانگونه که بیان شد؛ به قرینه عدم استعمال رفع در رفع حکم،</w:t>
      </w:r>
      <w:r w:rsidR="00A22DD2">
        <w:rPr>
          <w:rFonts w:hint="cs"/>
          <w:rtl/>
        </w:rPr>
        <w:t xml:space="preserve"> ما لا </w:t>
      </w:r>
      <w:proofErr w:type="spellStart"/>
      <w:r w:rsidR="00A22DD2">
        <w:rPr>
          <w:rFonts w:hint="cs"/>
          <w:rtl/>
        </w:rPr>
        <w:t>یعلمون</w:t>
      </w:r>
      <w:proofErr w:type="spellEnd"/>
      <w:r w:rsidR="00A22DD2">
        <w:rPr>
          <w:rFonts w:hint="cs"/>
          <w:rtl/>
        </w:rPr>
        <w:t xml:space="preserve"> حکم را شامل نبوده، یا خود فعل </w:t>
      </w:r>
      <w:proofErr w:type="spellStart"/>
      <w:r w:rsidR="00A22DD2">
        <w:rPr>
          <w:rFonts w:hint="cs"/>
          <w:rtl/>
        </w:rPr>
        <w:t>مرفوع</w:t>
      </w:r>
      <w:proofErr w:type="spellEnd"/>
      <w:r w:rsidR="00A22DD2">
        <w:rPr>
          <w:rFonts w:hint="cs"/>
          <w:rtl/>
        </w:rPr>
        <w:t xml:space="preserve"> می باشد </w:t>
      </w:r>
      <w:r w:rsidR="00A22DD2">
        <w:rPr>
          <w:rFonts w:ascii="Times New Roman" w:hAnsi="Times New Roman" w:cs="Times New Roman" w:hint="cs"/>
          <w:rtl/>
        </w:rPr>
        <w:t>–</w:t>
      </w:r>
      <w:r w:rsidR="00A22DD2">
        <w:rPr>
          <w:rFonts w:hint="cs"/>
          <w:rtl/>
        </w:rPr>
        <w:t xml:space="preserve"> فعل قبل از عمل </w:t>
      </w:r>
      <w:r w:rsidR="00A22DD2">
        <w:rPr>
          <w:rFonts w:ascii="Times New Roman" w:hAnsi="Times New Roman" w:cs="Times New Roman" w:hint="cs"/>
          <w:rtl/>
        </w:rPr>
        <w:t>–</w:t>
      </w:r>
      <w:r w:rsidR="00A22DD2">
        <w:rPr>
          <w:rFonts w:hint="cs"/>
          <w:rtl/>
        </w:rPr>
        <w:t xml:space="preserve"> یا تبعات فعل </w:t>
      </w:r>
      <w:proofErr w:type="spellStart"/>
      <w:r w:rsidR="00A22DD2">
        <w:rPr>
          <w:rFonts w:hint="cs"/>
          <w:rtl/>
        </w:rPr>
        <w:t>مرفوع</w:t>
      </w:r>
      <w:proofErr w:type="spellEnd"/>
      <w:r w:rsidR="00A22DD2">
        <w:rPr>
          <w:rFonts w:hint="cs"/>
          <w:rtl/>
        </w:rPr>
        <w:t xml:space="preserve"> می باشد </w:t>
      </w:r>
      <w:r w:rsidR="00A22DD2">
        <w:rPr>
          <w:rFonts w:ascii="Times New Roman" w:hAnsi="Times New Roman" w:cs="Times New Roman" w:hint="cs"/>
          <w:rtl/>
        </w:rPr>
        <w:t>–</w:t>
      </w:r>
      <w:r w:rsidR="00A22DD2">
        <w:rPr>
          <w:rFonts w:hint="cs"/>
          <w:rtl/>
        </w:rPr>
        <w:t xml:space="preserve"> فعل بعد از عمل </w:t>
      </w:r>
      <w:r w:rsidR="00A22DD2">
        <w:rPr>
          <w:rFonts w:ascii="Times New Roman" w:hAnsi="Times New Roman" w:cs="Times New Roman" w:hint="cs"/>
          <w:rtl/>
        </w:rPr>
        <w:t>–</w:t>
      </w:r>
      <w:r w:rsidR="00A22DD2">
        <w:rPr>
          <w:rFonts w:hint="cs"/>
          <w:rtl/>
        </w:rPr>
        <w:t xml:space="preserve"> </w:t>
      </w:r>
    </w:p>
    <w:p w:rsidR="006D5486" w:rsidRDefault="00870F40" w:rsidP="00E117A4">
      <w:pPr>
        <w:spacing w:after="0"/>
        <w:jc w:val="both"/>
        <w:rPr>
          <w:rtl/>
        </w:rPr>
      </w:pPr>
      <w:r>
        <w:rPr>
          <w:rFonts w:hint="cs"/>
          <w:rtl/>
        </w:rPr>
        <w:t xml:space="preserve">اما با این حال اختصاص حدیث رفع به </w:t>
      </w:r>
      <w:proofErr w:type="spellStart"/>
      <w:r>
        <w:rPr>
          <w:rFonts w:hint="cs"/>
          <w:rtl/>
        </w:rPr>
        <w:t>شبهات</w:t>
      </w:r>
      <w:proofErr w:type="spellEnd"/>
      <w:r>
        <w:rPr>
          <w:rFonts w:hint="cs"/>
          <w:rtl/>
        </w:rPr>
        <w:t xml:space="preserve"> </w:t>
      </w:r>
      <w:proofErr w:type="spellStart"/>
      <w:r>
        <w:rPr>
          <w:rFonts w:hint="cs"/>
          <w:rtl/>
        </w:rPr>
        <w:t>موضوعیه</w:t>
      </w:r>
      <w:proofErr w:type="spellEnd"/>
      <w:r>
        <w:rPr>
          <w:rFonts w:hint="cs"/>
          <w:rtl/>
        </w:rPr>
        <w:t xml:space="preserve"> ناتمام می باشد. مرحوم شیخ </w:t>
      </w:r>
      <w:r w:rsidRPr="009F18C5">
        <w:sym w:font="S Abo-thar" w:char="F075"/>
      </w:r>
      <w:r>
        <w:rPr>
          <w:rFonts w:hint="cs"/>
          <w:rtl/>
        </w:rPr>
        <w:t xml:space="preserve"> ما لا </w:t>
      </w:r>
      <w:proofErr w:type="spellStart"/>
      <w:r>
        <w:rPr>
          <w:rFonts w:hint="cs"/>
          <w:rtl/>
        </w:rPr>
        <w:t>یعلمون</w:t>
      </w:r>
      <w:proofErr w:type="spellEnd"/>
      <w:r>
        <w:rPr>
          <w:rFonts w:hint="cs"/>
          <w:rtl/>
        </w:rPr>
        <w:t xml:space="preserve"> را در فرض اختصاص به فعل به این معنا می دانند که فعلی ک</w:t>
      </w:r>
      <w:r w:rsidR="006D5486">
        <w:rPr>
          <w:rFonts w:hint="cs"/>
          <w:rtl/>
        </w:rPr>
        <w:t>ه عنوانش مجهول است، رفع شده است که</w:t>
      </w:r>
      <w:r>
        <w:rPr>
          <w:rFonts w:hint="cs"/>
          <w:rtl/>
        </w:rPr>
        <w:t xml:space="preserve"> با این تقریب </w:t>
      </w:r>
      <w:proofErr w:type="spellStart"/>
      <w:r>
        <w:rPr>
          <w:rFonts w:hint="cs"/>
          <w:rtl/>
        </w:rPr>
        <w:t>شبهات</w:t>
      </w:r>
      <w:proofErr w:type="spellEnd"/>
      <w:r>
        <w:rPr>
          <w:rFonts w:hint="cs"/>
          <w:rtl/>
        </w:rPr>
        <w:t xml:space="preserve"> </w:t>
      </w:r>
      <w:proofErr w:type="spellStart"/>
      <w:r>
        <w:rPr>
          <w:rFonts w:hint="cs"/>
          <w:rtl/>
        </w:rPr>
        <w:t>حکمیه</w:t>
      </w:r>
      <w:proofErr w:type="spellEnd"/>
      <w:r>
        <w:rPr>
          <w:rFonts w:hint="cs"/>
          <w:rtl/>
        </w:rPr>
        <w:t xml:space="preserve"> از ما لا </w:t>
      </w:r>
      <w:proofErr w:type="spellStart"/>
      <w:r>
        <w:rPr>
          <w:rFonts w:hint="cs"/>
          <w:rtl/>
        </w:rPr>
        <w:t>یعلمون</w:t>
      </w:r>
      <w:proofErr w:type="spellEnd"/>
      <w:r>
        <w:rPr>
          <w:rFonts w:hint="cs"/>
          <w:rtl/>
        </w:rPr>
        <w:t xml:space="preserve"> خارج است زیرا؛ عنوان فعل در </w:t>
      </w:r>
      <w:proofErr w:type="spellStart"/>
      <w:r>
        <w:rPr>
          <w:rFonts w:hint="cs"/>
          <w:rtl/>
        </w:rPr>
        <w:t>شبهات</w:t>
      </w:r>
      <w:proofErr w:type="spellEnd"/>
      <w:r>
        <w:rPr>
          <w:rFonts w:hint="cs"/>
          <w:rtl/>
        </w:rPr>
        <w:t xml:space="preserve"> </w:t>
      </w:r>
      <w:proofErr w:type="spellStart"/>
      <w:r>
        <w:rPr>
          <w:rFonts w:hint="cs"/>
          <w:rtl/>
        </w:rPr>
        <w:t>حکمیه</w:t>
      </w:r>
      <w:proofErr w:type="spellEnd"/>
      <w:r>
        <w:rPr>
          <w:rFonts w:hint="cs"/>
          <w:rtl/>
        </w:rPr>
        <w:t xml:space="preserve"> روشن بوده و مثلا شرب </w:t>
      </w:r>
      <w:proofErr w:type="spellStart"/>
      <w:r>
        <w:rPr>
          <w:rFonts w:hint="cs"/>
          <w:rtl/>
        </w:rPr>
        <w:t>تتن</w:t>
      </w:r>
      <w:proofErr w:type="spellEnd"/>
      <w:r>
        <w:rPr>
          <w:rFonts w:hint="cs"/>
          <w:rtl/>
        </w:rPr>
        <w:t xml:space="preserve"> است. </w:t>
      </w:r>
    </w:p>
    <w:p w:rsidR="000B74AB" w:rsidRPr="00C55DCB" w:rsidRDefault="00870F40" w:rsidP="00E117A4">
      <w:pPr>
        <w:spacing w:after="0"/>
        <w:jc w:val="both"/>
        <w:rPr>
          <w:rtl/>
        </w:rPr>
      </w:pPr>
      <w:r>
        <w:rPr>
          <w:rFonts w:hint="cs"/>
          <w:rtl/>
        </w:rPr>
        <w:t xml:space="preserve">به نظر می رسد اختصاص فعل مجهول به فعلی که عنوانش مجهول است </w:t>
      </w:r>
      <w:proofErr w:type="spellStart"/>
      <w:r>
        <w:rPr>
          <w:rFonts w:hint="cs"/>
          <w:rtl/>
        </w:rPr>
        <w:t>وجهی</w:t>
      </w:r>
      <w:proofErr w:type="spellEnd"/>
      <w:r>
        <w:rPr>
          <w:rFonts w:hint="cs"/>
          <w:rtl/>
        </w:rPr>
        <w:t xml:space="preserve"> نداشته و فعل مجهول از ناحیه جهل به حکم نیز در ما لا </w:t>
      </w:r>
      <w:proofErr w:type="spellStart"/>
      <w:r>
        <w:rPr>
          <w:rFonts w:hint="cs"/>
          <w:rtl/>
        </w:rPr>
        <w:t>یعلمون</w:t>
      </w:r>
      <w:proofErr w:type="spellEnd"/>
      <w:r>
        <w:rPr>
          <w:rFonts w:hint="cs"/>
          <w:rtl/>
        </w:rPr>
        <w:t xml:space="preserve"> داخل می باشد.</w:t>
      </w:r>
      <w:r w:rsidR="006D5486">
        <w:rPr>
          <w:rFonts w:hint="cs"/>
          <w:rtl/>
        </w:rPr>
        <w:t xml:space="preserve"> به عبارتی دیگر؛ در صدق جهل به حکم تفاوتی بین این وجود نداشته که جهل از جهت جهل در دخول در قسم </w:t>
      </w:r>
      <w:proofErr w:type="spellStart"/>
      <w:r w:rsidR="006D5486">
        <w:rPr>
          <w:rFonts w:hint="cs"/>
          <w:rtl/>
        </w:rPr>
        <w:t>محلل</w:t>
      </w:r>
      <w:proofErr w:type="spellEnd"/>
      <w:r w:rsidR="006D5486">
        <w:rPr>
          <w:rFonts w:hint="cs"/>
          <w:rtl/>
        </w:rPr>
        <w:t xml:space="preserve"> یا دخول در قسم محرم باشد یا این که جهل از جهت جهل به حکم عنوان معین باشد و در هر دو صورت مؤاخذه بر فعل مجهول </w:t>
      </w:r>
      <w:proofErr w:type="spellStart"/>
      <w:r w:rsidR="006D5486">
        <w:rPr>
          <w:rFonts w:hint="cs"/>
          <w:rtl/>
        </w:rPr>
        <w:t>الحکم</w:t>
      </w:r>
      <w:proofErr w:type="spellEnd"/>
      <w:r w:rsidR="006D5486">
        <w:rPr>
          <w:rFonts w:hint="cs"/>
          <w:rtl/>
        </w:rPr>
        <w:t xml:space="preserve"> برداشته شده و جهل به عنوان یا جهل به حکم در مجهول بودن حکم </w:t>
      </w:r>
      <w:proofErr w:type="spellStart"/>
      <w:r w:rsidR="006D5486">
        <w:rPr>
          <w:rFonts w:hint="cs"/>
          <w:rtl/>
        </w:rPr>
        <w:t>دخالتی</w:t>
      </w:r>
      <w:proofErr w:type="spellEnd"/>
      <w:r w:rsidR="006D5486">
        <w:rPr>
          <w:rFonts w:hint="cs"/>
          <w:rtl/>
        </w:rPr>
        <w:t xml:space="preserve"> ندارد. </w:t>
      </w:r>
    </w:p>
    <w:p w:rsidR="000B74AB" w:rsidRPr="00C55DCB" w:rsidRDefault="006D5486" w:rsidP="00E117A4">
      <w:pPr>
        <w:spacing w:after="0"/>
        <w:jc w:val="both"/>
        <w:rPr>
          <w:rtl/>
        </w:rPr>
      </w:pPr>
      <w:r>
        <w:rPr>
          <w:rFonts w:hint="cs"/>
          <w:rtl/>
        </w:rPr>
        <w:t xml:space="preserve">شاهد بر این مدعا این است که اگر عنوان مجهول بوده ولی حکم مشخص باشد - مثل این که علم به حرمت </w:t>
      </w:r>
      <w:proofErr w:type="spellStart"/>
      <w:r>
        <w:rPr>
          <w:rFonts w:hint="cs"/>
          <w:rtl/>
        </w:rPr>
        <w:t>مایعی</w:t>
      </w:r>
      <w:proofErr w:type="spellEnd"/>
      <w:r>
        <w:rPr>
          <w:rFonts w:hint="cs"/>
          <w:rtl/>
        </w:rPr>
        <w:t xml:space="preserve"> وجود دارد اما مردد بین مایع نجس  و خمر است </w:t>
      </w:r>
      <w:r>
        <w:rPr>
          <w:rFonts w:ascii="Times New Roman" w:hAnsi="Times New Roman" w:cs="Times New Roman" w:hint="cs"/>
          <w:rtl/>
        </w:rPr>
        <w:t>–</w:t>
      </w:r>
      <w:r>
        <w:rPr>
          <w:rFonts w:hint="cs"/>
          <w:rtl/>
        </w:rPr>
        <w:t xml:space="preserve"> هیچ شکی در عدم دخول در ما لا </w:t>
      </w:r>
      <w:proofErr w:type="spellStart"/>
      <w:r>
        <w:rPr>
          <w:rFonts w:hint="cs"/>
          <w:rtl/>
        </w:rPr>
        <w:lastRenderedPageBreak/>
        <w:t>یعلمون</w:t>
      </w:r>
      <w:proofErr w:type="spellEnd"/>
      <w:r>
        <w:rPr>
          <w:rFonts w:hint="cs"/>
          <w:rtl/>
        </w:rPr>
        <w:t xml:space="preserve"> وجود ندارد هر چند جهل به عنوان وجود داشته باشد. پس صرف جهل به عنوان هیچ تأثیری در دخول در ما لا </w:t>
      </w:r>
      <w:proofErr w:type="spellStart"/>
      <w:r>
        <w:rPr>
          <w:rFonts w:hint="cs"/>
          <w:rtl/>
        </w:rPr>
        <w:t>یعلمون</w:t>
      </w:r>
      <w:proofErr w:type="spellEnd"/>
      <w:r>
        <w:rPr>
          <w:rFonts w:hint="cs"/>
          <w:rtl/>
        </w:rPr>
        <w:t xml:space="preserve"> نداشته و تنها چیزی که </w:t>
      </w:r>
      <w:proofErr w:type="spellStart"/>
      <w:r>
        <w:rPr>
          <w:rFonts w:hint="cs"/>
          <w:rtl/>
        </w:rPr>
        <w:t>مصحّح</w:t>
      </w:r>
      <w:proofErr w:type="spellEnd"/>
      <w:r>
        <w:rPr>
          <w:rFonts w:hint="cs"/>
          <w:rtl/>
        </w:rPr>
        <w:t xml:space="preserve"> دخول در ما لا </w:t>
      </w:r>
      <w:proofErr w:type="spellStart"/>
      <w:r>
        <w:rPr>
          <w:rFonts w:hint="cs"/>
          <w:rtl/>
        </w:rPr>
        <w:t>یعلمون</w:t>
      </w:r>
      <w:proofErr w:type="spellEnd"/>
      <w:r>
        <w:rPr>
          <w:rFonts w:hint="cs"/>
          <w:rtl/>
        </w:rPr>
        <w:t xml:space="preserve"> می باشد، جهل به حکم است چه جهل به حکم در </w:t>
      </w:r>
      <w:proofErr w:type="spellStart"/>
      <w:r>
        <w:rPr>
          <w:rFonts w:hint="cs"/>
          <w:rtl/>
        </w:rPr>
        <w:t>شبهات</w:t>
      </w:r>
      <w:proofErr w:type="spellEnd"/>
      <w:r>
        <w:rPr>
          <w:rFonts w:hint="cs"/>
          <w:rtl/>
        </w:rPr>
        <w:t xml:space="preserve"> </w:t>
      </w:r>
      <w:proofErr w:type="spellStart"/>
      <w:r>
        <w:rPr>
          <w:rFonts w:hint="cs"/>
          <w:rtl/>
        </w:rPr>
        <w:t>حکمیه</w:t>
      </w:r>
      <w:proofErr w:type="spellEnd"/>
      <w:r>
        <w:rPr>
          <w:rFonts w:hint="cs"/>
          <w:rtl/>
        </w:rPr>
        <w:t xml:space="preserve"> و با علم به عنوان باشد چه جهل به حکم در </w:t>
      </w:r>
      <w:proofErr w:type="spellStart"/>
      <w:r>
        <w:rPr>
          <w:rFonts w:hint="cs"/>
          <w:rtl/>
        </w:rPr>
        <w:t>شبهات</w:t>
      </w:r>
      <w:proofErr w:type="spellEnd"/>
      <w:r>
        <w:rPr>
          <w:rFonts w:hint="cs"/>
          <w:rtl/>
        </w:rPr>
        <w:t xml:space="preserve"> </w:t>
      </w:r>
      <w:proofErr w:type="spellStart"/>
      <w:r>
        <w:rPr>
          <w:rFonts w:hint="cs"/>
          <w:rtl/>
        </w:rPr>
        <w:t>موضوعیه</w:t>
      </w:r>
      <w:proofErr w:type="spellEnd"/>
      <w:r>
        <w:rPr>
          <w:rFonts w:hint="cs"/>
          <w:rtl/>
        </w:rPr>
        <w:t xml:space="preserve"> و ناشی از جهل به عنوان باشد. </w:t>
      </w:r>
      <w:r w:rsidR="00175F1D">
        <w:rPr>
          <w:rFonts w:hint="cs"/>
          <w:rtl/>
        </w:rPr>
        <w:t xml:space="preserve">با این بیان روشن شد؛ هیچ نیازی به تقدیر در شمول </w:t>
      </w:r>
      <w:proofErr w:type="spellStart"/>
      <w:r w:rsidR="00175F1D">
        <w:rPr>
          <w:rFonts w:hint="cs"/>
          <w:rtl/>
        </w:rPr>
        <w:t>شبهات</w:t>
      </w:r>
      <w:proofErr w:type="spellEnd"/>
      <w:r w:rsidR="00175F1D">
        <w:rPr>
          <w:rFonts w:hint="cs"/>
          <w:rtl/>
        </w:rPr>
        <w:t xml:space="preserve"> </w:t>
      </w:r>
      <w:proofErr w:type="spellStart"/>
      <w:r w:rsidR="00175F1D">
        <w:rPr>
          <w:rFonts w:hint="cs"/>
          <w:rtl/>
        </w:rPr>
        <w:t>حکمیه</w:t>
      </w:r>
      <w:proofErr w:type="spellEnd"/>
      <w:r w:rsidR="00175F1D">
        <w:rPr>
          <w:rFonts w:hint="cs"/>
          <w:rtl/>
        </w:rPr>
        <w:t xml:space="preserve"> </w:t>
      </w:r>
      <w:proofErr w:type="spellStart"/>
      <w:r w:rsidR="00175F1D">
        <w:rPr>
          <w:rFonts w:hint="cs"/>
          <w:rtl/>
        </w:rPr>
        <w:t>نمی</w:t>
      </w:r>
      <w:proofErr w:type="spellEnd"/>
      <w:r w:rsidR="00175F1D">
        <w:rPr>
          <w:rFonts w:hint="cs"/>
          <w:rtl/>
        </w:rPr>
        <w:t xml:space="preserve"> باشد زیرا تنها </w:t>
      </w:r>
      <w:proofErr w:type="spellStart"/>
      <w:r w:rsidR="00175F1D">
        <w:rPr>
          <w:rFonts w:hint="cs"/>
          <w:rtl/>
        </w:rPr>
        <w:t>وجهی</w:t>
      </w:r>
      <w:proofErr w:type="spellEnd"/>
      <w:r w:rsidR="00175F1D">
        <w:rPr>
          <w:rFonts w:hint="cs"/>
          <w:rtl/>
        </w:rPr>
        <w:t xml:space="preserve"> که سبب شمول ما لا </w:t>
      </w:r>
      <w:proofErr w:type="spellStart"/>
      <w:r w:rsidR="00175F1D">
        <w:rPr>
          <w:rFonts w:hint="cs"/>
          <w:rtl/>
        </w:rPr>
        <w:t>یعلمون</w:t>
      </w:r>
      <w:proofErr w:type="spellEnd"/>
      <w:r w:rsidR="00175F1D">
        <w:rPr>
          <w:rFonts w:hint="cs"/>
          <w:rtl/>
        </w:rPr>
        <w:t xml:space="preserve"> می باشد، جهل به حکم فعل است و جهل به حکم فعل در </w:t>
      </w:r>
      <w:proofErr w:type="spellStart"/>
      <w:r w:rsidR="00175F1D">
        <w:rPr>
          <w:rFonts w:hint="cs"/>
          <w:rtl/>
        </w:rPr>
        <w:t>شبهات</w:t>
      </w:r>
      <w:proofErr w:type="spellEnd"/>
      <w:r w:rsidR="00175F1D">
        <w:rPr>
          <w:rFonts w:hint="cs"/>
          <w:rtl/>
        </w:rPr>
        <w:t xml:space="preserve"> </w:t>
      </w:r>
      <w:proofErr w:type="spellStart"/>
      <w:r w:rsidR="00175F1D">
        <w:rPr>
          <w:rFonts w:hint="cs"/>
          <w:rtl/>
        </w:rPr>
        <w:t>حکمیه</w:t>
      </w:r>
      <w:proofErr w:type="spellEnd"/>
      <w:r w:rsidR="00175F1D">
        <w:rPr>
          <w:rFonts w:hint="cs"/>
          <w:rtl/>
        </w:rPr>
        <w:t xml:space="preserve"> و </w:t>
      </w:r>
      <w:proofErr w:type="spellStart"/>
      <w:r w:rsidR="00175F1D">
        <w:rPr>
          <w:rFonts w:hint="cs"/>
          <w:rtl/>
        </w:rPr>
        <w:t>موضوعیه</w:t>
      </w:r>
      <w:proofErr w:type="spellEnd"/>
      <w:r w:rsidR="00175F1D">
        <w:rPr>
          <w:rFonts w:hint="cs"/>
          <w:rtl/>
        </w:rPr>
        <w:t xml:space="preserve"> موجود است. پس باید فقره حدیث رفع را این گونه معنا کرد « فعلی که حکم آن برای شما روشن نیست، از امت پیامبر </w:t>
      </w:r>
      <w:r w:rsidR="00175F1D" w:rsidRPr="00FE574C">
        <w:sym w:font="Dorood" w:char="F064"/>
      </w:r>
      <w:r w:rsidR="00175F1D">
        <w:rPr>
          <w:rFonts w:hint="cs"/>
          <w:rtl/>
        </w:rPr>
        <w:t xml:space="preserve"> برداشته شده است.» </w:t>
      </w:r>
    </w:p>
    <w:p w:rsidR="003B5C32" w:rsidRDefault="003B5C32" w:rsidP="00E117A4">
      <w:pPr>
        <w:pStyle w:val="3"/>
        <w:spacing w:before="0"/>
        <w:jc w:val="both"/>
        <w:rPr>
          <w:rtl/>
        </w:rPr>
      </w:pPr>
      <w:proofErr w:type="spellStart"/>
      <w:r>
        <w:rPr>
          <w:rFonts w:hint="cs"/>
          <w:rtl/>
        </w:rPr>
        <w:t>تنظیر</w:t>
      </w:r>
      <w:proofErr w:type="spellEnd"/>
      <w:r>
        <w:rPr>
          <w:rFonts w:hint="cs"/>
          <w:rtl/>
        </w:rPr>
        <w:t xml:space="preserve"> جهل به حکم به جهل به راوی در رجال </w:t>
      </w:r>
    </w:p>
    <w:p w:rsidR="000B74AB" w:rsidRDefault="003B5C32" w:rsidP="00E117A4">
      <w:pPr>
        <w:spacing w:after="0"/>
        <w:jc w:val="both"/>
        <w:rPr>
          <w:rtl/>
        </w:rPr>
      </w:pPr>
      <w:r>
        <w:rPr>
          <w:rFonts w:hint="cs"/>
          <w:rtl/>
        </w:rPr>
        <w:t xml:space="preserve">همانگونه که بیان شد؛ جهل به عنوان هیچ </w:t>
      </w:r>
      <w:proofErr w:type="spellStart"/>
      <w:r>
        <w:rPr>
          <w:rFonts w:hint="cs"/>
          <w:rtl/>
        </w:rPr>
        <w:t>خصوصیتی</w:t>
      </w:r>
      <w:proofErr w:type="spellEnd"/>
      <w:r>
        <w:rPr>
          <w:rFonts w:hint="cs"/>
          <w:rtl/>
        </w:rPr>
        <w:t xml:space="preserve"> نداشته و تنها </w:t>
      </w:r>
      <w:proofErr w:type="spellStart"/>
      <w:r>
        <w:rPr>
          <w:rFonts w:hint="cs"/>
          <w:rtl/>
        </w:rPr>
        <w:t>خصوصیتی</w:t>
      </w:r>
      <w:proofErr w:type="spellEnd"/>
      <w:r>
        <w:rPr>
          <w:rFonts w:hint="cs"/>
          <w:rtl/>
        </w:rPr>
        <w:t xml:space="preserve"> که به تناسب حکم و موضوع می تواند در شرع مد نظر بوده و از آن ناحیه حکم به </w:t>
      </w:r>
      <w:proofErr w:type="spellStart"/>
      <w:r>
        <w:rPr>
          <w:rFonts w:hint="cs"/>
          <w:rtl/>
        </w:rPr>
        <w:t>معلومیت</w:t>
      </w:r>
      <w:proofErr w:type="spellEnd"/>
      <w:r>
        <w:rPr>
          <w:rFonts w:hint="cs"/>
          <w:rtl/>
        </w:rPr>
        <w:t xml:space="preserve"> یا مجهولیت چیزی شود، جهل به حکم می باشد. مانند این سخن در علم رجال نیز وجود دارد. اگر در رابطه با یک راوی خاص مجهول تعبیر شود، تنها چیزی که از مجهول مورد اراده است، جهل به </w:t>
      </w:r>
      <w:proofErr w:type="spellStart"/>
      <w:r>
        <w:rPr>
          <w:rFonts w:hint="cs"/>
          <w:rtl/>
        </w:rPr>
        <w:t>وثاقت</w:t>
      </w:r>
      <w:proofErr w:type="spellEnd"/>
      <w:r>
        <w:rPr>
          <w:rFonts w:hint="cs"/>
          <w:rtl/>
        </w:rPr>
        <w:t xml:space="preserve"> یا عدم </w:t>
      </w:r>
      <w:proofErr w:type="spellStart"/>
      <w:r>
        <w:rPr>
          <w:rFonts w:hint="cs"/>
          <w:rtl/>
        </w:rPr>
        <w:t>وثاقت</w:t>
      </w:r>
      <w:proofErr w:type="spellEnd"/>
      <w:r>
        <w:rPr>
          <w:rFonts w:hint="cs"/>
          <w:rtl/>
        </w:rPr>
        <w:t xml:space="preserve"> راوی می باشد چه جهل به </w:t>
      </w:r>
      <w:proofErr w:type="spellStart"/>
      <w:r>
        <w:rPr>
          <w:rFonts w:hint="cs"/>
          <w:rtl/>
        </w:rPr>
        <w:t>وثاقت</w:t>
      </w:r>
      <w:proofErr w:type="spellEnd"/>
      <w:r>
        <w:rPr>
          <w:rFonts w:hint="cs"/>
          <w:rtl/>
        </w:rPr>
        <w:t xml:space="preserve"> به علت نبودن </w:t>
      </w:r>
      <w:proofErr w:type="spellStart"/>
      <w:r>
        <w:rPr>
          <w:rFonts w:hint="cs"/>
          <w:rtl/>
        </w:rPr>
        <w:t>توثیق</w:t>
      </w:r>
      <w:proofErr w:type="spellEnd"/>
      <w:r>
        <w:rPr>
          <w:rFonts w:hint="cs"/>
          <w:rtl/>
        </w:rPr>
        <w:t xml:space="preserve"> در رابطه با او با وجود شناسایی راوی باشد چه جهل به </w:t>
      </w:r>
      <w:proofErr w:type="spellStart"/>
      <w:r>
        <w:rPr>
          <w:rFonts w:hint="cs"/>
          <w:rtl/>
        </w:rPr>
        <w:t>وثاقت</w:t>
      </w:r>
      <w:proofErr w:type="spellEnd"/>
      <w:r>
        <w:rPr>
          <w:rFonts w:hint="cs"/>
          <w:rtl/>
        </w:rPr>
        <w:t xml:space="preserve"> از ناحیه </w:t>
      </w:r>
      <w:proofErr w:type="spellStart"/>
      <w:r>
        <w:rPr>
          <w:rFonts w:hint="cs"/>
          <w:rtl/>
        </w:rPr>
        <w:t>نشناختن</w:t>
      </w:r>
      <w:proofErr w:type="spellEnd"/>
      <w:r>
        <w:rPr>
          <w:rFonts w:hint="cs"/>
          <w:rtl/>
        </w:rPr>
        <w:t xml:space="preserve"> راوی باشد.</w:t>
      </w:r>
      <w:r w:rsidR="00457D22">
        <w:rPr>
          <w:rFonts w:hint="cs"/>
          <w:rtl/>
        </w:rPr>
        <w:t xml:space="preserve"> در جلسات آینده این بحث بیشتر توضیح داده خواهد شد. </w:t>
      </w:r>
    </w:p>
    <w:p w:rsidR="00175F1D" w:rsidRPr="00C55DCB" w:rsidRDefault="00175F1D" w:rsidP="00E117A4">
      <w:pPr>
        <w:pStyle w:val="2"/>
        <w:spacing w:before="0"/>
        <w:jc w:val="both"/>
        <w:rPr>
          <w:rtl/>
        </w:rPr>
      </w:pPr>
      <w:r>
        <w:rPr>
          <w:rFonts w:hint="cs"/>
          <w:rtl/>
        </w:rPr>
        <w:t xml:space="preserve">معنای حدیث رفع در دیدگاه ما </w:t>
      </w:r>
    </w:p>
    <w:p w:rsidR="00175F1D" w:rsidRDefault="00175F1D" w:rsidP="00E117A4">
      <w:pPr>
        <w:spacing w:after="0"/>
        <w:jc w:val="both"/>
        <w:rPr>
          <w:rtl/>
        </w:rPr>
      </w:pPr>
      <w:r>
        <w:rPr>
          <w:rFonts w:hint="cs"/>
          <w:rtl/>
        </w:rPr>
        <w:t xml:space="preserve">به نظر ما متعلق وضع و رفع افعال بوده و معنای رفع و وضع برداشته شدن سنگینی از دوش مکلف می باشد. از سویی دیگر اگر رفع فعل پیش از عمل باشد به معنای عدم وجوب عمل بوده و اگر رفع فعل بعد از عمل باشد به معنای برداشته شدن تبعه </w:t>
      </w:r>
      <w:r w:rsidR="005B439E">
        <w:rPr>
          <w:rFonts w:hint="cs"/>
          <w:rtl/>
        </w:rPr>
        <w:t xml:space="preserve">عمل و گناه حاصل از عمل می باشد که این گناه پیش از رفع بر عهده مکلف سنگینی می کرده است. </w:t>
      </w:r>
    </w:p>
    <w:p w:rsidR="007F30C7" w:rsidRDefault="007F30C7" w:rsidP="00E117A4">
      <w:pPr>
        <w:pStyle w:val="2"/>
        <w:spacing w:before="0"/>
        <w:jc w:val="both"/>
        <w:rPr>
          <w:rtl/>
        </w:rPr>
      </w:pPr>
      <w:r>
        <w:rPr>
          <w:rFonts w:hint="cs"/>
          <w:rtl/>
        </w:rPr>
        <w:t xml:space="preserve">معنای حدیث رفع در دیدگاه شیخ انصاری </w:t>
      </w:r>
    </w:p>
    <w:p w:rsidR="007F30C7" w:rsidRDefault="007F30C7" w:rsidP="00E117A4">
      <w:pPr>
        <w:spacing w:after="0"/>
        <w:jc w:val="both"/>
        <w:rPr>
          <w:rtl/>
        </w:rPr>
      </w:pPr>
      <w:r>
        <w:rPr>
          <w:rFonts w:hint="cs"/>
          <w:rtl/>
        </w:rPr>
        <w:t xml:space="preserve">مرحوم شیخ انصاری </w:t>
      </w:r>
      <w:r w:rsidRPr="009F18C5">
        <w:sym w:font="S Abo-thar" w:char="F075"/>
      </w:r>
      <w:r>
        <w:rPr>
          <w:rStyle w:val="af7"/>
        </w:rPr>
        <w:footnoteReference w:id="3"/>
      </w:r>
      <w:r>
        <w:rPr>
          <w:rFonts w:hint="cs"/>
          <w:rtl/>
        </w:rPr>
        <w:t xml:space="preserve"> رفع را به از بین بردن و سلب معنا کرده و از این سخن می گوید که آیا متعلق رفع در ما لا </w:t>
      </w:r>
      <w:proofErr w:type="spellStart"/>
      <w:r>
        <w:rPr>
          <w:rFonts w:hint="cs"/>
          <w:rtl/>
        </w:rPr>
        <w:t>یعلمون</w:t>
      </w:r>
      <w:proofErr w:type="spellEnd"/>
      <w:r>
        <w:rPr>
          <w:rFonts w:hint="cs"/>
          <w:rtl/>
        </w:rPr>
        <w:t xml:space="preserve"> احکام است یا افعال؟ ایشان با دو قرینه ما لا </w:t>
      </w:r>
      <w:proofErr w:type="spellStart"/>
      <w:r>
        <w:rPr>
          <w:rFonts w:hint="cs"/>
          <w:rtl/>
        </w:rPr>
        <w:t>یعلمون</w:t>
      </w:r>
      <w:proofErr w:type="spellEnd"/>
      <w:r>
        <w:rPr>
          <w:rFonts w:hint="cs"/>
          <w:rtl/>
        </w:rPr>
        <w:t xml:space="preserve"> را فعل معنا کرده و با این فرض، ما لا </w:t>
      </w:r>
      <w:proofErr w:type="spellStart"/>
      <w:r>
        <w:rPr>
          <w:rFonts w:hint="cs"/>
          <w:rtl/>
        </w:rPr>
        <w:t>یعلمون</w:t>
      </w:r>
      <w:proofErr w:type="spellEnd"/>
      <w:r>
        <w:rPr>
          <w:rFonts w:hint="cs"/>
          <w:rtl/>
        </w:rPr>
        <w:t xml:space="preserve"> را مختص به </w:t>
      </w:r>
      <w:proofErr w:type="spellStart"/>
      <w:r>
        <w:rPr>
          <w:rFonts w:hint="cs"/>
          <w:rtl/>
        </w:rPr>
        <w:t>شبهات</w:t>
      </w:r>
      <w:proofErr w:type="spellEnd"/>
      <w:r>
        <w:rPr>
          <w:rFonts w:hint="cs"/>
          <w:rtl/>
        </w:rPr>
        <w:t xml:space="preserve"> </w:t>
      </w:r>
      <w:proofErr w:type="spellStart"/>
      <w:r>
        <w:rPr>
          <w:rFonts w:hint="cs"/>
          <w:rtl/>
        </w:rPr>
        <w:t>موضوعیه</w:t>
      </w:r>
      <w:proofErr w:type="spellEnd"/>
      <w:r>
        <w:rPr>
          <w:rFonts w:hint="cs"/>
          <w:rtl/>
        </w:rPr>
        <w:t xml:space="preserve"> می دانند.</w:t>
      </w:r>
    </w:p>
    <w:p w:rsidR="007F30C7" w:rsidRDefault="007F30C7" w:rsidP="00E117A4">
      <w:pPr>
        <w:spacing w:after="0"/>
        <w:jc w:val="both"/>
        <w:rPr>
          <w:rtl/>
        </w:rPr>
      </w:pPr>
      <w:r>
        <w:rPr>
          <w:rFonts w:hint="cs"/>
          <w:rtl/>
        </w:rPr>
        <w:t xml:space="preserve">دو قرینه شیخ </w:t>
      </w:r>
      <w:r w:rsidRPr="009F18C5">
        <w:sym w:font="S Abo-thar" w:char="F075"/>
      </w:r>
      <w:r>
        <w:rPr>
          <w:rFonts w:hint="cs"/>
          <w:rtl/>
        </w:rPr>
        <w:t xml:space="preserve"> بر اختصاص ما لا </w:t>
      </w:r>
      <w:proofErr w:type="spellStart"/>
      <w:r>
        <w:rPr>
          <w:rFonts w:hint="cs"/>
          <w:rtl/>
        </w:rPr>
        <w:t>یعلمون</w:t>
      </w:r>
      <w:proofErr w:type="spellEnd"/>
      <w:r>
        <w:rPr>
          <w:rFonts w:hint="cs"/>
          <w:rtl/>
        </w:rPr>
        <w:t xml:space="preserve"> به فعل این است.</w:t>
      </w:r>
    </w:p>
    <w:p w:rsidR="007F30C7" w:rsidRDefault="007F30C7" w:rsidP="00E117A4">
      <w:pPr>
        <w:pStyle w:val="3"/>
        <w:spacing w:before="0"/>
        <w:jc w:val="both"/>
        <w:rPr>
          <w:rtl/>
        </w:rPr>
      </w:pPr>
      <w:r>
        <w:rPr>
          <w:rFonts w:hint="cs"/>
          <w:rtl/>
        </w:rPr>
        <w:lastRenderedPageBreak/>
        <w:t>قرینه اول (سیاق)</w:t>
      </w:r>
    </w:p>
    <w:p w:rsidR="007F30C7" w:rsidRDefault="007F30C7" w:rsidP="00E117A4">
      <w:pPr>
        <w:spacing w:after="0"/>
        <w:jc w:val="both"/>
        <w:rPr>
          <w:rtl/>
        </w:rPr>
      </w:pPr>
      <w:r>
        <w:rPr>
          <w:rFonts w:hint="cs"/>
          <w:rtl/>
        </w:rPr>
        <w:t>در سایر فقرات حدیث رفع مانند حسد، طیره،</w:t>
      </w:r>
      <w:r w:rsidR="000B74AB" w:rsidRPr="00C55DCB">
        <w:rPr>
          <w:rFonts w:hint="cs"/>
          <w:rtl/>
        </w:rPr>
        <w:t xml:space="preserve"> وسوسه، ما </w:t>
      </w:r>
      <w:proofErr w:type="spellStart"/>
      <w:r w:rsidR="000B74AB" w:rsidRPr="00C55DCB">
        <w:rPr>
          <w:rFonts w:hint="cs"/>
          <w:rtl/>
        </w:rPr>
        <w:t>اضطروا</w:t>
      </w:r>
      <w:proofErr w:type="spellEnd"/>
      <w:r w:rsidR="000B74AB" w:rsidRPr="00C55DCB">
        <w:rPr>
          <w:rFonts w:hint="cs"/>
          <w:rtl/>
        </w:rPr>
        <w:t xml:space="preserve"> </w:t>
      </w:r>
      <w:proofErr w:type="spellStart"/>
      <w:r>
        <w:rPr>
          <w:rFonts w:hint="cs"/>
          <w:rtl/>
        </w:rPr>
        <w:t>الیه</w:t>
      </w:r>
      <w:proofErr w:type="spellEnd"/>
      <w:r w:rsidR="000B74AB" w:rsidRPr="00C55DCB">
        <w:rPr>
          <w:rFonts w:hint="cs"/>
          <w:rtl/>
        </w:rPr>
        <w:t xml:space="preserve">، ما </w:t>
      </w:r>
      <w:proofErr w:type="spellStart"/>
      <w:r w:rsidR="000B74AB" w:rsidRPr="00C55DCB">
        <w:rPr>
          <w:rFonts w:hint="cs"/>
          <w:rtl/>
        </w:rPr>
        <w:t>اکرهوا</w:t>
      </w:r>
      <w:proofErr w:type="spellEnd"/>
      <w:r w:rsidR="000B74AB" w:rsidRPr="00C55DCB">
        <w:rPr>
          <w:rFonts w:hint="cs"/>
          <w:rtl/>
        </w:rPr>
        <w:t xml:space="preserve"> علیه، </w:t>
      </w:r>
      <w:r>
        <w:rPr>
          <w:rFonts w:hint="cs"/>
          <w:rtl/>
        </w:rPr>
        <w:t xml:space="preserve">مراد فعل بوده و در نتیجه به قرینه سیاق مراد از ما لا </w:t>
      </w:r>
      <w:proofErr w:type="spellStart"/>
      <w:r>
        <w:rPr>
          <w:rFonts w:hint="cs"/>
          <w:rtl/>
        </w:rPr>
        <w:t>یعلمون</w:t>
      </w:r>
      <w:proofErr w:type="spellEnd"/>
      <w:r>
        <w:rPr>
          <w:rFonts w:hint="cs"/>
          <w:rtl/>
        </w:rPr>
        <w:t xml:space="preserve"> نیز فعل مجهول می باشد نه حرمت </w:t>
      </w:r>
      <w:proofErr w:type="spellStart"/>
      <w:r>
        <w:rPr>
          <w:rFonts w:hint="cs"/>
          <w:rtl/>
        </w:rPr>
        <w:t>مجهوله</w:t>
      </w:r>
      <w:proofErr w:type="spellEnd"/>
      <w:r>
        <w:rPr>
          <w:rFonts w:hint="cs"/>
          <w:rtl/>
        </w:rPr>
        <w:t xml:space="preserve">. </w:t>
      </w:r>
    </w:p>
    <w:p w:rsidR="007F30C7" w:rsidRDefault="007F30C7" w:rsidP="00E117A4">
      <w:pPr>
        <w:pStyle w:val="3"/>
        <w:spacing w:before="0"/>
        <w:jc w:val="both"/>
        <w:rPr>
          <w:rtl/>
        </w:rPr>
      </w:pPr>
      <w:r>
        <w:rPr>
          <w:rFonts w:hint="cs"/>
          <w:rtl/>
        </w:rPr>
        <w:t>قرینه دوم ( تقدیر مؤاخذه )</w:t>
      </w:r>
    </w:p>
    <w:p w:rsidR="00632D74" w:rsidRDefault="00632D74" w:rsidP="00E117A4">
      <w:pPr>
        <w:spacing w:after="0"/>
        <w:jc w:val="both"/>
        <w:rPr>
          <w:rtl/>
        </w:rPr>
      </w:pPr>
      <w:r>
        <w:rPr>
          <w:rFonts w:hint="cs"/>
          <w:rtl/>
        </w:rPr>
        <w:t xml:space="preserve">ایشان </w:t>
      </w:r>
      <w:proofErr w:type="spellStart"/>
      <w:r>
        <w:rPr>
          <w:rFonts w:hint="cs"/>
          <w:rtl/>
        </w:rPr>
        <w:t>مرفوع</w:t>
      </w:r>
      <w:proofErr w:type="spellEnd"/>
      <w:r>
        <w:rPr>
          <w:rFonts w:hint="cs"/>
          <w:rtl/>
        </w:rPr>
        <w:t xml:space="preserve"> در حدیث رفع را مؤاخذه دانسته و با این فرض ظاهر مؤاخذه را مؤاخذه بر نفس مذکورات می دانند. ایشان به این علت که فعل حرام مؤاخذه دارد نه حرمت، ما لا </w:t>
      </w:r>
      <w:proofErr w:type="spellStart"/>
      <w:r>
        <w:rPr>
          <w:rFonts w:hint="cs"/>
          <w:rtl/>
        </w:rPr>
        <w:t>یعلمون</w:t>
      </w:r>
      <w:proofErr w:type="spellEnd"/>
      <w:r>
        <w:rPr>
          <w:rFonts w:hint="cs"/>
          <w:rtl/>
        </w:rPr>
        <w:t xml:space="preserve"> را فعل مجهول معنا می کنند زیرا اگر ما لا </w:t>
      </w:r>
      <w:proofErr w:type="spellStart"/>
      <w:r>
        <w:rPr>
          <w:rFonts w:hint="cs"/>
          <w:rtl/>
        </w:rPr>
        <w:t>یعلمون</w:t>
      </w:r>
      <w:proofErr w:type="spellEnd"/>
      <w:r>
        <w:rPr>
          <w:rFonts w:hint="cs"/>
          <w:rtl/>
        </w:rPr>
        <w:t xml:space="preserve"> شامل حرمت </w:t>
      </w:r>
      <w:proofErr w:type="spellStart"/>
      <w:r>
        <w:rPr>
          <w:rFonts w:hint="cs"/>
          <w:rtl/>
        </w:rPr>
        <w:t>مجهوله</w:t>
      </w:r>
      <w:proofErr w:type="spellEnd"/>
      <w:r>
        <w:rPr>
          <w:rFonts w:hint="cs"/>
          <w:rtl/>
        </w:rPr>
        <w:t xml:space="preserve"> نیز باشد، بدین معنا خواهد بود که مؤاخذه بر حرمت </w:t>
      </w:r>
      <w:proofErr w:type="spellStart"/>
      <w:r>
        <w:rPr>
          <w:rFonts w:hint="cs"/>
          <w:rtl/>
        </w:rPr>
        <w:t>مجهوله</w:t>
      </w:r>
      <w:proofErr w:type="spellEnd"/>
      <w:r>
        <w:rPr>
          <w:rFonts w:hint="cs"/>
          <w:rtl/>
        </w:rPr>
        <w:t xml:space="preserve"> برداشته شده در حالی که این سخن صحیح نیست چون مؤاخذه بر فعل حرام و انجام حرام در خارج امکان جعل و رفع دارد نه مؤاخذه بر نفس حرمت. </w:t>
      </w:r>
    </w:p>
    <w:p w:rsidR="00632D74" w:rsidRDefault="00632D74" w:rsidP="00E117A4">
      <w:pPr>
        <w:pStyle w:val="2"/>
        <w:spacing w:before="0"/>
        <w:jc w:val="both"/>
        <w:rPr>
          <w:rtl/>
        </w:rPr>
      </w:pPr>
      <w:r>
        <w:rPr>
          <w:rFonts w:hint="cs"/>
          <w:rtl/>
        </w:rPr>
        <w:t xml:space="preserve">بررسی کلام شیخ انصاری </w:t>
      </w:r>
    </w:p>
    <w:p w:rsidR="00632D74" w:rsidRDefault="000B74AB" w:rsidP="00E117A4">
      <w:pPr>
        <w:spacing w:after="0"/>
        <w:jc w:val="both"/>
        <w:rPr>
          <w:rtl/>
        </w:rPr>
      </w:pPr>
      <w:r w:rsidRPr="00C55DCB">
        <w:rPr>
          <w:rFonts w:hint="cs"/>
          <w:rtl/>
        </w:rPr>
        <w:t xml:space="preserve"> </w:t>
      </w:r>
      <w:r w:rsidR="00632D74">
        <w:rPr>
          <w:rFonts w:hint="cs"/>
          <w:rtl/>
        </w:rPr>
        <w:t xml:space="preserve">به نظر می رسد، علت این نوع برداشت از حدیث رفع ناشی از تفسیر اشتباه حدیث رفع باشد. </w:t>
      </w:r>
    </w:p>
    <w:p w:rsidR="001A67CF" w:rsidRDefault="001A67CF" w:rsidP="00E117A4">
      <w:pPr>
        <w:pStyle w:val="3"/>
        <w:spacing w:before="0"/>
        <w:jc w:val="both"/>
        <w:rPr>
          <w:rtl/>
        </w:rPr>
      </w:pPr>
      <w:r>
        <w:rPr>
          <w:rFonts w:hint="cs"/>
          <w:rtl/>
        </w:rPr>
        <w:t xml:space="preserve">عدم لزوم تمسک به قرینه برای اثبات اختصاص ما لا </w:t>
      </w:r>
      <w:proofErr w:type="spellStart"/>
      <w:r>
        <w:rPr>
          <w:rFonts w:hint="cs"/>
          <w:rtl/>
        </w:rPr>
        <w:t>یعلمون</w:t>
      </w:r>
      <w:proofErr w:type="spellEnd"/>
      <w:r>
        <w:rPr>
          <w:rFonts w:hint="cs"/>
          <w:rtl/>
        </w:rPr>
        <w:t xml:space="preserve"> به فعل</w:t>
      </w:r>
    </w:p>
    <w:p w:rsidR="001A67CF" w:rsidRDefault="00632D74" w:rsidP="00E117A4">
      <w:pPr>
        <w:spacing w:after="0"/>
        <w:jc w:val="both"/>
        <w:rPr>
          <w:rtl/>
        </w:rPr>
      </w:pPr>
      <w:r>
        <w:rPr>
          <w:rFonts w:hint="cs"/>
          <w:rtl/>
        </w:rPr>
        <w:t xml:space="preserve">همانگونه که بیان شد؛ در تمام استعمالات وضع و رفع، متعلق آنها فعل بوده و نیازی به تمسک به قرینه سیاق و تقدیر مؤاخذه بر اختصاص ما لا </w:t>
      </w:r>
      <w:proofErr w:type="spellStart"/>
      <w:r>
        <w:rPr>
          <w:rFonts w:hint="cs"/>
          <w:rtl/>
        </w:rPr>
        <w:t>یعلمون</w:t>
      </w:r>
      <w:proofErr w:type="spellEnd"/>
      <w:r>
        <w:rPr>
          <w:rFonts w:hint="cs"/>
          <w:rtl/>
        </w:rPr>
        <w:t xml:space="preserve"> به فعل وجود ندارد.</w:t>
      </w:r>
    </w:p>
    <w:p w:rsidR="001A67CF" w:rsidRDefault="001A67CF" w:rsidP="00E117A4">
      <w:pPr>
        <w:pStyle w:val="3"/>
        <w:spacing w:before="0"/>
        <w:jc w:val="both"/>
        <w:rPr>
          <w:rtl/>
        </w:rPr>
      </w:pPr>
      <w:r>
        <w:rPr>
          <w:rFonts w:hint="cs"/>
          <w:rtl/>
        </w:rPr>
        <w:t>عدم اختصاص حدیث رفع به رفع مؤاخذه</w:t>
      </w:r>
      <w:r w:rsidR="00632D74">
        <w:rPr>
          <w:rFonts w:hint="cs"/>
          <w:rtl/>
        </w:rPr>
        <w:t xml:space="preserve"> </w:t>
      </w:r>
    </w:p>
    <w:p w:rsidR="004D76BF" w:rsidRDefault="00632D74" w:rsidP="00E117A4">
      <w:pPr>
        <w:spacing w:after="0"/>
        <w:jc w:val="both"/>
        <w:rPr>
          <w:rFonts w:hint="cs"/>
          <w:rtl/>
        </w:rPr>
      </w:pPr>
      <w:r>
        <w:rPr>
          <w:rFonts w:hint="cs"/>
          <w:rtl/>
        </w:rPr>
        <w:t xml:space="preserve">اما اختصاص ما لا </w:t>
      </w:r>
      <w:proofErr w:type="spellStart"/>
      <w:r>
        <w:rPr>
          <w:rFonts w:hint="cs"/>
          <w:rtl/>
        </w:rPr>
        <w:t>یعلمون</w:t>
      </w:r>
      <w:proofErr w:type="spellEnd"/>
      <w:r>
        <w:rPr>
          <w:rFonts w:hint="cs"/>
          <w:rtl/>
        </w:rPr>
        <w:t xml:space="preserve"> به فعل سبب اختصاص حدیث رفع به </w:t>
      </w:r>
      <w:r w:rsidR="001A67CF">
        <w:rPr>
          <w:rFonts w:hint="cs"/>
          <w:rtl/>
        </w:rPr>
        <w:t>رفع مؤاخذه نیست</w:t>
      </w:r>
      <w:r>
        <w:rPr>
          <w:rFonts w:hint="cs"/>
          <w:rtl/>
        </w:rPr>
        <w:t xml:space="preserve"> زیرا؛ رفع به نابود کردن </w:t>
      </w:r>
      <w:r w:rsidR="003133AF">
        <w:rPr>
          <w:rFonts w:hint="cs"/>
          <w:rtl/>
        </w:rPr>
        <w:t xml:space="preserve">نیست </w:t>
      </w:r>
      <w:r>
        <w:rPr>
          <w:rFonts w:hint="cs"/>
          <w:rtl/>
        </w:rPr>
        <w:t xml:space="preserve">تا گفته شود: </w:t>
      </w:r>
      <w:r w:rsidR="003133AF">
        <w:rPr>
          <w:rFonts w:hint="cs"/>
          <w:rtl/>
        </w:rPr>
        <w:t xml:space="preserve">شارع فعل خارجی را از بین نبرده و فعل خارجی از حیطه </w:t>
      </w:r>
      <w:proofErr w:type="spellStart"/>
      <w:r w:rsidR="003133AF">
        <w:rPr>
          <w:rFonts w:hint="cs"/>
          <w:rtl/>
        </w:rPr>
        <w:t>شارعیت</w:t>
      </w:r>
      <w:proofErr w:type="spellEnd"/>
      <w:r w:rsidR="003133AF">
        <w:rPr>
          <w:rFonts w:hint="cs"/>
          <w:rtl/>
        </w:rPr>
        <w:t xml:space="preserve"> خارج است و به این بیان، </w:t>
      </w:r>
      <w:proofErr w:type="spellStart"/>
      <w:r w:rsidR="003133AF">
        <w:rPr>
          <w:rFonts w:hint="cs"/>
          <w:rtl/>
        </w:rPr>
        <w:t>مرفوع</w:t>
      </w:r>
      <w:proofErr w:type="spellEnd"/>
      <w:r w:rsidR="003133AF">
        <w:rPr>
          <w:rFonts w:hint="cs"/>
          <w:rtl/>
        </w:rPr>
        <w:t xml:space="preserve"> صرف </w:t>
      </w:r>
      <w:proofErr w:type="spellStart"/>
      <w:r w:rsidR="003133AF">
        <w:rPr>
          <w:rFonts w:hint="cs"/>
          <w:rtl/>
        </w:rPr>
        <w:t>مؤاخده</w:t>
      </w:r>
      <w:proofErr w:type="spellEnd"/>
      <w:r w:rsidR="003133AF">
        <w:rPr>
          <w:rFonts w:hint="cs"/>
          <w:rtl/>
        </w:rPr>
        <w:t xml:space="preserve"> دانسته شود. بلکه معنای رفع از دوش مکلف برداشتن است و در این معنا ایجاب نیز صلاحیت رفع را دارد زیرا قرار دادن عمل بر دوش مکلف پیش از انجام به معنای ایجاب بوده و در نتیجه برداشتن آن به معنای رفع </w:t>
      </w:r>
      <w:proofErr w:type="spellStart"/>
      <w:r w:rsidR="003133AF">
        <w:rPr>
          <w:rFonts w:hint="cs"/>
          <w:rtl/>
        </w:rPr>
        <w:t>الایجاب</w:t>
      </w:r>
      <w:proofErr w:type="spellEnd"/>
      <w:r w:rsidR="003133AF">
        <w:rPr>
          <w:rFonts w:hint="cs"/>
          <w:rtl/>
        </w:rPr>
        <w:t xml:space="preserve"> می باشد. صدق رفع بعد از عمل نیز به رفع خود عمل از عهده مکلف بوده و </w:t>
      </w:r>
      <w:proofErr w:type="spellStart"/>
      <w:r w:rsidR="003133AF">
        <w:rPr>
          <w:rFonts w:hint="cs"/>
          <w:rtl/>
        </w:rPr>
        <w:t>مصحّح</w:t>
      </w:r>
      <w:proofErr w:type="spellEnd"/>
      <w:r w:rsidR="003133AF">
        <w:rPr>
          <w:rFonts w:hint="cs"/>
          <w:rtl/>
        </w:rPr>
        <w:t xml:space="preserve"> جعل و رفع عمل بعد از انجام، وجود تبعه و گناه بر فعل می باشد و در نتیجه تبعه عمل از دوش مکلف برداشته می شود بدون این که تقدیری در بین باشد. </w:t>
      </w:r>
    </w:p>
    <w:p w:rsidR="004D76BF" w:rsidRPr="00E117A4" w:rsidRDefault="004D76BF" w:rsidP="00E117A4">
      <w:pPr>
        <w:pStyle w:val="4"/>
        <w:jc w:val="both"/>
        <w:rPr>
          <w:rFonts w:hint="cs"/>
          <w:rtl/>
        </w:rPr>
      </w:pPr>
      <w:r w:rsidRPr="00E117A4">
        <w:rPr>
          <w:rFonts w:hint="cs"/>
          <w:rtl/>
        </w:rPr>
        <w:t xml:space="preserve">عدم نیاز به تقدیر در رفع تبعه </w:t>
      </w:r>
    </w:p>
    <w:p w:rsidR="004D76BF" w:rsidRDefault="004D76BF" w:rsidP="00E117A4">
      <w:pPr>
        <w:spacing w:after="0"/>
        <w:jc w:val="both"/>
        <w:rPr>
          <w:rFonts w:hint="cs"/>
          <w:rtl/>
        </w:rPr>
      </w:pPr>
      <w:r>
        <w:rPr>
          <w:rFonts w:hint="cs"/>
          <w:rtl/>
        </w:rPr>
        <w:t xml:space="preserve">در صورت تعلق رفع به فعل بعد از عمل، تبعه فعل اعم از </w:t>
      </w:r>
      <w:proofErr w:type="spellStart"/>
      <w:r>
        <w:rPr>
          <w:rFonts w:hint="cs"/>
          <w:rtl/>
        </w:rPr>
        <w:t>اثم</w:t>
      </w:r>
      <w:proofErr w:type="spellEnd"/>
      <w:r>
        <w:rPr>
          <w:rFonts w:hint="cs"/>
          <w:rtl/>
        </w:rPr>
        <w:t xml:space="preserve"> و مؤاخذه و یا کفاره برداشته می شود اما این بدین معنا نیست که در این فرض، مؤاخذه یا تبعه و مانند آن در تقدیر است. بلکه رفع تبعه به این اعتبار است که خود عمل </w:t>
      </w:r>
      <w:proofErr w:type="spellStart"/>
      <w:r>
        <w:rPr>
          <w:rFonts w:hint="cs"/>
          <w:rtl/>
        </w:rPr>
        <w:t>ناشایستی</w:t>
      </w:r>
      <w:proofErr w:type="spellEnd"/>
      <w:r>
        <w:rPr>
          <w:rFonts w:hint="cs"/>
          <w:rtl/>
        </w:rPr>
        <w:t xml:space="preserve"> که در خارج تحقق پیدا کرده، در عالم اعتبار به دوش مکلف سنگینی کرده و با رفع گویا دیگر بر دوش او سنگینی </w:t>
      </w:r>
      <w:proofErr w:type="spellStart"/>
      <w:r>
        <w:rPr>
          <w:rFonts w:hint="cs"/>
          <w:rtl/>
        </w:rPr>
        <w:t>نمی</w:t>
      </w:r>
      <w:proofErr w:type="spellEnd"/>
      <w:r>
        <w:rPr>
          <w:rFonts w:hint="cs"/>
          <w:rtl/>
        </w:rPr>
        <w:t xml:space="preserve"> کند. بله </w:t>
      </w:r>
      <w:proofErr w:type="spellStart"/>
      <w:r>
        <w:rPr>
          <w:rFonts w:hint="cs"/>
          <w:rtl/>
        </w:rPr>
        <w:t>مصحح</w:t>
      </w:r>
      <w:proofErr w:type="spellEnd"/>
      <w:r>
        <w:rPr>
          <w:rFonts w:hint="cs"/>
          <w:rtl/>
        </w:rPr>
        <w:t xml:space="preserve"> وضع یا رفع مؤاخذه یا کفاره یا </w:t>
      </w:r>
      <w:proofErr w:type="spellStart"/>
      <w:r>
        <w:rPr>
          <w:rFonts w:hint="cs"/>
          <w:rtl/>
        </w:rPr>
        <w:t>اثم</w:t>
      </w:r>
      <w:proofErr w:type="spellEnd"/>
      <w:r>
        <w:rPr>
          <w:rFonts w:hint="cs"/>
          <w:rtl/>
        </w:rPr>
        <w:t xml:space="preserve"> است اما رفع </w:t>
      </w:r>
      <w:r>
        <w:rPr>
          <w:rFonts w:hint="cs"/>
          <w:rtl/>
        </w:rPr>
        <w:lastRenderedPageBreak/>
        <w:t xml:space="preserve">مستقیما به آنها تعلق نگرفته تا تقدیری در بین باشد. به نظر می رسد وجود تقدیر یا عدم آن در بحث مؤثر بوده که در آینده بدان اشاره خواهد شد. </w:t>
      </w:r>
    </w:p>
    <w:p w:rsidR="004D76BF" w:rsidRDefault="004D76BF" w:rsidP="00E117A4">
      <w:pPr>
        <w:pStyle w:val="3"/>
        <w:spacing w:before="0"/>
        <w:jc w:val="both"/>
        <w:rPr>
          <w:rFonts w:hint="cs"/>
          <w:rtl/>
        </w:rPr>
      </w:pPr>
      <w:r>
        <w:rPr>
          <w:rFonts w:hint="cs"/>
          <w:rtl/>
        </w:rPr>
        <w:t xml:space="preserve">عدم اختصاص ما لا </w:t>
      </w:r>
      <w:proofErr w:type="spellStart"/>
      <w:r>
        <w:rPr>
          <w:rFonts w:hint="cs"/>
          <w:rtl/>
        </w:rPr>
        <w:t>یعلمون</w:t>
      </w:r>
      <w:proofErr w:type="spellEnd"/>
      <w:r>
        <w:rPr>
          <w:rFonts w:hint="cs"/>
          <w:rtl/>
        </w:rPr>
        <w:t xml:space="preserve"> به </w:t>
      </w:r>
      <w:proofErr w:type="spellStart"/>
      <w:r>
        <w:rPr>
          <w:rFonts w:hint="cs"/>
          <w:rtl/>
        </w:rPr>
        <w:t>شبهات</w:t>
      </w:r>
      <w:proofErr w:type="spellEnd"/>
      <w:r>
        <w:rPr>
          <w:rFonts w:hint="cs"/>
          <w:rtl/>
        </w:rPr>
        <w:t xml:space="preserve"> </w:t>
      </w:r>
      <w:proofErr w:type="spellStart"/>
      <w:r>
        <w:rPr>
          <w:rFonts w:hint="cs"/>
          <w:rtl/>
        </w:rPr>
        <w:t>موضوعیه</w:t>
      </w:r>
      <w:proofErr w:type="spellEnd"/>
      <w:r>
        <w:rPr>
          <w:rFonts w:hint="cs"/>
          <w:rtl/>
        </w:rPr>
        <w:t xml:space="preserve"> </w:t>
      </w:r>
    </w:p>
    <w:p w:rsidR="00144D54" w:rsidRPr="00C55DCB" w:rsidRDefault="00144D54" w:rsidP="00E117A4">
      <w:pPr>
        <w:spacing w:after="0"/>
        <w:jc w:val="both"/>
      </w:pPr>
      <w:r>
        <w:rPr>
          <w:rFonts w:hint="cs"/>
          <w:rtl/>
        </w:rPr>
        <w:t xml:space="preserve">مرحوم شیخ </w:t>
      </w:r>
      <w:r w:rsidRPr="009F18C5">
        <w:sym w:font="S Abo-thar" w:char="F075"/>
      </w:r>
      <w:r>
        <w:rPr>
          <w:rFonts w:hint="cs"/>
          <w:rtl/>
        </w:rPr>
        <w:t xml:space="preserve"> با این قرینه که مراد از ما لا </w:t>
      </w:r>
      <w:proofErr w:type="spellStart"/>
      <w:r>
        <w:rPr>
          <w:rFonts w:hint="cs"/>
          <w:rtl/>
        </w:rPr>
        <w:t>یعلمون</w:t>
      </w:r>
      <w:proofErr w:type="spellEnd"/>
      <w:r>
        <w:rPr>
          <w:rFonts w:hint="cs"/>
          <w:rtl/>
        </w:rPr>
        <w:t xml:space="preserve"> فعل است، حدیث رفع را مختص به </w:t>
      </w:r>
      <w:proofErr w:type="spellStart"/>
      <w:r>
        <w:rPr>
          <w:rFonts w:hint="cs"/>
          <w:rtl/>
        </w:rPr>
        <w:t>شبهات</w:t>
      </w:r>
      <w:proofErr w:type="spellEnd"/>
      <w:r>
        <w:rPr>
          <w:rFonts w:hint="cs"/>
          <w:rtl/>
        </w:rPr>
        <w:t xml:space="preserve"> </w:t>
      </w:r>
      <w:proofErr w:type="spellStart"/>
      <w:r>
        <w:rPr>
          <w:rFonts w:hint="cs"/>
          <w:rtl/>
        </w:rPr>
        <w:t>موضوعیه</w:t>
      </w:r>
      <w:proofErr w:type="spellEnd"/>
      <w:r>
        <w:rPr>
          <w:rFonts w:hint="cs"/>
          <w:rtl/>
        </w:rPr>
        <w:t xml:space="preserve"> دانستند اما  به نظر ما هر چند مراد از ما لا </w:t>
      </w:r>
      <w:proofErr w:type="spellStart"/>
      <w:r>
        <w:rPr>
          <w:rFonts w:hint="cs"/>
          <w:rtl/>
        </w:rPr>
        <w:t>یعلمون</w:t>
      </w:r>
      <w:proofErr w:type="spellEnd"/>
      <w:r>
        <w:rPr>
          <w:rFonts w:hint="cs"/>
          <w:rtl/>
        </w:rPr>
        <w:t xml:space="preserve"> فعل است اما این بدین معنا نیست که حدیث رفع مختص به </w:t>
      </w:r>
      <w:proofErr w:type="spellStart"/>
      <w:r>
        <w:rPr>
          <w:rFonts w:hint="cs"/>
          <w:rtl/>
        </w:rPr>
        <w:t>شبهات</w:t>
      </w:r>
      <w:proofErr w:type="spellEnd"/>
      <w:r>
        <w:rPr>
          <w:rFonts w:hint="cs"/>
          <w:rtl/>
        </w:rPr>
        <w:t xml:space="preserve"> </w:t>
      </w:r>
      <w:proofErr w:type="spellStart"/>
      <w:r>
        <w:rPr>
          <w:rFonts w:hint="cs"/>
          <w:rtl/>
        </w:rPr>
        <w:t>موضوعیه</w:t>
      </w:r>
      <w:proofErr w:type="spellEnd"/>
      <w:r>
        <w:rPr>
          <w:rFonts w:hint="cs"/>
          <w:rtl/>
        </w:rPr>
        <w:t xml:space="preserve"> می باشد. زیرا؛ به تناسب حکم و موضوع تنها چیزی که در وضع یا رفع مؤاخذه تأثیر گذار است، حکم فعل می باشد و علم و جهل به سایر جهات چون مؤثر نبوده، مورد اراده نیز </w:t>
      </w:r>
      <w:proofErr w:type="spellStart"/>
      <w:r>
        <w:rPr>
          <w:rFonts w:hint="cs"/>
          <w:rtl/>
        </w:rPr>
        <w:t>نمی</w:t>
      </w:r>
      <w:proofErr w:type="spellEnd"/>
      <w:r>
        <w:rPr>
          <w:rFonts w:hint="cs"/>
          <w:rtl/>
        </w:rPr>
        <w:t xml:space="preserve"> باشد.  با این تصویر ما لا </w:t>
      </w:r>
      <w:proofErr w:type="spellStart"/>
      <w:r>
        <w:rPr>
          <w:rFonts w:hint="cs"/>
          <w:rtl/>
        </w:rPr>
        <w:t>یعلمون</w:t>
      </w:r>
      <w:proofErr w:type="spellEnd"/>
      <w:r>
        <w:rPr>
          <w:rFonts w:hint="cs"/>
          <w:rtl/>
        </w:rPr>
        <w:t xml:space="preserve"> در قوه</w:t>
      </w:r>
      <w:bookmarkStart w:id="0" w:name="_GoBack"/>
      <w:bookmarkEnd w:id="0"/>
      <w:r>
        <w:rPr>
          <w:rFonts w:hint="cs"/>
          <w:rtl/>
        </w:rPr>
        <w:t xml:space="preserve"> ما لا </w:t>
      </w:r>
      <w:proofErr w:type="spellStart"/>
      <w:r>
        <w:rPr>
          <w:rFonts w:hint="cs"/>
          <w:rtl/>
        </w:rPr>
        <w:t>یعلمون</w:t>
      </w:r>
      <w:proofErr w:type="spellEnd"/>
      <w:r>
        <w:rPr>
          <w:rFonts w:hint="cs"/>
          <w:rtl/>
        </w:rPr>
        <w:t xml:space="preserve"> </w:t>
      </w:r>
      <w:proofErr w:type="spellStart"/>
      <w:r>
        <w:rPr>
          <w:rFonts w:hint="cs"/>
          <w:rtl/>
        </w:rPr>
        <w:t>انه</w:t>
      </w:r>
      <w:proofErr w:type="spellEnd"/>
      <w:r>
        <w:rPr>
          <w:rFonts w:hint="cs"/>
          <w:rtl/>
        </w:rPr>
        <w:t xml:space="preserve"> حرام او حلال می باشد و همانگونه که منشأ جهل به حرمت و </w:t>
      </w:r>
      <w:proofErr w:type="spellStart"/>
      <w:r>
        <w:rPr>
          <w:rFonts w:hint="cs"/>
          <w:rtl/>
        </w:rPr>
        <w:t>حلیت</w:t>
      </w:r>
      <w:proofErr w:type="spellEnd"/>
      <w:r>
        <w:rPr>
          <w:rFonts w:hint="cs"/>
          <w:rtl/>
        </w:rPr>
        <w:t xml:space="preserve"> جهل به عنوان می باشد، جهل به حکم با علم به عنوان نیز می تواند منشأ جهل به حرمت و </w:t>
      </w:r>
      <w:proofErr w:type="spellStart"/>
      <w:r>
        <w:rPr>
          <w:rFonts w:hint="cs"/>
          <w:rtl/>
        </w:rPr>
        <w:t>حلیت</w:t>
      </w:r>
      <w:proofErr w:type="spellEnd"/>
      <w:r>
        <w:rPr>
          <w:rFonts w:hint="cs"/>
          <w:rtl/>
        </w:rPr>
        <w:t xml:space="preserve"> باشد. </w:t>
      </w:r>
    </w:p>
    <w:p w:rsidR="000B74AB" w:rsidRPr="00C55DCB" w:rsidRDefault="000B74AB" w:rsidP="00E117A4">
      <w:pPr>
        <w:spacing w:after="0"/>
        <w:jc w:val="both"/>
        <w:rPr>
          <w:rtl/>
        </w:rPr>
      </w:pPr>
      <w:r w:rsidRPr="00C55DCB">
        <w:rPr>
          <w:rFonts w:hint="cs"/>
          <w:rtl/>
        </w:rPr>
        <w:t xml:space="preserve">و صلی الله علی </w:t>
      </w:r>
      <w:proofErr w:type="spellStart"/>
      <w:r w:rsidRPr="00C55DCB">
        <w:rPr>
          <w:rFonts w:hint="cs"/>
          <w:rtl/>
        </w:rPr>
        <w:t>سیدنا</w:t>
      </w:r>
      <w:proofErr w:type="spellEnd"/>
      <w:r w:rsidRPr="00C55DCB">
        <w:rPr>
          <w:rFonts w:hint="cs"/>
          <w:rtl/>
        </w:rPr>
        <w:t xml:space="preserve"> و </w:t>
      </w:r>
      <w:proofErr w:type="spellStart"/>
      <w:r w:rsidRPr="00C55DCB">
        <w:rPr>
          <w:rFonts w:hint="cs"/>
          <w:rtl/>
        </w:rPr>
        <w:t>نبینا</w:t>
      </w:r>
      <w:proofErr w:type="spellEnd"/>
      <w:r w:rsidRPr="00C55DCB">
        <w:rPr>
          <w:rFonts w:hint="cs"/>
          <w:rtl/>
        </w:rPr>
        <w:t xml:space="preserve"> محمد و </w:t>
      </w:r>
      <w:proofErr w:type="spellStart"/>
      <w:r w:rsidRPr="00C55DCB">
        <w:rPr>
          <w:rFonts w:hint="cs"/>
          <w:rtl/>
        </w:rPr>
        <w:t>ال</w:t>
      </w:r>
      <w:proofErr w:type="spellEnd"/>
      <w:r w:rsidRPr="00C55DCB">
        <w:rPr>
          <w:rFonts w:hint="cs"/>
          <w:rtl/>
        </w:rPr>
        <w:t xml:space="preserve"> محمد</w:t>
      </w:r>
    </w:p>
    <w:p w:rsidR="004B5C75" w:rsidRPr="00C55DCB" w:rsidRDefault="004B5C75" w:rsidP="00E117A4">
      <w:pPr>
        <w:spacing w:after="0"/>
        <w:jc w:val="both"/>
      </w:pPr>
    </w:p>
    <w:sectPr w:rsidR="004B5C75" w:rsidRPr="00C55DCB" w:rsidSect="00916E6C">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F78" w:rsidRDefault="006F3F78" w:rsidP="00870F40">
      <w:pPr>
        <w:spacing w:after="0" w:line="240" w:lineRule="auto"/>
      </w:pPr>
      <w:r>
        <w:separator/>
      </w:r>
    </w:p>
  </w:endnote>
  <w:endnote w:type="continuationSeparator" w:id="0">
    <w:p w:rsidR="006F3F78" w:rsidRDefault="006F3F78" w:rsidP="0087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Times New Roman"/>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S Abo-thar">
    <w:panose1 w:val="05010101010101010101"/>
    <w:charset w:val="02"/>
    <w:family w:val="auto"/>
    <w:pitch w:val="variable"/>
    <w:sig w:usb0="00000000" w:usb1="10000000" w:usb2="00000000" w:usb3="00000000" w:csb0="80000000" w:csb1="00000000"/>
  </w:font>
  <w:font w:name="Dorood">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4064030"/>
      <w:docPartObj>
        <w:docPartGallery w:val="Page Numbers (Bottom of Page)"/>
        <w:docPartUnique/>
      </w:docPartObj>
    </w:sdtPr>
    <w:sdtEndPr>
      <w:rPr>
        <w:noProof/>
      </w:rPr>
    </w:sdtEndPr>
    <w:sdtContent>
      <w:p w:rsidR="00E117A4" w:rsidRDefault="00E117A4">
        <w:pPr>
          <w:pStyle w:val="afa"/>
          <w:jc w:val="center"/>
        </w:pPr>
        <w:r>
          <w:fldChar w:fldCharType="begin"/>
        </w:r>
        <w:r>
          <w:instrText xml:space="preserve"> PAGE   \* MERGEFORMAT </w:instrText>
        </w:r>
        <w:r>
          <w:fldChar w:fldCharType="separate"/>
        </w:r>
        <w:r>
          <w:rPr>
            <w:noProof/>
            <w:rtl/>
          </w:rPr>
          <w:t>4</w:t>
        </w:r>
        <w:r>
          <w:rPr>
            <w:noProof/>
          </w:rPr>
          <w:fldChar w:fldCharType="end"/>
        </w:r>
      </w:p>
    </w:sdtContent>
  </w:sdt>
  <w:p w:rsidR="00E117A4" w:rsidRDefault="00E117A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F78" w:rsidRDefault="006F3F78" w:rsidP="00870F40">
      <w:pPr>
        <w:spacing w:after="0" w:line="240" w:lineRule="auto"/>
      </w:pPr>
      <w:r>
        <w:separator/>
      </w:r>
    </w:p>
  </w:footnote>
  <w:footnote w:type="continuationSeparator" w:id="0">
    <w:p w:rsidR="006F3F78" w:rsidRDefault="006F3F78" w:rsidP="00870F40">
      <w:pPr>
        <w:spacing w:after="0" w:line="240" w:lineRule="auto"/>
      </w:pPr>
      <w:r>
        <w:continuationSeparator/>
      </w:r>
    </w:p>
  </w:footnote>
  <w:footnote w:id="1">
    <w:p w:rsidR="00870F40" w:rsidRPr="00870F40" w:rsidRDefault="00870F40">
      <w:pPr>
        <w:pStyle w:val="af5"/>
        <w:rPr>
          <w:rFonts w:asciiTheme="minorHAnsi" w:hAnsiTheme="minorHAnsi"/>
          <w:rtl/>
        </w:rPr>
      </w:pPr>
      <w:r>
        <w:rPr>
          <w:rStyle w:val="af7"/>
        </w:rPr>
        <w:footnoteRef/>
      </w:r>
      <w:r>
        <w:rPr>
          <w:rtl/>
        </w:rPr>
        <w:t xml:space="preserve"> </w:t>
      </w:r>
      <w:proofErr w:type="spellStart"/>
      <w:r w:rsidRPr="00870F40">
        <w:rPr>
          <w:rtl/>
        </w:rPr>
        <w:t>فرائد</w:t>
      </w:r>
      <w:proofErr w:type="spellEnd"/>
      <w:r w:rsidRPr="00870F40">
        <w:rPr>
          <w:rtl/>
        </w:rPr>
        <w:t xml:space="preserve"> </w:t>
      </w:r>
      <w:proofErr w:type="spellStart"/>
      <w:r w:rsidRPr="00870F40">
        <w:rPr>
          <w:rtl/>
        </w:rPr>
        <w:t>الأصول</w:t>
      </w:r>
      <w:proofErr w:type="spellEnd"/>
      <w:r w:rsidRPr="00870F40">
        <w:rPr>
          <w:rtl/>
        </w:rPr>
        <w:t xml:space="preserve"> ؛ ج‏2 ؛ ص28</w:t>
      </w:r>
    </w:p>
  </w:footnote>
  <w:footnote w:id="2">
    <w:p w:rsidR="00870F40" w:rsidRDefault="00870F40">
      <w:pPr>
        <w:pStyle w:val="af5"/>
      </w:pPr>
      <w:r>
        <w:rPr>
          <w:rStyle w:val="af7"/>
        </w:rPr>
        <w:footnoteRef/>
      </w:r>
      <w:r w:rsidRPr="00870F40">
        <w:rPr>
          <w:rtl/>
        </w:rPr>
        <w:t xml:space="preserve"> مباحث </w:t>
      </w:r>
      <w:proofErr w:type="spellStart"/>
      <w:r w:rsidRPr="00870F40">
        <w:rPr>
          <w:rtl/>
        </w:rPr>
        <w:t>الأصول</w:t>
      </w:r>
      <w:proofErr w:type="spellEnd"/>
      <w:r w:rsidRPr="00870F40">
        <w:rPr>
          <w:rtl/>
        </w:rPr>
        <w:t>، ج‏3، ص: 166</w:t>
      </w:r>
    </w:p>
  </w:footnote>
  <w:footnote w:id="3">
    <w:p w:rsidR="007F30C7" w:rsidRDefault="007F30C7">
      <w:pPr>
        <w:pStyle w:val="af5"/>
      </w:pPr>
      <w:r>
        <w:rPr>
          <w:rStyle w:val="af7"/>
        </w:rPr>
        <w:footnoteRef/>
      </w:r>
      <w:r>
        <w:rPr>
          <w:rtl/>
        </w:rPr>
        <w:t xml:space="preserve"> </w:t>
      </w:r>
      <w:proofErr w:type="spellStart"/>
      <w:r>
        <w:rPr>
          <w:rFonts w:hint="cs"/>
          <w:rtl/>
        </w:rPr>
        <w:t>فرائد</w:t>
      </w:r>
      <w:proofErr w:type="spellEnd"/>
      <w:r>
        <w:rPr>
          <w:rFonts w:hint="cs"/>
          <w:rtl/>
        </w:rPr>
        <w:t xml:space="preserve"> </w:t>
      </w:r>
      <w:proofErr w:type="spellStart"/>
      <w:r>
        <w:rPr>
          <w:rFonts w:hint="cs"/>
          <w:rtl/>
        </w:rPr>
        <w:t>الاصول</w:t>
      </w:r>
      <w:proofErr w:type="spellEnd"/>
      <w:r>
        <w:rPr>
          <w:rFonts w:hint="cs"/>
          <w:rtl/>
        </w:rPr>
        <w:t>؛ ج2، ص: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631BC"/>
    <w:multiLevelType w:val="hybridMultilevel"/>
    <w:tmpl w:val="57AA9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AB"/>
    <w:rsid w:val="00024384"/>
    <w:rsid w:val="00054266"/>
    <w:rsid w:val="000B74AB"/>
    <w:rsid w:val="00137355"/>
    <w:rsid w:val="00144D54"/>
    <w:rsid w:val="00156610"/>
    <w:rsid w:val="00175F1D"/>
    <w:rsid w:val="001A67CF"/>
    <w:rsid w:val="001D47BB"/>
    <w:rsid w:val="0023534E"/>
    <w:rsid w:val="002A1BDB"/>
    <w:rsid w:val="003133AF"/>
    <w:rsid w:val="003325C5"/>
    <w:rsid w:val="00387EAF"/>
    <w:rsid w:val="003B18CA"/>
    <w:rsid w:val="003B5C32"/>
    <w:rsid w:val="00457D22"/>
    <w:rsid w:val="004B2917"/>
    <w:rsid w:val="004B5C75"/>
    <w:rsid w:val="004D76BF"/>
    <w:rsid w:val="005468F7"/>
    <w:rsid w:val="005B439E"/>
    <w:rsid w:val="00632D74"/>
    <w:rsid w:val="00681314"/>
    <w:rsid w:val="006D5486"/>
    <w:rsid w:val="006E056E"/>
    <w:rsid w:val="006F3F78"/>
    <w:rsid w:val="007B5D65"/>
    <w:rsid w:val="007F30C7"/>
    <w:rsid w:val="007F684D"/>
    <w:rsid w:val="00841DF7"/>
    <w:rsid w:val="00870F40"/>
    <w:rsid w:val="00937A13"/>
    <w:rsid w:val="00947005"/>
    <w:rsid w:val="009649D5"/>
    <w:rsid w:val="00A025BF"/>
    <w:rsid w:val="00A22DD2"/>
    <w:rsid w:val="00A430C5"/>
    <w:rsid w:val="00A913F3"/>
    <w:rsid w:val="00B7665B"/>
    <w:rsid w:val="00BA5A63"/>
    <w:rsid w:val="00C55DCB"/>
    <w:rsid w:val="00D10E76"/>
    <w:rsid w:val="00E117A4"/>
    <w:rsid w:val="00E630DE"/>
    <w:rsid w:val="00EA48A4"/>
    <w:rsid w:val="00F259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CB"/>
    <w:pPr>
      <w:bidi/>
    </w:pPr>
    <w:rPr>
      <w:rFonts w:ascii="B Lotus" w:eastAsia="B Lotus" w:hAnsi="B Lotus" w:cs="B Lotus"/>
      <w:sz w:val="28"/>
      <w:szCs w:val="28"/>
      <w:lang w:bidi="fa-IR"/>
    </w:rPr>
  </w:style>
  <w:style w:type="paragraph" w:styleId="1">
    <w:name w:val="heading 1"/>
    <w:basedOn w:val="a"/>
    <w:next w:val="a"/>
    <w:link w:val="10"/>
    <w:uiPriority w:val="9"/>
    <w:qFormat/>
    <w:rsid w:val="00BA5A63"/>
    <w:pPr>
      <w:keepNext/>
      <w:keepLines/>
      <w:spacing w:before="480" w:after="0"/>
      <w:outlineLvl w:val="0"/>
    </w:pPr>
    <w:rPr>
      <w:rFonts w:ascii="B Titr" w:eastAsiaTheme="majorEastAsia" w:hAnsi="B Titr" w:cs="B Titr"/>
      <w:b/>
    </w:rPr>
  </w:style>
  <w:style w:type="paragraph" w:styleId="2">
    <w:name w:val="heading 2"/>
    <w:basedOn w:val="a"/>
    <w:next w:val="a"/>
    <w:link w:val="20"/>
    <w:uiPriority w:val="9"/>
    <w:unhideWhenUsed/>
    <w:qFormat/>
    <w:rsid w:val="00BA5A63"/>
    <w:pPr>
      <w:keepNext/>
      <w:keepLines/>
      <w:spacing w:before="200" w:after="0"/>
      <w:outlineLvl w:val="1"/>
    </w:pPr>
    <w:rPr>
      <w:rFonts w:ascii="B Titr" w:eastAsiaTheme="majorEastAsia" w:hAnsi="B Titr" w:cs="B Titr"/>
      <w:b/>
      <w:sz w:val="26"/>
      <w:szCs w:val="26"/>
    </w:rPr>
  </w:style>
  <w:style w:type="paragraph" w:styleId="3">
    <w:name w:val="heading 3"/>
    <w:basedOn w:val="a"/>
    <w:next w:val="a"/>
    <w:link w:val="30"/>
    <w:uiPriority w:val="9"/>
    <w:unhideWhenUsed/>
    <w:qFormat/>
    <w:rsid w:val="00B7665B"/>
    <w:pPr>
      <w:keepNext/>
      <w:keepLines/>
      <w:spacing w:before="200" w:after="0"/>
      <w:outlineLvl w:val="2"/>
    </w:pPr>
    <w:rPr>
      <w:rFonts w:ascii="B Titr" w:eastAsiaTheme="majorEastAsia" w:hAnsi="B Titr" w:cs="B Titr"/>
      <w:sz w:val="24"/>
      <w:szCs w:val="24"/>
    </w:rPr>
  </w:style>
  <w:style w:type="paragraph" w:styleId="4">
    <w:name w:val="heading 4"/>
    <w:basedOn w:val="a"/>
    <w:next w:val="a"/>
    <w:link w:val="40"/>
    <w:uiPriority w:val="9"/>
    <w:unhideWhenUsed/>
    <w:qFormat/>
    <w:rsid w:val="00E117A4"/>
    <w:pPr>
      <w:keepNext/>
      <w:keepLines/>
      <w:spacing w:after="0"/>
      <w:outlineLvl w:val="3"/>
    </w:pPr>
    <w:rPr>
      <w:rFonts w:ascii="B Titr" w:eastAsiaTheme="majorEastAsia" w:hAnsi="B Titr" w:cs="B Titr"/>
      <w:b/>
      <w:bCs/>
      <w:i/>
      <w:iCs/>
      <w:sz w:val="24"/>
      <w:szCs w:val="24"/>
    </w:rPr>
  </w:style>
  <w:style w:type="paragraph" w:styleId="5">
    <w:name w:val="heading 5"/>
    <w:basedOn w:val="a"/>
    <w:next w:val="a"/>
    <w:link w:val="50"/>
    <w:uiPriority w:val="9"/>
    <w:semiHidden/>
    <w:unhideWhenUsed/>
    <w:qFormat/>
    <w:rsid w:val="001D47BB"/>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1D47B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1D47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D47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D47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5A63"/>
    <w:rPr>
      <w:rFonts w:ascii="B Titr" w:eastAsiaTheme="majorEastAsia" w:hAnsi="B Titr" w:cs="B Titr"/>
      <w:b/>
      <w:sz w:val="28"/>
      <w:szCs w:val="28"/>
    </w:rPr>
  </w:style>
  <w:style w:type="character" w:customStyle="1" w:styleId="20">
    <w:name w:val="عنوان 2 نویسه"/>
    <w:basedOn w:val="a0"/>
    <w:link w:val="2"/>
    <w:uiPriority w:val="9"/>
    <w:rsid w:val="00BA5A63"/>
    <w:rPr>
      <w:rFonts w:ascii="B Titr" w:eastAsiaTheme="majorEastAsia" w:hAnsi="B Titr" w:cs="B Titr"/>
      <w:b/>
      <w:sz w:val="26"/>
      <w:szCs w:val="26"/>
    </w:rPr>
  </w:style>
  <w:style w:type="character" w:customStyle="1" w:styleId="30">
    <w:name w:val="عنوان 3 نویسه"/>
    <w:basedOn w:val="a0"/>
    <w:link w:val="3"/>
    <w:uiPriority w:val="9"/>
    <w:rsid w:val="00B7665B"/>
    <w:rPr>
      <w:rFonts w:ascii="B Titr" w:eastAsiaTheme="majorEastAsia" w:hAnsi="B Titr" w:cs="B Titr"/>
      <w:sz w:val="24"/>
      <w:szCs w:val="24"/>
      <w:lang w:bidi="fa-IR"/>
    </w:rPr>
  </w:style>
  <w:style w:type="character" w:customStyle="1" w:styleId="40">
    <w:name w:val="عنوان 4 نویسه"/>
    <w:basedOn w:val="a0"/>
    <w:link w:val="4"/>
    <w:uiPriority w:val="9"/>
    <w:rsid w:val="00E117A4"/>
    <w:rPr>
      <w:rFonts w:ascii="B Titr" w:eastAsiaTheme="majorEastAsia" w:hAnsi="B Titr" w:cs="B Titr"/>
      <w:b/>
      <w:bCs/>
      <w:i/>
      <w:iCs/>
      <w:sz w:val="24"/>
      <w:szCs w:val="24"/>
      <w:lang w:bidi="fa-IR"/>
    </w:rPr>
  </w:style>
  <w:style w:type="character" w:customStyle="1" w:styleId="50">
    <w:name w:val="سرصفحه 5 نویسه"/>
    <w:basedOn w:val="a0"/>
    <w:link w:val="5"/>
    <w:uiPriority w:val="9"/>
    <w:semiHidden/>
    <w:rsid w:val="001D47BB"/>
    <w:rPr>
      <w:rFonts w:asciiTheme="majorHAnsi" w:eastAsiaTheme="majorEastAsia" w:hAnsiTheme="majorHAnsi" w:cstheme="majorBidi"/>
      <w:color w:val="1F4D78" w:themeColor="accent1" w:themeShade="7F"/>
    </w:rPr>
  </w:style>
  <w:style w:type="character" w:customStyle="1" w:styleId="60">
    <w:name w:val="سرصفحه 6 نویسه"/>
    <w:basedOn w:val="a0"/>
    <w:link w:val="6"/>
    <w:uiPriority w:val="9"/>
    <w:semiHidden/>
    <w:rsid w:val="001D47BB"/>
    <w:rPr>
      <w:rFonts w:asciiTheme="majorHAnsi" w:eastAsiaTheme="majorEastAsia" w:hAnsiTheme="majorHAnsi" w:cstheme="majorBidi"/>
      <w:i/>
      <w:iCs/>
      <w:color w:val="1F4D78" w:themeColor="accent1" w:themeShade="7F"/>
    </w:rPr>
  </w:style>
  <w:style w:type="character" w:customStyle="1" w:styleId="70">
    <w:name w:val="سرصفحه 7 نویسه"/>
    <w:basedOn w:val="a0"/>
    <w:link w:val="7"/>
    <w:uiPriority w:val="9"/>
    <w:semiHidden/>
    <w:rsid w:val="001D47BB"/>
    <w:rPr>
      <w:rFonts w:asciiTheme="majorHAnsi" w:eastAsiaTheme="majorEastAsia" w:hAnsiTheme="majorHAnsi" w:cstheme="majorBidi"/>
      <w:i/>
      <w:iCs/>
      <w:color w:val="404040" w:themeColor="text1" w:themeTint="BF"/>
    </w:rPr>
  </w:style>
  <w:style w:type="character" w:customStyle="1" w:styleId="80">
    <w:name w:val="سرصفحه 8 نویسه"/>
    <w:basedOn w:val="a0"/>
    <w:link w:val="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90">
    <w:name w:val="سرصفحه 9 نویسه"/>
    <w:basedOn w:val="a0"/>
    <w:link w:val="9"/>
    <w:uiPriority w:val="9"/>
    <w:semiHidden/>
    <w:rsid w:val="001D47BB"/>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عنوان نویسه"/>
    <w:basedOn w:val="a0"/>
    <w:link w:val="a3"/>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a5">
    <w:name w:val="Subtitle"/>
    <w:basedOn w:val="a"/>
    <w:next w:val="a"/>
    <w:link w:val="a6"/>
    <w:uiPriority w:val="11"/>
    <w:qFormat/>
    <w:rsid w:val="001D47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6">
    <w:name w:val="زیر نویس نویسه"/>
    <w:basedOn w:val="a0"/>
    <w:link w:val="a5"/>
    <w:uiPriority w:val="11"/>
    <w:rsid w:val="001D47BB"/>
    <w:rPr>
      <w:rFonts w:asciiTheme="majorHAnsi" w:eastAsiaTheme="majorEastAsia" w:hAnsiTheme="majorHAnsi" w:cstheme="majorBidi"/>
      <w:i/>
      <w:iCs/>
      <w:color w:val="5B9BD5" w:themeColor="accent1"/>
      <w:spacing w:val="15"/>
      <w:sz w:val="24"/>
      <w:szCs w:val="24"/>
    </w:rPr>
  </w:style>
  <w:style w:type="character" w:styleId="a7">
    <w:name w:val="Strong"/>
    <w:uiPriority w:val="22"/>
    <w:qFormat/>
    <w:rsid w:val="001D47BB"/>
    <w:rPr>
      <w:b/>
      <w:bCs/>
    </w:rPr>
  </w:style>
  <w:style w:type="character" w:styleId="a8">
    <w:name w:val="Emphasis"/>
    <w:uiPriority w:val="20"/>
    <w:qFormat/>
    <w:rsid w:val="001D47BB"/>
    <w:rPr>
      <w:i/>
      <w:iCs/>
    </w:rPr>
  </w:style>
  <w:style w:type="paragraph" w:styleId="a9">
    <w:name w:val="No Spacing"/>
    <w:basedOn w:val="a"/>
    <w:uiPriority w:val="1"/>
    <w:qFormat/>
    <w:rsid w:val="001D47BB"/>
    <w:pPr>
      <w:spacing w:after="0" w:line="240" w:lineRule="auto"/>
    </w:pPr>
  </w:style>
  <w:style w:type="paragraph" w:styleId="aa">
    <w:name w:val="List Paragraph"/>
    <w:basedOn w:val="a"/>
    <w:uiPriority w:val="34"/>
    <w:qFormat/>
    <w:rsid w:val="001D47BB"/>
    <w:pPr>
      <w:ind w:left="720"/>
      <w:contextualSpacing/>
    </w:pPr>
  </w:style>
  <w:style w:type="paragraph" w:styleId="ab">
    <w:name w:val="Quote"/>
    <w:basedOn w:val="a"/>
    <w:next w:val="a"/>
    <w:link w:val="ac"/>
    <w:uiPriority w:val="29"/>
    <w:qFormat/>
    <w:rsid w:val="00D10E76"/>
    <w:rPr>
      <w:rFonts w:ascii="B Badr" w:hAnsi="B Badr"/>
      <w:i/>
      <w:iCs/>
      <w:color w:val="000000" w:themeColor="text1"/>
      <w:lang w:bidi="ar-SA"/>
    </w:rPr>
  </w:style>
  <w:style w:type="character" w:customStyle="1" w:styleId="ac">
    <w:name w:val="نقل قول نویسه"/>
    <w:basedOn w:val="a0"/>
    <w:link w:val="ab"/>
    <w:uiPriority w:val="29"/>
    <w:rsid w:val="00D10E76"/>
    <w:rPr>
      <w:rFonts w:ascii="B Badr" w:hAnsi="B Badr" w:cs="B Lotus"/>
      <w:i/>
      <w:iCs/>
      <w:color w:val="000000" w:themeColor="text1"/>
      <w:sz w:val="28"/>
      <w:szCs w:val="28"/>
    </w:rPr>
  </w:style>
  <w:style w:type="paragraph" w:styleId="ad">
    <w:name w:val="Intense Quote"/>
    <w:basedOn w:val="a"/>
    <w:next w:val="a"/>
    <w:link w:val="ae"/>
    <w:uiPriority w:val="30"/>
    <w:qFormat/>
    <w:rsid w:val="001D47BB"/>
    <w:pPr>
      <w:pBdr>
        <w:bottom w:val="single" w:sz="4" w:space="4" w:color="5B9BD5" w:themeColor="accent1"/>
      </w:pBdr>
      <w:spacing w:before="200" w:after="280"/>
      <w:ind w:left="936" w:right="936"/>
    </w:pPr>
    <w:rPr>
      <w:b/>
      <w:bCs/>
      <w:i/>
      <w:iCs/>
      <w:color w:val="5B9BD5" w:themeColor="accent1"/>
    </w:rPr>
  </w:style>
  <w:style w:type="character" w:customStyle="1" w:styleId="ae">
    <w:name w:val="نقل قول قوی نویسه"/>
    <w:basedOn w:val="a0"/>
    <w:link w:val="ad"/>
    <w:uiPriority w:val="30"/>
    <w:rsid w:val="001D47BB"/>
    <w:rPr>
      <w:b/>
      <w:bCs/>
      <w:i/>
      <w:iCs/>
      <w:color w:val="5B9BD5" w:themeColor="accent1"/>
    </w:rPr>
  </w:style>
  <w:style w:type="character" w:styleId="af">
    <w:name w:val="Subtle Emphasis"/>
    <w:uiPriority w:val="19"/>
    <w:qFormat/>
    <w:rsid w:val="001D47BB"/>
    <w:rPr>
      <w:i/>
      <w:iCs/>
      <w:color w:val="808080" w:themeColor="text1" w:themeTint="7F"/>
    </w:rPr>
  </w:style>
  <w:style w:type="character" w:styleId="af0">
    <w:name w:val="Intense Emphasis"/>
    <w:uiPriority w:val="21"/>
    <w:qFormat/>
    <w:rsid w:val="001D47BB"/>
    <w:rPr>
      <w:b/>
      <w:bCs/>
      <w:i/>
      <w:iCs/>
      <w:color w:val="5B9BD5" w:themeColor="accent1"/>
    </w:rPr>
  </w:style>
  <w:style w:type="character" w:styleId="af1">
    <w:name w:val="Subtle Reference"/>
    <w:uiPriority w:val="31"/>
    <w:qFormat/>
    <w:rsid w:val="001D47BB"/>
    <w:rPr>
      <w:smallCaps/>
      <w:color w:val="ED7D31" w:themeColor="accent2"/>
      <w:u w:val="single"/>
    </w:rPr>
  </w:style>
  <w:style w:type="character" w:styleId="af2">
    <w:name w:val="Intense Reference"/>
    <w:uiPriority w:val="32"/>
    <w:qFormat/>
    <w:rsid w:val="001D47BB"/>
    <w:rPr>
      <w:b/>
      <w:bCs/>
      <w:smallCaps/>
      <w:color w:val="ED7D31" w:themeColor="accent2"/>
      <w:spacing w:val="5"/>
      <w:u w:val="single"/>
    </w:rPr>
  </w:style>
  <w:style w:type="character" w:styleId="af3">
    <w:name w:val="Book Title"/>
    <w:uiPriority w:val="33"/>
    <w:qFormat/>
    <w:rsid w:val="001D47BB"/>
    <w:rPr>
      <w:b/>
      <w:bCs/>
      <w:smallCaps/>
      <w:spacing w:val="5"/>
    </w:rPr>
  </w:style>
  <w:style w:type="paragraph" w:styleId="af4">
    <w:name w:val="TOC Heading"/>
    <w:basedOn w:val="1"/>
    <w:next w:val="a"/>
    <w:uiPriority w:val="39"/>
    <w:semiHidden/>
    <w:unhideWhenUsed/>
    <w:qFormat/>
    <w:rsid w:val="001D47BB"/>
    <w:pPr>
      <w:outlineLvl w:val="9"/>
    </w:pPr>
  </w:style>
  <w:style w:type="paragraph" w:styleId="af5">
    <w:name w:val="footnote text"/>
    <w:basedOn w:val="a"/>
    <w:link w:val="af6"/>
    <w:uiPriority w:val="99"/>
    <w:semiHidden/>
    <w:unhideWhenUsed/>
    <w:rsid w:val="00870F40"/>
    <w:pPr>
      <w:spacing w:after="0" w:line="240" w:lineRule="auto"/>
    </w:pPr>
    <w:rPr>
      <w:sz w:val="20"/>
      <w:szCs w:val="20"/>
    </w:rPr>
  </w:style>
  <w:style w:type="character" w:customStyle="1" w:styleId="af6">
    <w:name w:val="متن پاورقی نویسه"/>
    <w:basedOn w:val="a0"/>
    <w:link w:val="af5"/>
    <w:uiPriority w:val="99"/>
    <w:semiHidden/>
    <w:rsid w:val="00870F40"/>
    <w:rPr>
      <w:rFonts w:ascii="B Lotus" w:eastAsia="B Lotus" w:hAnsi="B Lotus" w:cs="B Lotus"/>
      <w:sz w:val="20"/>
      <w:szCs w:val="20"/>
      <w:lang w:bidi="fa-IR"/>
    </w:rPr>
  </w:style>
  <w:style w:type="character" w:styleId="af7">
    <w:name w:val="footnote reference"/>
    <w:basedOn w:val="a0"/>
    <w:uiPriority w:val="99"/>
    <w:semiHidden/>
    <w:unhideWhenUsed/>
    <w:rsid w:val="00870F40"/>
    <w:rPr>
      <w:vertAlign w:val="superscript"/>
    </w:rPr>
  </w:style>
  <w:style w:type="paragraph" w:styleId="af8">
    <w:name w:val="header"/>
    <w:basedOn w:val="a"/>
    <w:link w:val="af9"/>
    <w:uiPriority w:val="99"/>
    <w:unhideWhenUsed/>
    <w:rsid w:val="00E117A4"/>
    <w:pPr>
      <w:tabs>
        <w:tab w:val="center" w:pos="4680"/>
        <w:tab w:val="right" w:pos="9360"/>
      </w:tabs>
      <w:spacing w:after="0" w:line="240" w:lineRule="auto"/>
    </w:pPr>
  </w:style>
  <w:style w:type="character" w:customStyle="1" w:styleId="af9">
    <w:name w:val="سرصفحه نویسه"/>
    <w:basedOn w:val="a0"/>
    <w:link w:val="af8"/>
    <w:uiPriority w:val="99"/>
    <w:rsid w:val="00E117A4"/>
    <w:rPr>
      <w:rFonts w:ascii="B Lotus" w:eastAsia="B Lotus" w:hAnsi="B Lotus" w:cs="B Lotus"/>
      <w:sz w:val="28"/>
      <w:szCs w:val="28"/>
      <w:lang w:bidi="fa-IR"/>
    </w:rPr>
  </w:style>
  <w:style w:type="paragraph" w:styleId="afa">
    <w:name w:val="footer"/>
    <w:basedOn w:val="a"/>
    <w:link w:val="afb"/>
    <w:uiPriority w:val="99"/>
    <w:unhideWhenUsed/>
    <w:rsid w:val="00E117A4"/>
    <w:pPr>
      <w:tabs>
        <w:tab w:val="center" w:pos="4680"/>
        <w:tab w:val="right" w:pos="9360"/>
      </w:tabs>
      <w:spacing w:after="0" w:line="240" w:lineRule="auto"/>
    </w:pPr>
  </w:style>
  <w:style w:type="character" w:customStyle="1" w:styleId="afb">
    <w:name w:val="پانویس نویسه"/>
    <w:basedOn w:val="a0"/>
    <w:link w:val="afa"/>
    <w:uiPriority w:val="99"/>
    <w:rsid w:val="00E117A4"/>
    <w:rPr>
      <w:rFonts w:ascii="B Lotus" w:eastAsia="B Lotus" w:hAnsi="B Lotus" w:cs="B Lotu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CB"/>
    <w:pPr>
      <w:bidi/>
    </w:pPr>
    <w:rPr>
      <w:rFonts w:ascii="B Lotus" w:eastAsia="B Lotus" w:hAnsi="B Lotus" w:cs="B Lotus"/>
      <w:sz w:val="28"/>
      <w:szCs w:val="28"/>
      <w:lang w:bidi="fa-IR"/>
    </w:rPr>
  </w:style>
  <w:style w:type="paragraph" w:styleId="1">
    <w:name w:val="heading 1"/>
    <w:basedOn w:val="a"/>
    <w:next w:val="a"/>
    <w:link w:val="10"/>
    <w:uiPriority w:val="9"/>
    <w:qFormat/>
    <w:rsid w:val="00BA5A63"/>
    <w:pPr>
      <w:keepNext/>
      <w:keepLines/>
      <w:spacing w:before="480" w:after="0"/>
      <w:outlineLvl w:val="0"/>
    </w:pPr>
    <w:rPr>
      <w:rFonts w:ascii="B Titr" w:eastAsiaTheme="majorEastAsia" w:hAnsi="B Titr" w:cs="B Titr"/>
      <w:b/>
    </w:rPr>
  </w:style>
  <w:style w:type="paragraph" w:styleId="2">
    <w:name w:val="heading 2"/>
    <w:basedOn w:val="a"/>
    <w:next w:val="a"/>
    <w:link w:val="20"/>
    <w:uiPriority w:val="9"/>
    <w:unhideWhenUsed/>
    <w:qFormat/>
    <w:rsid w:val="00BA5A63"/>
    <w:pPr>
      <w:keepNext/>
      <w:keepLines/>
      <w:spacing w:before="200" w:after="0"/>
      <w:outlineLvl w:val="1"/>
    </w:pPr>
    <w:rPr>
      <w:rFonts w:ascii="B Titr" w:eastAsiaTheme="majorEastAsia" w:hAnsi="B Titr" w:cs="B Titr"/>
      <w:b/>
      <w:sz w:val="26"/>
      <w:szCs w:val="26"/>
    </w:rPr>
  </w:style>
  <w:style w:type="paragraph" w:styleId="3">
    <w:name w:val="heading 3"/>
    <w:basedOn w:val="a"/>
    <w:next w:val="a"/>
    <w:link w:val="30"/>
    <w:uiPriority w:val="9"/>
    <w:unhideWhenUsed/>
    <w:qFormat/>
    <w:rsid w:val="00B7665B"/>
    <w:pPr>
      <w:keepNext/>
      <w:keepLines/>
      <w:spacing w:before="200" w:after="0"/>
      <w:outlineLvl w:val="2"/>
    </w:pPr>
    <w:rPr>
      <w:rFonts w:ascii="B Titr" w:eastAsiaTheme="majorEastAsia" w:hAnsi="B Titr" w:cs="B Titr"/>
      <w:sz w:val="24"/>
      <w:szCs w:val="24"/>
    </w:rPr>
  </w:style>
  <w:style w:type="paragraph" w:styleId="4">
    <w:name w:val="heading 4"/>
    <w:basedOn w:val="a"/>
    <w:next w:val="a"/>
    <w:link w:val="40"/>
    <w:uiPriority w:val="9"/>
    <w:unhideWhenUsed/>
    <w:qFormat/>
    <w:rsid w:val="00E117A4"/>
    <w:pPr>
      <w:keepNext/>
      <w:keepLines/>
      <w:spacing w:after="0"/>
      <w:outlineLvl w:val="3"/>
    </w:pPr>
    <w:rPr>
      <w:rFonts w:ascii="B Titr" w:eastAsiaTheme="majorEastAsia" w:hAnsi="B Titr" w:cs="B Titr"/>
      <w:b/>
      <w:bCs/>
      <w:i/>
      <w:iCs/>
      <w:sz w:val="24"/>
      <w:szCs w:val="24"/>
    </w:rPr>
  </w:style>
  <w:style w:type="paragraph" w:styleId="5">
    <w:name w:val="heading 5"/>
    <w:basedOn w:val="a"/>
    <w:next w:val="a"/>
    <w:link w:val="50"/>
    <w:uiPriority w:val="9"/>
    <w:semiHidden/>
    <w:unhideWhenUsed/>
    <w:qFormat/>
    <w:rsid w:val="001D47BB"/>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1D47B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1D47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D47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D47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5A63"/>
    <w:rPr>
      <w:rFonts w:ascii="B Titr" w:eastAsiaTheme="majorEastAsia" w:hAnsi="B Titr" w:cs="B Titr"/>
      <w:b/>
      <w:sz w:val="28"/>
      <w:szCs w:val="28"/>
    </w:rPr>
  </w:style>
  <w:style w:type="character" w:customStyle="1" w:styleId="20">
    <w:name w:val="عنوان 2 نویسه"/>
    <w:basedOn w:val="a0"/>
    <w:link w:val="2"/>
    <w:uiPriority w:val="9"/>
    <w:rsid w:val="00BA5A63"/>
    <w:rPr>
      <w:rFonts w:ascii="B Titr" w:eastAsiaTheme="majorEastAsia" w:hAnsi="B Titr" w:cs="B Titr"/>
      <w:b/>
      <w:sz w:val="26"/>
      <w:szCs w:val="26"/>
    </w:rPr>
  </w:style>
  <w:style w:type="character" w:customStyle="1" w:styleId="30">
    <w:name w:val="عنوان 3 نویسه"/>
    <w:basedOn w:val="a0"/>
    <w:link w:val="3"/>
    <w:uiPriority w:val="9"/>
    <w:rsid w:val="00B7665B"/>
    <w:rPr>
      <w:rFonts w:ascii="B Titr" w:eastAsiaTheme="majorEastAsia" w:hAnsi="B Titr" w:cs="B Titr"/>
      <w:sz w:val="24"/>
      <w:szCs w:val="24"/>
      <w:lang w:bidi="fa-IR"/>
    </w:rPr>
  </w:style>
  <w:style w:type="character" w:customStyle="1" w:styleId="40">
    <w:name w:val="عنوان 4 نویسه"/>
    <w:basedOn w:val="a0"/>
    <w:link w:val="4"/>
    <w:uiPriority w:val="9"/>
    <w:rsid w:val="00E117A4"/>
    <w:rPr>
      <w:rFonts w:ascii="B Titr" w:eastAsiaTheme="majorEastAsia" w:hAnsi="B Titr" w:cs="B Titr"/>
      <w:b/>
      <w:bCs/>
      <w:i/>
      <w:iCs/>
      <w:sz w:val="24"/>
      <w:szCs w:val="24"/>
      <w:lang w:bidi="fa-IR"/>
    </w:rPr>
  </w:style>
  <w:style w:type="character" w:customStyle="1" w:styleId="50">
    <w:name w:val="سرصفحه 5 نویسه"/>
    <w:basedOn w:val="a0"/>
    <w:link w:val="5"/>
    <w:uiPriority w:val="9"/>
    <w:semiHidden/>
    <w:rsid w:val="001D47BB"/>
    <w:rPr>
      <w:rFonts w:asciiTheme="majorHAnsi" w:eastAsiaTheme="majorEastAsia" w:hAnsiTheme="majorHAnsi" w:cstheme="majorBidi"/>
      <w:color w:val="1F4D78" w:themeColor="accent1" w:themeShade="7F"/>
    </w:rPr>
  </w:style>
  <w:style w:type="character" w:customStyle="1" w:styleId="60">
    <w:name w:val="سرصفحه 6 نویسه"/>
    <w:basedOn w:val="a0"/>
    <w:link w:val="6"/>
    <w:uiPriority w:val="9"/>
    <w:semiHidden/>
    <w:rsid w:val="001D47BB"/>
    <w:rPr>
      <w:rFonts w:asciiTheme="majorHAnsi" w:eastAsiaTheme="majorEastAsia" w:hAnsiTheme="majorHAnsi" w:cstheme="majorBidi"/>
      <w:i/>
      <w:iCs/>
      <w:color w:val="1F4D78" w:themeColor="accent1" w:themeShade="7F"/>
    </w:rPr>
  </w:style>
  <w:style w:type="character" w:customStyle="1" w:styleId="70">
    <w:name w:val="سرصفحه 7 نویسه"/>
    <w:basedOn w:val="a0"/>
    <w:link w:val="7"/>
    <w:uiPriority w:val="9"/>
    <w:semiHidden/>
    <w:rsid w:val="001D47BB"/>
    <w:rPr>
      <w:rFonts w:asciiTheme="majorHAnsi" w:eastAsiaTheme="majorEastAsia" w:hAnsiTheme="majorHAnsi" w:cstheme="majorBidi"/>
      <w:i/>
      <w:iCs/>
      <w:color w:val="404040" w:themeColor="text1" w:themeTint="BF"/>
    </w:rPr>
  </w:style>
  <w:style w:type="character" w:customStyle="1" w:styleId="80">
    <w:name w:val="سرصفحه 8 نویسه"/>
    <w:basedOn w:val="a0"/>
    <w:link w:val="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90">
    <w:name w:val="سرصفحه 9 نویسه"/>
    <w:basedOn w:val="a0"/>
    <w:link w:val="9"/>
    <w:uiPriority w:val="9"/>
    <w:semiHidden/>
    <w:rsid w:val="001D47BB"/>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عنوان نویسه"/>
    <w:basedOn w:val="a0"/>
    <w:link w:val="a3"/>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a5">
    <w:name w:val="Subtitle"/>
    <w:basedOn w:val="a"/>
    <w:next w:val="a"/>
    <w:link w:val="a6"/>
    <w:uiPriority w:val="11"/>
    <w:qFormat/>
    <w:rsid w:val="001D47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6">
    <w:name w:val="زیر نویس نویسه"/>
    <w:basedOn w:val="a0"/>
    <w:link w:val="a5"/>
    <w:uiPriority w:val="11"/>
    <w:rsid w:val="001D47BB"/>
    <w:rPr>
      <w:rFonts w:asciiTheme="majorHAnsi" w:eastAsiaTheme="majorEastAsia" w:hAnsiTheme="majorHAnsi" w:cstheme="majorBidi"/>
      <w:i/>
      <w:iCs/>
      <w:color w:val="5B9BD5" w:themeColor="accent1"/>
      <w:spacing w:val="15"/>
      <w:sz w:val="24"/>
      <w:szCs w:val="24"/>
    </w:rPr>
  </w:style>
  <w:style w:type="character" w:styleId="a7">
    <w:name w:val="Strong"/>
    <w:uiPriority w:val="22"/>
    <w:qFormat/>
    <w:rsid w:val="001D47BB"/>
    <w:rPr>
      <w:b/>
      <w:bCs/>
    </w:rPr>
  </w:style>
  <w:style w:type="character" w:styleId="a8">
    <w:name w:val="Emphasis"/>
    <w:uiPriority w:val="20"/>
    <w:qFormat/>
    <w:rsid w:val="001D47BB"/>
    <w:rPr>
      <w:i/>
      <w:iCs/>
    </w:rPr>
  </w:style>
  <w:style w:type="paragraph" w:styleId="a9">
    <w:name w:val="No Spacing"/>
    <w:basedOn w:val="a"/>
    <w:uiPriority w:val="1"/>
    <w:qFormat/>
    <w:rsid w:val="001D47BB"/>
    <w:pPr>
      <w:spacing w:after="0" w:line="240" w:lineRule="auto"/>
    </w:pPr>
  </w:style>
  <w:style w:type="paragraph" w:styleId="aa">
    <w:name w:val="List Paragraph"/>
    <w:basedOn w:val="a"/>
    <w:uiPriority w:val="34"/>
    <w:qFormat/>
    <w:rsid w:val="001D47BB"/>
    <w:pPr>
      <w:ind w:left="720"/>
      <w:contextualSpacing/>
    </w:pPr>
  </w:style>
  <w:style w:type="paragraph" w:styleId="ab">
    <w:name w:val="Quote"/>
    <w:basedOn w:val="a"/>
    <w:next w:val="a"/>
    <w:link w:val="ac"/>
    <w:uiPriority w:val="29"/>
    <w:qFormat/>
    <w:rsid w:val="00D10E76"/>
    <w:rPr>
      <w:rFonts w:ascii="B Badr" w:hAnsi="B Badr"/>
      <w:i/>
      <w:iCs/>
      <w:color w:val="000000" w:themeColor="text1"/>
      <w:lang w:bidi="ar-SA"/>
    </w:rPr>
  </w:style>
  <w:style w:type="character" w:customStyle="1" w:styleId="ac">
    <w:name w:val="نقل قول نویسه"/>
    <w:basedOn w:val="a0"/>
    <w:link w:val="ab"/>
    <w:uiPriority w:val="29"/>
    <w:rsid w:val="00D10E76"/>
    <w:rPr>
      <w:rFonts w:ascii="B Badr" w:hAnsi="B Badr" w:cs="B Lotus"/>
      <w:i/>
      <w:iCs/>
      <w:color w:val="000000" w:themeColor="text1"/>
      <w:sz w:val="28"/>
      <w:szCs w:val="28"/>
    </w:rPr>
  </w:style>
  <w:style w:type="paragraph" w:styleId="ad">
    <w:name w:val="Intense Quote"/>
    <w:basedOn w:val="a"/>
    <w:next w:val="a"/>
    <w:link w:val="ae"/>
    <w:uiPriority w:val="30"/>
    <w:qFormat/>
    <w:rsid w:val="001D47BB"/>
    <w:pPr>
      <w:pBdr>
        <w:bottom w:val="single" w:sz="4" w:space="4" w:color="5B9BD5" w:themeColor="accent1"/>
      </w:pBdr>
      <w:spacing w:before="200" w:after="280"/>
      <w:ind w:left="936" w:right="936"/>
    </w:pPr>
    <w:rPr>
      <w:b/>
      <w:bCs/>
      <w:i/>
      <w:iCs/>
      <w:color w:val="5B9BD5" w:themeColor="accent1"/>
    </w:rPr>
  </w:style>
  <w:style w:type="character" w:customStyle="1" w:styleId="ae">
    <w:name w:val="نقل قول قوی نویسه"/>
    <w:basedOn w:val="a0"/>
    <w:link w:val="ad"/>
    <w:uiPriority w:val="30"/>
    <w:rsid w:val="001D47BB"/>
    <w:rPr>
      <w:b/>
      <w:bCs/>
      <w:i/>
      <w:iCs/>
      <w:color w:val="5B9BD5" w:themeColor="accent1"/>
    </w:rPr>
  </w:style>
  <w:style w:type="character" w:styleId="af">
    <w:name w:val="Subtle Emphasis"/>
    <w:uiPriority w:val="19"/>
    <w:qFormat/>
    <w:rsid w:val="001D47BB"/>
    <w:rPr>
      <w:i/>
      <w:iCs/>
      <w:color w:val="808080" w:themeColor="text1" w:themeTint="7F"/>
    </w:rPr>
  </w:style>
  <w:style w:type="character" w:styleId="af0">
    <w:name w:val="Intense Emphasis"/>
    <w:uiPriority w:val="21"/>
    <w:qFormat/>
    <w:rsid w:val="001D47BB"/>
    <w:rPr>
      <w:b/>
      <w:bCs/>
      <w:i/>
      <w:iCs/>
      <w:color w:val="5B9BD5" w:themeColor="accent1"/>
    </w:rPr>
  </w:style>
  <w:style w:type="character" w:styleId="af1">
    <w:name w:val="Subtle Reference"/>
    <w:uiPriority w:val="31"/>
    <w:qFormat/>
    <w:rsid w:val="001D47BB"/>
    <w:rPr>
      <w:smallCaps/>
      <w:color w:val="ED7D31" w:themeColor="accent2"/>
      <w:u w:val="single"/>
    </w:rPr>
  </w:style>
  <w:style w:type="character" w:styleId="af2">
    <w:name w:val="Intense Reference"/>
    <w:uiPriority w:val="32"/>
    <w:qFormat/>
    <w:rsid w:val="001D47BB"/>
    <w:rPr>
      <w:b/>
      <w:bCs/>
      <w:smallCaps/>
      <w:color w:val="ED7D31" w:themeColor="accent2"/>
      <w:spacing w:val="5"/>
      <w:u w:val="single"/>
    </w:rPr>
  </w:style>
  <w:style w:type="character" w:styleId="af3">
    <w:name w:val="Book Title"/>
    <w:uiPriority w:val="33"/>
    <w:qFormat/>
    <w:rsid w:val="001D47BB"/>
    <w:rPr>
      <w:b/>
      <w:bCs/>
      <w:smallCaps/>
      <w:spacing w:val="5"/>
    </w:rPr>
  </w:style>
  <w:style w:type="paragraph" w:styleId="af4">
    <w:name w:val="TOC Heading"/>
    <w:basedOn w:val="1"/>
    <w:next w:val="a"/>
    <w:uiPriority w:val="39"/>
    <w:semiHidden/>
    <w:unhideWhenUsed/>
    <w:qFormat/>
    <w:rsid w:val="001D47BB"/>
    <w:pPr>
      <w:outlineLvl w:val="9"/>
    </w:pPr>
  </w:style>
  <w:style w:type="paragraph" w:styleId="af5">
    <w:name w:val="footnote text"/>
    <w:basedOn w:val="a"/>
    <w:link w:val="af6"/>
    <w:uiPriority w:val="99"/>
    <w:semiHidden/>
    <w:unhideWhenUsed/>
    <w:rsid w:val="00870F40"/>
    <w:pPr>
      <w:spacing w:after="0" w:line="240" w:lineRule="auto"/>
    </w:pPr>
    <w:rPr>
      <w:sz w:val="20"/>
      <w:szCs w:val="20"/>
    </w:rPr>
  </w:style>
  <w:style w:type="character" w:customStyle="1" w:styleId="af6">
    <w:name w:val="متن پاورقی نویسه"/>
    <w:basedOn w:val="a0"/>
    <w:link w:val="af5"/>
    <w:uiPriority w:val="99"/>
    <w:semiHidden/>
    <w:rsid w:val="00870F40"/>
    <w:rPr>
      <w:rFonts w:ascii="B Lotus" w:eastAsia="B Lotus" w:hAnsi="B Lotus" w:cs="B Lotus"/>
      <w:sz w:val="20"/>
      <w:szCs w:val="20"/>
      <w:lang w:bidi="fa-IR"/>
    </w:rPr>
  </w:style>
  <w:style w:type="character" w:styleId="af7">
    <w:name w:val="footnote reference"/>
    <w:basedOn w:val="a0"/>
    <w:uiPriority w:val="99"/>
    <w:semiHidden/>
    <w:unhideWhenUsed/>
    <w:rsid w:val="00870F40"/>
    <w:rPr>
      <w:vertAlign w:val="superscript"/>
    </w:rPr>
  </w:style>
  <w:style w:type="paragraph" w:styleId="af8">
    <w:name w:val="header"/>
    <w:basedOn w:val="a"/>
    <w:link w:val="af9"/>
    <w:uiPriority w:val="99"/>
    <w:unhideWhenUsed/>
    <w:rsid w:val="00E117A4"/>
    <w:pPr>
      <w:tabs>
        <w:tab w:val="center" w:pos="4680"/>
        <w:tab w:val="right" w:pos="9360"/>
      </w:tabs>
      <w:spacing w:after="0" w:line="240" w:lineRule="auto"/>
    </w:pPr>
  </w:style>
  <w:style w:type="character" w:customStyle="1" w:styleId="af9">
    <w:name w:val="سرصفحه نویسه"/>
    <w:basedOn w:val="a0"/>
    <w:link w:val="af8"/>
    <w:uiPriority w:val="99"/>
    <w:rsid w:val="00E117A4"/>
    <w:rPr>
      <w:rFonts w:ascii="B Lotus" w:eastAsia="B Lotus" w:hAnsi="B Lotus" w:cs="B Lotus"/>
      <w:sz w:val="28"/>
      <w:szCs w:val="28"/>
      <w:lang w:bidi="fa-IR"/>
    </w:rPr>
  </w:style>
  <w:style w:type="paragraph" w:styleId="afa">
    <w:name w:val="footer"/>
    <w:basedOn w:val="a"/>
    <w:link w:val="afb"/>
    <w:uiPriority w:val="99"/>
    <w:unhideWhenUsed/>
    <w:rsid w:val="00E117A4"/>
    <w:pPr>
      <w:tabs>
        <w:tab w:val="center" w:pos="4680"/>
        <w:tab w:val="right" w:pos="9360"/>
      </w:tabs>
      <w:spacing w:after="0" w:line="240" w:lineRule="auto"/>
    </w:pPr>
  </w:style>
  <w:style w:type="character" w:customStyle="1" w:styleId="afb">
    <w:name w:val="پانویس نویسه"/>
    <w:basedOn w:val="a0"/>
    <w:link w:val="afa"/>
    <w:uiPriority w:val="99"/>
    <w:rsid w:val="00E117A4"/>
    <w:rPr>
      <w:rFonts w:ascii="B Lotus" w:eastAsia="B Lotus" w:hAnsi="B Lotus" w:cs="B Lotu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990</Words>
  <Characters>5649</Characters>
  <Application>Microsoft Office Word</Application>
  <DocSecurity>0</DocSecurity>
  <Lines>47</Lines>
  <Paragraphs>13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mn-system</dc:creator>
  <cp:lastModifiedBy>mn-system</cp:lastModifiedBy>
  <cp:revision>12</cp:revision>
  <dcterms:created xsi:type="dcterms:W3CDTF">2016-05-13T06:53:00Z</dcterms:created>
  <dcterms:modified xsi:type="dcterms:W3CDTF">2016-05-19T06:00:00Z</dcterms:modified>
</cp:coreProperties>
</file>